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69D8" w14:textId="42145285" w:rsidR="00CB00DF" w:rsidRPr="00F33D47" w:rsidRDefault="004471FD" w:rsidP="00CB00DF">
      <w:pPr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F33D4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CB00DF" w:rsidRPr="00F33D47">
        <w:rPr>
          <w:rFonts w:ascii="黑体" w:eastAsia="黑体" w:hAnsi="黑体"/>
          <w:b/>
          <w:sz w:val="36"/>
          <w:szCs w:val="36"/>
        </w:rPr>
        <w:t>经营者集中简易案件公示表</w:t>
      </w:r>
    </w:p>
    <w:p w14:paraId="2E6A48B4" w14:textId="77777777" w:rsidR="00CB00DF" w:rsidRPr="0065168B" w:rsidRDefault="00CB00DF" w:rsidP="00CB00DF">
      <w:pPr>
        <w:spacing w:line="440" w:lineRule="exact"/>
        <w:rPr>
          <w:rFonts w:ascii="仿宋" w:eastAsia="仿宋" w:hAnsi="仿宋"/>
          <w:sz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CB00DF" w:rsidRPr="00F33D47" w14:paraId="68499E61" w14:textId="77777777" w:rsidTr="00CB00DF">
        <w:tc>
          <w:tcPr>
            <w:tcW w:w="1809" w:type="dxa"/>
            <w:shd w:val="clear" w:color="auto" w:fill="D9D9D9"/>
            <w:vAlign w:val="center"/>
          </w:tcPr>
          <w:p w14:paraId="3E73F4F0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14:paraId="018862F9" w14:textId="265178C7" w:rsidR="00CB00DF" w:rsidRPr="00F33D47" w:rsidRDefault="0098127F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璞米咨询</w:t>
            </w:r>
            <w:proofErr w:type="gramEnd"/>
            <w:r w:rsidR="004471FD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集团控股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有限</w:t>
            </w:r>
            <w:r w:rsidR="004471FD" w:rsidRPr="00F33D47">
              <w:rPr>
                <w:rFonts w:ascii="宋体" w:hAnsi="宋体" w:hint="eastAsia"/>
                <w:kern w:val="0"/>
                <w:sz w:val="24"/>
                <w:szCs w:val="24"/>
              </w:rPr>
              <w:t>公司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与黑石公司收购</w:t>
            </w:r>
            <w:bookmarkStart w:id="0" w:name="OLE_LINK2"/>
            <w:proofErr w:type="spell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  <w:r w:rsid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ASA</w:t>
            </w:r>
            <w:bookmarkEnd w:id="0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股权案</w:t>
            </w:r>
          </w:p>
        </w:tc>
      </w:tr>
      <w:tr w:rsidR="00CB00DF" w:rsidRPr="00F33D47" w14:paraId="1C43FA27" w14:textId="77777777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6B4DEAB8" w14:textId="77777777" w:rsidR="00F1624E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27328756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（限200字内）</w:t>
            </w:r>
          </w:p>
        </w:tc>
        <w:tc>
          <w:tcPr>
            <w:tcW w:w="6949" w:type="dxa"/>
            <w:gridSpan w:val="2"/>
          </w:tcPr>
          <w:p w14:paraId="6E0034C9" w14:textId="1E4E6A84" w:rsidR="004471FD" w:rsidRPr="00F33D47" w:rsidRDefault="007B2EC9" w:rsidP="00ED2F37">
            <w:pPr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sz w:val="24"/>
                <w:szCs w:val="24"/>
              </w:rPr>
              <w:t>本次交易涉及由</w:t>
            </w:r>
            <w:proofErr w:type="gramStart"/>
            <w:r w:rsidR="00ED2F37" w:rsidRPr="00F33D47">
              <w:rPr>
                <w:rFonts w:ascii="宋体" w:hAnsi="宋体"/>
                <w:bCs/>
                <w:sz w:val="24"/>
                <w:szCs w:val="24"/>
              </w:rPr>
              <w:t>璞米咨询</w:t>
            </w:r>
            <w:proofErr w:type="gramEnd"/>
            <w:r w:rsidR="004471FD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集团控股</w:t>
            </w:r>
            <w:r w:rsidR="00ED2F37" w:rsidRPr="00F33D47">
              <w:rPr>
                <w:rFonts w:ascii="宋体" w:hAnsi="宋体"/>
                <w:bCs/>
                <w:sz w:val="24"/>
                <w:szCs w:val="24"/>
              </w:rPr>
              <w:t>有限</w:t>
            </w:r>
            <w:r w:rsidR="004471FD" w:rsidRPr="00F33D47">
              <w:rPr>
                <w:rFonts w:ascii="宋体" w:hAnsi="宋体" w:hint="eastAsia"/>
                <w:kern w:val="0"/>
                <w:sz w:val="24"/>
                <w:szCs w:val="24"/>
              </w:rPr>
              <w:t>公司</w:t>
            </w:r>
            <w:r w:rsidRPr="00F33D47">
              <w:rPr>
                <w:rFonts w:ascii="宋体" w:hAnsi="宋体" w:hint="eastAsia"/>
                <w:sz w:val="24"/>
                <w:szCs w:val="24"/>
              </w:rPr>
              <w:t>（</w:t>
            </w:r>
            <w:r w:rsidR="00ED2F37" w:rsidRPr="00F33D47">
              <w:rPr>
                <w:rFonts w:ascii="宋体" w:hAnsi="宋体" w:hint="eastAsia"/>
                <w:sz w:val="24"/>
                <w:szCs w:val="24"/>
              </w:rPr>
              <w:t>“</w:t>
            </w:r>
            <w:r w:rsidR="00ED2F37" w:rsidRPr="00F33D47">
              <w:rPr>
                <w:rFonts w:ascii="宋体" w:hAnsi="宋体"/>
                <w:b/>
                <w:sz w:val="24"/>
                <w:szCs w:val="24"/>
              </w:rPr>
              <w:t>璞米</w:t>
            </w:r>
            <w:r w:rsidR="00ED2F37" w:rsidRPr="00F33D47">
              <w:rPr>
                <w:rFonts w:ascii="宋体" w:hAnsi="宋体" w:hint="eastAsia"/>
                <w:sz w:val="24"/>
                <w:szCs w:val="24"/>
              </w:rPr>
              <w:t>”</w:t>
            </w:r>
            <w:r w:rsidRPr="00F33D47">
              <w:rPr>
                <w:rFonts w:ascii="宋体" w:hAnsi="宋体" w:hint="eastAsia"/>
                <w:sz w:val="24"/>
                <w:szCs w:val="24"/>
              </w:rPr>
              <w:t>）</w:t>
            </w:r>
            <w:r w:rsidRPr="00F33D47">
              <w:rPr>
                <w:rFonts w:ascii="宋体" w:hAnsi="宋体"/>
                <w:sz w:val="24"/>
                <w:szCs w:val="24"/>
              </w:rPr>
              <w:t>和黑石</w:t>
            </w:r>
            <w:r w:rsidR="00ED2F37" w:rsidRPr="00F33D47">
              <w:rPr>
                <w:rFonts w:ascii="宋体" w:hAnsi="宋体" w:hint="eastAsia"/>
                <w:sz w:val="24"/>
                <w:szCs w:val="24"/>
              </w:rPr>
              <w:t>公司</w:t>
            </w:r>
            <w:r w:rsidRPr="00F33D47">
              <w:rPr>
                <w:rFonts w:ascii="宋体" w:hAnsi="宋体" w:hint="eastAsia"/>
                <w:sz w:val="24"/>
                <w:szCs w:val="24"/>
              </w:rPr>
              <w:t>（</w:t>
            </w:r>
            <w:r w:rsidR="00ED2F37" w:rsidRPr="00F33D47">
              <w:rPr>
                <w:rFonts w:ascii="宋体" w:hAnsi="宋体" w:hint="eastAsia"/>
                <w:sz w:val="24"/>
                <w:szCs w:val="24"/>
              </w:rPr>
              <w:t>“</w:t>
            </w:r>
            <w:r w:rsidR="00ED2F37" w:rsidRPr="00F33D47">
              <w:rPr>
                <w:rFonts w:ascii="宋体" w:hAnsi="宋体"/>
                <w:b/>
                <w:sz w:val="24"/>
                <w:szCs w:val="24"/>
              </w:rPr>
              <w:t>黑石</w:t>
            </w:r>
            <w:r w:rsidR="00ED2F37" w:rsidRPr="00F33D47">
              <w:rPr>
                <w:rFonts w:ascii="宋体" w:hAnsi="宋体" w:hint="eastAsia"/>
                <w:sz w:val="24"/>
                <w:szCs w:val="24"/>
              </w:rPr>
              <w:t>”</w:t>
            </w:r>
            <w:r w:rsidRPr="00F33D47">
              <w:rPr>
                <w:rFonts w:ascii="宋体" w:hAnsi="宋体" w:hint="eastAsia"/>
                <w:sz w:val="24"/>
                <w:szCs w:val="24"/>
              </w:rPr>
              <w:t>）</w:t>
            </w:r>
            <w:r w:rsidR="004471FD" w:rsidRPr="00F33D47">
              <w:rPr>
                <w:rFonts w:ascii="宋体" w:hAnsi="宋体" w:hint="eastAsia"/>
                <w:sz w:val="24"/>
                <w:szCs w:val="24"/>
              </w:rPr>
              <w:t>最终控制</w:t>
            </w:r>
            <w:r w:rsidRPr="00F33D47">
              <w:rPr>
                <w:rFonts w:ascii="宋体" w:hAnsi="宋体"/>
                <w:sz w:val="24"/>
                <w:szCs w:val="24"/>
              </w:rPr>
              <w:t>的投资基金</w:t>
            </w:r>
            <w:r w:rsidR="0057312C" w:rsidRPr="00F33D47">
              <w:rPr>
                <w:rFonts w:ascii="宋体" w:hAnsi="宋体" w:hint="eastAsia"/>
                <w:sz w:val="24"/>
                <w:szCs w:val="24"/>
              </w:rPr>
              <w:t>通过</w:t>
            </w:r>
            <w:r w:rsidR="008F6C04" w:rsidRPr="00F33D47">
              <w:rPr>
                <w:rFonts w:ascii="宋体" w:hAnsi="宋体" w:hint="eastAsia"/>
                <w:sz w:val="24"/>
                <w:szCs w:val="24"/>
              </w:rPr>
              <w:t>发起针对</w:t>
            </w:r>
            <w:proofErr w:type="spellStart"/>
            <w:r w:rsidRPr="00F33D47">
              <w:rPr>
                <w:rFonts w:ascii="宋体" w:hAnsi="宋体"/>
                <w:sz w:val="24"/>
                <w:szCs w:val="24"/>
              </w:rPr>
              <w:t>Adevinta</w:t>
            </w:r>
            <w:proofErr w:type="spellEnd"/>
            <w:r w:rsidRPr="00F33D47">
              <w:rPr>
                <w:rFonts w:ascii="宋体" w:hAnsi="宋体"/>
                <w:sz w:val="24"/>
                <w:szCs w:val="24"/>
              </w:rPr>
              <w:t xml:space="preserve"> ASA</w:t>
            </w:r>
            <w:r w:rsidRPr="00F33D47">
              <w:rPr>
                <w:rFonts w:ascii="宋体" w:hAnsi="宋体" w:hint="eastAsia"/>
                <w:sz w:val="24"/>
                <w:szCs w:val="24"/>
              </w:rPr>
              <w:t>（“</w:t>
            </w:r>
            <w:proofErr w:type="spellStart"/>
            <w:r w:rsidRPr="00F33D47">
              <w:rPr>
                <w:rFonts w:ascii="宋体" w:hAnsi="宋体"/>
                <w:b/>
                <w:sz w:val="24"/>
                <w:szCs w:val="24"/>
              </w:rPr>
              <w:t>Adevinta</w:t>
            </w:r>
            <w:proofErr w:type="spellEnd"/>
            <w:r w:rsidRPr="00F33D47">
              <w:rPr>
                <w:rFonts w:ascii="宋体" w:hAnsi="宋体" w:hint="eastAsia"/>
                <w:sz w:val="24"/>
                <w:szCs w:val="24"/>
              </w:rPr>
              <w:t>”）</w:t>
            </w:r>
            <w:r w:rsidR="008F6C04" w:rsidRPr="00F33D47">
              <w:rPr>
                <w:rFonts w:ascii="宋体" w:hAnsi="宋体" w:hint="eastAsia"/>
                <w:sz w:val="24"/>
                <w:szCs w:val="24"/>
              </w:rPr>
              <w:t>股份的建议公开收购要约</w:t>
            </w:r>
            <w:r w:rsidR="0057312C" w:rsidRPr="00F33D47">
              <w:rPr>
                <w:rFonts w:ascii="宋体" w:hAnsi="宋体" w:hint="eastAsia"/>
                <w:sz w:val="24"/>
                <w:szCs w:val="24"/>
              </w:rPr>
              <w:t>，间接收购</w:t>
            </w:r>
            <w:proofErr w:type="spellStart"/>
            <w:r w:rsidR="004105D5" w:rsidRPr="00F33D47">
              <w:rPr>
                <w:rFonts w:ascii="宋体" w:hAnsi="宋体"/>
                <w:sz w:val="24"/>
                <w:szCs w:val="24"/>
              </w:rPr>
              <w:t>Adevinta</w:t>
            </w:r>
            <w:proofErr w:type="spellEnd"/>
            <w:r w:rsidR="0057312C" w:rsidRPr="00F33D47">
              <w:rPr>
                <w:rFonts w:ascii="宋体" w:hAnsi="宋体" w:hint="eastAsia"/>
                <w:sz w:val="24"/>
                <w:szCs w:val="24"/>
              </w:rPr>
              <w:t>股份</w:t>
            </w:r>
            <w:r w:rsidR="008247CB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proofErr w:type="spellStart"/>
            <w:r w:rsidR="00CC3383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  <w:r w:rsidR="00CC3383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</w:t>
            </w:r>
            <w:r w:rsidR="00D67DD5" w:rsidRPr="00F33D47"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全球性</w:t>
            </w:r>
            <w:r w:rsidR="00CC3383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纯</w:t>
            </w:r>
            <w:r w:rsidR="00CC3383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粹的</w:t>
            </w:r>
            <w:r w:rsidR="00CC3383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在线分类广告公司</w:t>
            </w:r>
            <w:r w:rsidR="008247CB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65B2ED3C" w14:textId="4FCB0801" w:rsidR="008D4276" w:rsidRPr="00F33D47" w:rsidRDefault="008247CB" w:rsidP="00ED2F37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本次交易前，</w:t>
            </w:r>
            <w:proofErr w:type="spellStart"/>
            <w:r w:rsidR="00ED2F37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  <w:r w:rsidR="00537870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是一家上市公司</w:t>
            </w:r>
            <w:r w:rsidR="00ED2F37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没有最终控制人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。本次交易后，</w:t>
            </w:r>
            <w:proofErr w:type="gramStart"/>
            <w:r w:rsidR="0092370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璞米和</w:t>
            </w:r>
            <w:proofErr w:type="gramEnd"/>
            <w:r w:rsidR="0092370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黑石将</w:t>
            </w:r>
            <w:r w:rsidR="00ED2F37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共同控制</w:t>
            </w:r>
            <w:proofErr w:type="spellStart"/>
            <w:r w:rsidR="00ED2F37" w:rsidRPr="00F33D47">
              <w:rPr>
                <w:rFonts w:ascii="宋体" w:hAnsi="宋体"/>
                <w:sz w:val="24"/>
                <w:szCs w:val="24"/>
              </w:rPr>
              <w:t>Adevinta</w:t>
            </w:r>
            <w:proofErr w:type="spellEnd"/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proofErr w:type="spellStart"/>
            <w:r w:rsidR="00ED2F37" w:rsidRPr="00F33D47">
              <w:rPr>
                <w:rFonts w:ascii="宋体" w:hAnsi="宋体"/>
                <w:sz w:val="24"/>
                <w:szCs w:val="24"/>
              </w:rPr>
              <w:t>Adevinta</w:t>
            </w:r>
            <w:proofErr w:type="spellEnd"/>
            <w:r w:rsidR="00ED2F37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ED2F37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其余股份将由其他股东持有</w:t>
            </w:r>
            <w:r w:rsidR="00ED2F37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3E5CFC" w:rsidRPr="00F33D47" w14:paraId="497EA106" w14:textId="77777777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76E07E76" w14:textId="77777777" w:rsidR="003E5CFC" w:rsidRPr="00F33D47" w:rsidRDefault="003E5CFC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1D605BF9" w14:textId="77777777" w:rsidR="003E5CFC" w:rsidRPr="00F33D47" w:rsidRDefault="003E5CFC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14:paraId="14B5108A" w14:textId="3D4C9966" w:rsidR="003E5CFC" w:rsidRPr="00F33D47" w:rsidRDefault="003E5CFC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98127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="00B87731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proofErr w:type="gramEnd"/>
          </w:p>
        </w:tc>
        <w:tc>
          <w:tcPr>
            <w:tcW w:w="5153" w:type="dxa"/>
          </w:tcPr>
          <w:p w14:paraId="6A517108" w14:textId="5F1AB2E8" w:rsidR="00B17D8D" w:rsidRPr="00F33D47" w:rsidRDefault="00B87731" w:rsidP="00C25985">
            <w:pPr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r w:rsidR="003E5CFC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proofErr w:type="gramEnd"/>
            <w:r w:rsidRPr="00F33D47">
              <w:rPr>
                <w:rFonts w:ascii="宋体" w:hAnsi="宋体"/>
                <w:sz w:val="24"/>
                <w:szCs w:val="24"/>
              </w:rPr>
              <w:t>200</w:t>
            </w:r>
            <w:r w:rsidR="004471FD" w:rsidRPr="00F33D47">
              <w:rPr>
                <w:rFonts w:ascii="宋体" w:hAnsi="宋体"/>
                <w:sz w:val="24"/>
                <w:szCs w:val="24"/>
              </w:rPr>
              <w:t>6</w:t>
            </w:r>
            <w:r w:rsidRPr="00F33D47">
              <w:rPr>
                <w:rFonts w:ascii="宋体" w:hAnsi="宋体"/>
                <w:sz w:val="24"/>
                <w:szCs w:val="24"/>
              </w:rPr>
              <w:t>年</w:t>
            </w:r>
            <w:r w:rsidR="004471FD" w:rsidRPr="00F33D47">
              <w:rPr>
                <w:rFonts w:ascii="宋体" w:hAnsi="宋体"/>
                <w:sz w:val="24"/>
                <w:szCs w:val="24"/>
              </w:rPr>
              <w:t>11</w:t>
            </w:r>
            <w:r w:rsidRPr="00F33D47">
              <w:rPr>
                <w:rFonts w:ascii="宋体" w:hAnsi="宋体"/>
                <w:sz w:val="24"/>
                <w:szCs w:val="24"/>
              </w:rPr>
              <w:t>月</w:t>
            </w:r>
            <w:r w:rsidR="004471FD" w:rsidRPr="00F33D47">
              <w:rPr>
                <w:rFonts w:ascii="宋体" w:hAnsi="宋体"/>
                <w:sz w:val="24"/>
                <w:szCs w:val="24"/>
              </w:rPr>
              <w:t>10</w:t>
            </w:r>
            <w:r w:rsidRPr="00F33D47">
              <w:rPr>
                <w:rFonts w:ascii="宋体" w:hAnsi="宋体"/>
                <w:sz w:val="24"/>
                <w:szCs w:val="24"/>
              </w:rPr>
              <w:t>日</w:t>
            </w:r>
            <w:r w:rsidRPr="00F33D47">
              <w:rPr>
                <w:rFonts w:ascii="宋体" w:hAnsi="宋体" w:hint="eastAsia"/>
                <w:sz w:val="24"/>
                <w:szCs w:val="24"/>
              </w:rPr>
              <w:t>在</w:t>
            </w:r>
            <w:r w:rsidR="004471FD" w:rsidRPr="00F33D47">
              <w:rPr>
                <w:rFonts w:ascii="宋体" w:hAnsi="宋体"/>
                <w:sz w:val="24"/>
                <w:szCs w:val="24"/>
              </w:rPr>
              <w:t>根西</w:t>
            </w:r>
            <w:r w:rsidR="00E83764" w:rsidRPr="00F33D47">
              <w:rPr>
                <w:rFonts w:ascii="宋体" w:hAnsi="宋体" w:hint="eastAsia"/>
                <w:sz w:val="24"/>
                <w:szCs w:val="24"/>
              </w:rPr>
              <w:t>岛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成立</w:t>
            </w:r>
            <w:r w:rsidR="003E5CFC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proofErr w:type="gramStart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璞米集团</w:t>
            </w:r>
            <w:proofErr w:type="gramEnd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在全球拥有办事处网络，</w:t>
            </w:r>
            <w:proofErr w:type="gramStart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为璞米</w:t>
            </w:r>
            <w:proofErr w:type="gramEnd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基金、</w:t>
            </w:r>
            <w:proofErr w:type="gramStart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璞米基金</w:t>
            </w:r>
            <w:proofErr w:type="gramEnd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的普通合伙人和管理人及其</w:t>
            </w:r>
            <w:proofErr w:type="gramStart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他璞米投资</w:t>
            </w:r>
            <w:proofErr w:type="gramEnd"/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控股公司提供顾问和投资咨询服务</w:t>
            </w:r>
            <w:r w:rsidR="003E5CFC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014830A3" w14:textId="3E28A0F2" w:rsidR="007B2EC9" w:rsidRPr="00F33D47" w:rsidRDefault="00B87731" w:rsidP="00B87731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proofErr w:type="gramEnd"/>
            <w:r w:rsidR="003E5CFC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最终控制</w:t>
            </w:r>
            <w:proofErr w:type="gramStart"/>
            <w:r w:rsidR="003E5CFC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为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璞米控股</w:t>
            </w:r>
            <w:proofErr w:type="gramEnd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有限公司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proofErr w:type="gram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璞米控股</w:t>
            </w:r>
            <w:proofErr w:type="gramEnd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有限公司是</w:t>
            </w:r>
            <w:proofErr w:type="gramStart"/>
            <w:r w:rsidR="004471FD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集团</w:t>
            </w:r>
            <w:proofErr w:type="gramEnd"/>
            <w:r w:rsidR="004471FD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4471FD" w:rsidRPr="00F33D47">
              <w:rPr>
                <w:rFonts w:ascii="宋体" w:hAnsi="宋体" w:hint="eastAsia"/>
                <w:sz w:val="24"/>
                <w:szCs w:val="24"/>
              </w:rPr>
              <w:t>最终母公司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，负责</w:t>
            </w:r>
            <w:r w:rsidR="004471FD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管理及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监督</w:t>
            </w:r>
            <w:proofErr w:type="gram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璞米集团</w:t>
            </w:r>
            <w:proofErr w:type="gramEnd"/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运营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3E5CFC" w:rsidRPr="00F33D47" w14:paraId="42C8CD7F" w14:textId="77777777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19F44BC9" w14:textId="77777777" w:rsidR="003E5CFC" w:rsidRPr="00F33D47" w:rsidRDefault="003E5CFC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4C0C0C7A" w14:textId="52B509C4" w:rsidR="003E5CFC" w:rsidRPr="00F33D47" w:rsidRDefault="0098127F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2. 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黑石</w:t>
            </w:r>
          </w:p>
        </w:tc>
        <w:tc>
          <w:tcPr>
            <w:tcW w:w="5153" w:type="dxa"/>
          </w:tcPr>
          <w:p w14:paraId="338B5A62" w14:textId="77777777" w:rsidR="0098127F" w:rsidRPr="00F33D47" w:rsidRDefault="0098127F" w:rsidP="00F33D4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33D47">
              <w:rPr>
                <w:rFonts w:ascii="宋体" w:hAnsi="宋体"/>
                <w:sz w:val="24"/>
                <w:szCs w:val="24"/>
              </w:rPr>
              <w:t>黑石于2007年3月12日在美国成立，为纽约证券交易所上市公司。黑石是一家全球另类资产管理公司，在全球范围内的多个行业进行投资。黑石的中国投资战略与其全球战略一致。</w:t>
            </w:r>
          </w:p>
          <w:p w14:paraId="208C55EB" w14:textId="019E7458" w:rsidR="00AF0C15" w:rsidRPr="00F33D47" w:rsidRDefault="0098127F" w:rsidP="00F33D47">
            <w:pPr>
              <w:rPr>
                <w:rFonts w:ascii="宋体" w:hAnsi="宋体"/>
                <w:sz w:val="24"/>
                <w:szCs w:val="24"/>
              </w:rPr>
            </w:pPr>
            <w:r w:rsidRPr="00F33D47">
              <w:rPr>
                <w:rFonts w:ascii="宋体" w:hAnsi="宋体"/>
                <w:sz w:val="24"/>
                <w:szCs w:val="24"/>
              </w:rPr>
              <w:t>黑石的最终控制人为黑石集团管理有限责任公司。黑石集团管理有限责任公司是黑石唯一具有投票权的股东，管理黑石所有的活动和经营。</w:t>
            </w:r>
          </w:p>
        </w:tc>
      </w:tr>
      <w:tr w:rsidR="003E5CFC" w:rsidRPr="00F33D47" w14:paraId="35319D43" w14:textId="77777777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31860861" w14:textId="77777777" w:rsidR="003E5CFC" w:rsidRPr="00F33D47" w:rsidRDefault="003E5CFC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7DFC489A" w14:textId="6930648F" w:rsidR="003E5CFC" w:rsidRPr="00F33D47" w:rsidRDefault="0098127F" w:rsidP="0098127F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3. </w:t>
            </w:r>
            <w:proofErr w:type="spellStart"/>
            <w:r w:rsidR="0065168B" w:rsidRPr="00F33D47">
              <w:rPr>
                <w:rFonts w:ascii="宋体" w:hAnsi="宋体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</w:p>
        </w:tc>
        <w:tc>
          <w:tcPr>
            <w:tcW w:w="5153" w:type="dxa"/>
          </w:tcPr>
          <w:p w14:paraId="3CA62025" w14:textId="34FE5B8F" w:rsidR="003E5CFC" w:rsidRPr="00F33D47" w:rsidRDefault="0065168B" w:rsidP="00C25985">
            <w:pPr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  <w:r w:rsidR="003E5CFC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 w:rsidRPr="00F33D47">
              <w:rPr>
                <w:rFonts w:ascii="宋体" w:hAnsi="宋体"/>
                <w:sz w:val="24"/>
                <w:szCs w:val="24"/>
              </w:rPr>
              <w:t>2018年11月9日</w:t>
            </w:r>
            <w:r w:rsidRPr="00F33D47">
              <w:rPr>
                <w:rFonts w:ascii="宋体" w:hAnsi="宋体" w:hint="eastAsia"/>
                <w:sz w:val="24"/>
                <w:szCs w:val="24"/>
              </w:rPr>
              <w:t>在</w:t>
            </w:r>
            <w:r w:rsidRPr="00F33D47">
              <w:rPr>
                <w:rFonts w:ascii="宋体" w:hAnsi="宋体"/>
                <w:kern w:val="0"/>
                <w:sz w:val="24"/>
                <w:szCs w:val="24"/>
              </w:rPr>
              <w:t>挪威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成立</w:t>
            </w:r>
            <w:r w:rsidR="002B5F67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为奥斯陆证券交易所上市公司</w:t>
            </w:r>
            <w:r w:rsidR="003E5CFC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proofErr w:type="spell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</w:t>
            </w:r>
            <w:r w:rsidR="00D67DD5" w:rsidRPr="00F33D47"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全球性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纯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粹的</w:t>
            </w:r>
            <w:r w:rsidR="00E7566E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在线分类广告公司</w:t>
            </w:r>
            <w:r w:rsidR="00E7566E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在多个不同地区拥有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多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样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化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分类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广告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平台，特别是在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欧</w:t>
            </w:r>
            <w:r w:rsidR="001B33C7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洲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="00E83764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德国、法国、荷兰、西班牙和其他国家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欧洲以外</w:t>
            </w: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加拿大和巴西。</w:t>
            </w:r>
            <w:proofErr w:type="spellStart"/>
            <w:r w:rsidR="001B33C7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  <w:r w:rsidR="001B33C7" w:rsidRPr="00F33D47"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没有在中国或从中国产生营业额的</w:t>
            </w:r>
            <w:r w:rsidR="001B33C7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业务</w:t>
            </w:r>
            <w:r w:rsidR="001B33C7" w:rsidRPr="00F33D47"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活动或资产。</w:t>
            </w:r>
          </w:p>
          <w:p w14:paraId="527A3434" w14:textId="6BCB40A2" w:rsidR="00AF0C15" w:rsidRPr="00F33D47" w:rsidRDefault="0065168B" w:rsidP="002B5F67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Adevinta</w:t>
            </w:r>
            <w:proofErr w:type="spellEnd"/>
            <w:proofErr w:type="gramStart"/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无最终</w:t>
            </w:r>
            <w:proofErr w:type="gramEnd"/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控制人</w:t>
            </w:r>
            <w:r w:rsidR="003E5CFC"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F33D47" w14:paraId="7BC4A34C" w14:textId="77777777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C8052A9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51EFE8D9" w14:textId="71228BB1" w:rsidR="00CB00DF" w:rsidRPr="00F33D47" w:rsidRDefault="00DB2550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="00CB00D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1.在同一相关市场，所有参与集中的经营者所占市场份额之和小于15%。</w:t>
            </w:r>
          </w:p>
        </w:tc>
      </w:tr>
      <w:tr w:rsidR="00CB00DF" w:rsidRPr="00F33D47" w14:paraId="3E97A3B5" w14:textId="77777777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41B98BFA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63BC8EB" w14:textId="77777777" w:rsidR="00CB00DF" w:rsidRPr="00F33D47" w:rsidRDefault="00CB00DF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□2.存在上下游关系的参与集中的经营者，在上下游市场所占的市场份额均小于25%。</w:t>
            </w:r>
          </w:p>
        </w:tc>
      </w:tr>
      <w:tr w:rsidR="00CB00DF" w:rsidRPr="00F33D47" w14:paraId="14CA1F77" w14:textId="77777777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5A702367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B0B1FA8" w14:textId="77777777" w:rsidR="00CB00DF" w:rsidRPr="00F33D47" w:rsidRDefault="00A63221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="00CB00D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3.不在同一相关市场、也不存在上下游关系的参与集中的经营者，在与交易有关的每个市场所占的份额均小于25%。</w:t>
            </w:r>
          </w:p>
        </w:tc>
      </w:tr>
      <w:tr w:rsidR="00CB00DF" w:rsidRPr="00F33D47" w14:paraId="53EA9230" w14:textId="77777777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2925CAE2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29E511DA" w14:textId="207B5D6F" w:rsidR="00CB00DF" w:rsidRPr="00F33D47" w:rsidRDefault="00FD78FE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="00CB00D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4.参与集中的经营者在中国境外设立合营企业，合营企业不在中国境内从事经济活动。</w:t>
            </w:r>
          </w:p>
        </w:tc>
      </w:tr>
      <w:tr w:rsidR="00CB00DF" w:rsidRPr="00F33D47" w14:paraId="0493979B" w14:textId="77777777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68F72BE7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6D5C2F68" w14:textId="2AD80AA4" w:rsidR="00CB00DF" w:rsidRPr="00F33D47" w:rsidRDefault="00FD78FE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sz w:val="24"/>
                <w:szCs w:val="24"/>
              </w:rPr>
              <w:sym w:font="Wingdings" w:char="F0FE"/>
            </w:r>
            <w:r w:rsidR="00CB00D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5.参与集中的经营者收购境外企业股权或资产的，该境外企业</w:t>
            </w:r>
            <w:r w:rsidR="00CB00DF"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不在中国境内从事经济活动。</w:t>
            </w:r>
          </w:p>
        </w:tc>
      </w:tr>
      <w:tr w:rsidR="00CB00DF" w:rsidRPr="00F33D47" w14:paraId="51E6235F" w14:textId="77777777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2D2BBB4C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1BD2FF9" w14:textId="77777777" w:rsidR="00CB00DF" w:rsidRPr="00F33D47" w:rsidRDefault="00CB00DF" w:rsidP="00C25985">
            <w:pPr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□6.由两个以上的经营者共同控制的合营企业，通过集中被其中一个或一个以上经营者控制。</w:t>
            </w:r>
          </w:p>
        </w:tc>
      </w:tr>
      <w:tr w:rsidR="00CB00DF" w:rsidRPr="00F33D47" w14:paraId="634F4A97" w14:textId="77777777" w:rsidTr="00CB00DF">
        <w:tc>
          <w:tcPr>
            <w:tcW w:w="1809" w:type="dxa"/>
            <w:shd w:val="clear" w:color="auto" w:fill="D9D9D9"/>
            <w:vAlign w:val="center"/>
          </w:tcPr>
          <w:p w14:paraId="04E7CB09" w14:textId="77777777" w:rsidR="00CB00DF" w:rsidRPr="00F33D47" w:rsidRDefault="00CB00DF" w:rsidP="00C25985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50302D86" w14:textId="2408629A" w:rsidR="002E33C9" w:rsidRPr="00F33D47" w:rsidRDefault="004D4FF6" w:rsidP="00C25985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F33D47">
              <w:rPr>
                <w:rFonts w:ascii="宋体" w:hAnsi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不适用</w:t>
            </w:r>
          </w:p>
        </w:tc>
      </w:tr>
    </w:tbl>
    <w:p w14:paraId="7562DAD0" w14:textId="77777777" w:rsidR="00311FE2" w:rsidRPr="0065168B" w:rsidRDefault="00311FE2">
      <w:pPr>
        <w:rPr>
          <w:rFonts w:ascii="仿宋" w:eastAsia="仿宋" w:hAnsi="仿宋" w:hint="eastAsia"/>
          <w:sz w:val="22"/>
        </w:rPr>
      </w:pPr>
    </w:p>
    <w:sectPr w:rsidR="00311FE2" w:rsidRPr="0065168B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A61B" w14:textId="77777777" w:rsidR="003D65EC" w:rsidRDefault="003D65EC" w:rsidP="005D58EF">
      <w:r>
        <w:separator/>
      </w:r>
    </w:p>
  </w:endnote>
  <w:endnote w:type="continuationSeparator" w:id="0">
    <w:p w14:paraId="15D6F37E" w14:textId="77777777" w:rsidR="003D65EC" w:rsidRDefault="003D65EC" w:rsidP="005D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60D9" w14:textId="77777777" w:rsidR="003D65EC" w:rsidRDefault="003D65EC" w:rsidP="005D58EF">
      <w:r>
        <w:separator/>
      </w:r>
    </w:p>
  </w:footnote>
  <w:footnote w:type="continuationSeparator" w:id="0">
    <w:p w14:paraId="70B9BEDB" w14:textId="77777777" w:rsidR="003D65EC" w:rsidRDefault="003D65EC" w:rsidP="005D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80ABF"/>
    <w:multiLevelType w:val="hybridMultilevel"/>
    <w:tmpl w:val="4FCA8DA2"/>
    <w:lvl w:ilvl="0" w:tplc="0884EF0C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844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00037065"/>
    <w:rsid w:val="00073539"/>
    <w:rsid w:val="000B2B29"/>
    <w:rsid w:val="000C2D55"/>
    <w:rsid w:val="000D7EBA"/>
    <w:rsid w:val="000F73E1"/>
    <w:rsid w:val="00103516"/>
    <w:rsid w:val="00110DA6"/>
    <w:rsid w:val="001164CD"/>
    <w:rsid w:val="001536A8"/>
    <w:rsid w:val="00155717"/>
    <w:rsid w:val="001837A3"/>
    <w:rsid w:val="001B33C7"/>
    <w:rsid w:val="00235C21"/>
    <w:rsid w:val="002449BB"/>
    <w:rsid w:val="00255584"/>
    <w:rsid w:val="002654D7"/>
    <w:rsid w:val="00266C22"/>
    <w:rsid w:val="00272976"/>
    <w:rsid w:val="00273259"/>
    <w:rsid w:val="002732F8"/>
    <w:rsid w:val="00275810"/>
    <w:rsid w:val="00277AB6"/>
    <w:rsid w:val="00295290"/>
    <w:rsid w:val="002A36AE"/>
    <w:rsid w:val="002B57D1"/>
    <w:rsid w:val="002B5F67"/>
    <w:rsid w:val="002B683A"/>
    <w:rsid w:val="002C5D96"/>
    <w:rsid w:val="002E18AC"/>
    <w:rsid w:val="002E1DAC"/>
    <w:rsid w:val="002E33C9"/>
    <w:rsid w:val="0030042A"/>
    <w:rsid w:val="00311FE2"/>
    <w:rsid w:val="00330CB0"/>
    <w:rsid w:val="003350DC"/>
    <w:rsid w:val="003553FF"/>
    <w:rsid w:val="00375C13"/>
    <w:rsid w:val="003A7257"/>
    <w:rsid w:val="003C0AEB"/>
    <w:rsid w:val="003C73FE"/>
    <w:rsid w:val="003D65EC"/>
    <w:rsid w:val="003E5CFC"/>
    <w:rsid w:val="003F3223"/>
    <w:rsid w:val="004015A2"/>
    <w:rsid w:val="004105D5"/>
    <w:rsid w:val="00414C0A"/>
    <w:rsid w:val="004471FD"/>
    <w:rsid w:val="00481614"/>
    <w:rsid w:val="004A73CB"/>
    <w:rsid w:val="004D4FF6"/>
    <w:rsid w:val="004F6B13"/>
    <w:rsid w:val="004F7688"/>
    <w:rsid w:val="00503865"/>
    <w:rsid w:val="005214E6"/>
    <w:rsid w:val="00523F38"/>
    <w:rsid w:val="005330FE"/>
    <w:rsid w:val="00537870"/>
    <w:rsid w:val="00560025"/>
    <w:rsid w:val="00562593"/>
    <w:rsid w:val="00564696"/>
    <w:rsid w:val="0057312C"/>
    <w:rsid w:val="005A4F19"/>
    <w:rsid w:val="005B3468"/>
    <w:rsid w:val="005C5865"/>
    <w:rsid w:val="005D58EF"/>
    <w:rsid w:val="005E13AC"/>
    <w:rsid w:val="006467D8"/>
    <w:rsid w:val="0065168B"/>
    <w:rsid w:val="0068378F"/>
    <w:rsid w:val="00684825"/>
    <w:rsid w:val="006A531B"/>
    <w:rsid w:val="006C3FE7"/>
    <w:rsid w:val="006E4CD7"/>
    <w:rsid w:val="006F2A8E"/>
    <w:rsid w:val="006F7693"/>
    <w:rsid w:val="00710140"/>
    <w:rsid w:val="00726E5D"/>
    <w:rsid w:val="00743EDC"/>
    <w:rsid w:val="007A4192"/>
    <w:rsid w:val="007B1CBC"/>
    <w:rsid w:val="007B2EC9"/>
    <w:rsid w:val="007C4F9E"/>
    <w:rsid w:val="007F2275"/>
    <w:rsid w:val="007F789D"/>
    <w:rsid w:val="008247CB"/>
    <w:rsid w:val="00832C56"/>
    <w:rsid w:val="008809CF"/>
    <w:rsid w:val="00885236"/>
    <w:rsid w:val="008A54DA"/>
    <w:rsid w:val="008B61F7"/>
    <w:rsid w:val="008B65E9"/>
    <w:rsid w:val="008D4276"/>
    <w:rsid w:val="008F6C04"/>
    <w:rsid w:val="00915F0F"/>
    <w:rsid w:val="0092370F"/>
    <w:rsid w:val="00932924"/>
    <w:rsid w:val="009532DF"/>
    <w:rsid w:val="0098127F"/>
    <w:rsid w:val="00986DC2"/>
    <w:rsid w:val="00997019"/>
    <w:rsid w:val="009A5029"/>
    <w:rsid w:val="009B4582"/>
    <w:rsid w:val="009D38D5"/>
    <w:rsid w:val="009D42E3"/>
    <w:rsid w:val="00A058A6"/>
    <w:rsid w:val="00A11723"/>
    <w:rsid w:val="00A35DE7"/>
    <w:rsid w:val="00A53F26"/>
    <w:rsid w:val="00A619F9"/>
    <w:rsid w:val="00A63221"/>
    <w:rsid w:val="00A7363A"/>
    <w:rsid w:val="00AA0CC5"/>
    <w:rsid w:val="00AE1A43"/>
    <w:rsid w:val="00AF0C15"/>
    <w:rsid w:val="00B13917"/>
    <w:rsid w:val="00B16AFE"/>
    <w:rsid w:val="00B17D8D"/>
    <w:rsid w:val="00B50BA3"/>
    <w:rsid w:val="00B5126E"/>
    <w:rsid w:val="00B65DD5"/>
    <w:rsid w:val="00B76152"/>
    <w:rsid w:val="00B87731"/>
    <w:rsid w:val="00BA20D8"/>
    <w:rsid w:val="00BA482A"/>
    <w:rsid w:val="00BD10B6"/>
    <w:rsid w:val="00BE3DAC"/>
    <w:rsid w:val="00C07076"/>
    <w:rsid w:val="00C106C1"/>
    <w:rsid w:val="00C13588"/>
    <w:rsid w:val="00C25985"/>
    <w:rsid w:val="00C4578B"/>
    <w:rsid w:val="00C7117A"/>
    <w:rsid w:val="00CB00DF"/>
    <w:rsid w:val="00CC3383"/>
    <w:rsid w:val="00CE7A3C"/>
    <w:rsid w:val="00D32C2E"/>
    <w:rsid w:val="00D36BD6"/>
    <w:rsid w:val="00D459A6"/>
    <w:rsid w:val="00D51FFC"/>
    <w:rsid w:val="00D5324F"/>
    <w:rsid w:val="00D66C3B"/>
    <w:rsid w:val="00D67DD5"/>
    <w:rsid w:val="00D73C72"/>
    <w:rsid w:val="00D75100"/>
    <w:rsid w:val="00D8320D"/>
    <w:rsid w:val="00D93BC6"/>
    <w:rsid w:val="00DA6756"/>
    <w:rsid w:val="00DB2550"/>
    <w:rsid w:val="00DB3909"/>
    <w:rsid w:val="00DE4C6C"/>
    <w:rsid w:val="00DE708D"/>
    <w:rsid w:val="00E0592B"/>
    <w:rsid w:val="00E07C28"/>
    <w:rsid w:val="00E31738"/>
    <w:rsid w:val="00E54EA4"/>
    <w:rsid w:val="00E575B1"/>
    <w:rsid w:val="00E7566E"/>
    <w:rsid w:val="00E83764"/>
    <w:rsid w:val="00E86786"/>
    <w:rsid w:val="00EA2A57"/>
    <w:rsid w:val="00EB35C8"/>
    <w:rsid w:val="00EB6127"/>
    <w:rsid w:val="00ED1BCF"/>
    <w:rsid w:val="00ED2F37"/>
    <w:rsid w:val="00ED2F80"/>
    <w:rsid w:val="00EE75A2"/>
    <w:rsid w:val="00F1624E"/>
    <w:rsid w:val="00F17175"/>
    <w:rsid w:val="00F31D4E"/>
    <w:rsid w:val="00F32F8A"/>
    <w:rsid w:val="00F33D47"/>
    <w:rsid w:val="00F60070"/>
    <w:rsid w:val="00F810AA"/>
    <w:rsid w:val="00F847EF"/>
    <w:rsid w:val="00F84916"/>
    <w:rsid w:val="00FB43EC"/>
    <w:rsid w:val="00FB6B40"/>
    <w:rsid w:val="00FC7B55"/>
    <w:rsid w:val="00FD78FE"/>
    <w:rsid w:val="00FE2280"/>
    <w:rsid w:val="00FE5BDB"/>
    <w:rsid w:val="00FF20BA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F6666"/>
  <w15:docId w15:val="{B6594CDA-27DE-4230-9A5F-6DCC4928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8E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8EF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57D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57D1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8B65E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1391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1391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13917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391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13917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8F6C0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Fangda</dc:creator>
  <cp:lastModifiedBy>Fangda</cp:lastModifiedBy>
  <cp:revision>27</cp:revision>
  <dcterms:created xsi:type="dcterms:W3CDTF">2023-12-18T04:50:00Z</dcterms:created>
  <dcterms:modified xsi:type="dcterms:W3CDTF">2023-12-18T05:11:00Z</dcterms:modified>
</cp:coreProperties>
</file>