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黑体" w:hAnsi="黑体" w:eastAsia="黑体" w:cs="黑体"/>
          <w:bCs/>
          <w:sz w:val="36"/>
          <w:szCs w:val="36"/>
        </w:rPr>
      </w:pPr>
      <w:r>
        <w:rPr>
          <w:rFonts w:hint="eastAsia" w:ascii="黑体" w:hAnsi="黑体" w:eastAsia="黑体" w:cs="黑体"/>
          <w:bCs/>
          <w:sz w:val="36"/>
          <w:szCs w:val="36"/>
        </w:rPr>
        <w:t>经营者集中简易案件公示表</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40" w:type="dxa"/>
            <w:shd w:val="clear" w:color="auto" w:fill="D9D9D9"/>
            <w:vAlign w:val="center"/>
          </w:tcPr>
          <w:p>
            <w:pPr>
              <w:pStyle w:val="2"/>
              <w:adjustRightInd w:val="0"/>
              <w:snapToGrid w:val="0"/>
              <w:spacing w:after="0"/>
              <w:rPr>
                <w:rFonts w:ascii="宋体" w:hAnsi="宋体" w:cs="Times New Roman"/>
                <w:bCs/>
                <w:lang w:val="en-US"/>
              </w:rPr>
            </w:pPr>
            <w:r>
              <w:rPr>
                <w:rFonts w:ascii="宋体" w:hAnsi="宋体" w:cs="Times New Roman"/>
                <w:bCs/>
              </w:rPr>
              <w:t>案件名称</w:t>
            </w:r>
          </w:p>
        </w:tc>
        <w:tc>
          <w:tcPr>
            <w:tcW w:w="7700" w:type="dxa"/>
            <w:gridSpan w:val="2"/>
            <w:vAlign w:val="center"/>
          </w:tcPr>
          <w:p>
            <w:pPr>
              <w:adjustRightInd w:val="0"/>
              <w:snapToGrid w:val="0"/>
              <w:rPr>
                <w:rFonts w:ascii="宋体" w:hAnsi="宋体" w:eastAsia="宋体" w:cs="Times New Roman"/>
                <w:bCs/>
                <w:sz w:val="24"/>
                <w:szCs w:val="24"/>
              </w:rPr>
            </w:pPr>
            <w:r>
              <w:rPr>
                <w:rFonts w:hint="eastAsia" w:ascii="宋体" w:hAnsi="宋体" w:eastAsia="宋体" w:cs="Times New Roman"/>
                <w:bCs/>
                <w:sz w:val="24"/>
                <w:szCs w:val="24"/>
              </w:rPr>
              <w:t>西安碑林药业股份有限公司收购重庆多普泰医药科技有限公司股权案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940" w:type="dxa"/>
            <w:shd w:val="clear" w:color="auto" w:fill="D9D9D9"/>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t>交易概况（限200字内）</w:t>
            </w:r>
          </w:p>
        </w:tc>
        <w:tc>
          <w:tcPr>
            <w:tcW w:w="7700" w:type="dxa"/>
            <w:gridSpan w:val="2"/>
            <w:vAlign w:val="center"/>
          </w:tcPr>
          <w:p>
            <w:pPr>
              <w:adjustRightInd w:val="0"/>
              <w:snapToGrid w:val="0"/>
              <w:rPr>
                <w:rFonts w:ascii="宋体" w:hAnsi="宋体" w:eastAsia="宋体" w:cs="Times New Roman"/>
                <w:bCs/>
                <w:sz w:val="24"/>
                <w:szCs w:val="24"/>
              </w:rPr>
            </w:pPr>
            <w:r>
              <w:rPr>
                <w:rFonts w:hint="eastAsia" w:ascii="宋体" w:hAnsi="宋体" w:eastAsia="宋体" w:cs="Times New Roman"/>
                <w:bCs/>
                <w:sz w:val="24"/>
                <w:szCs w:val="24"/>
              </w:rPr>
              <w:t>西安碑林药业股份有限公司</w:t>
            </w:r>
            <w:r>
              <w:rPr>
                <w:rFonts w:ascii="宋体" w:hAnsi="宋体" w:eastAsia="宋体" w:cs="Times New Roman"/>
                <w:bCs/>
                <w:sz w:val="24"/>
                <w:szCs w:val="24"/>
              </w:rPr>
              <w:t>（“</w:t>
            </w:r>
            <w:r>
              <w:rPr>
                <w:rFonts w:ascii="宋体" w:hAnsi="宋体" w:eastAsia="宋体" w:cs="Times New Roman"/>
                <w:b/>
                <w:sz w:val="24"/>
                <w:szCs w:val="24"/>
              </w:rPr>
              <w:t>碑林药业</w:t>
            </w:r>
            <w:r>
              <w:rPr>
                <w:rFonts w:ascii="宋体" w:hAnsi="宋体" w:eastAsia="宋体" w:cs="Times New Roman"/>
                <w:bCs/>
                <w:sz w:val="24"/>
                <w:szCs w:val="24"/>
              </w:rPr>
              <w:t>”）与</w:t>
            </w:r>
            <w:r>
              <w:rPr>
                <w:rFonts w:hint="eastAsia" w:ascii="宋体" w:hAnsi="宋体" w:eastAsia="宋体" w:cs="Times New Roman"/>
                <w:bCs/>
                <w:sz w:val="24"/>
                <w:szCs w:val="24"/>
              </w:rPr>
              <w:t>重庆多普泰医药科技有限公司</w:t>
            </w:r>
            <w:r>
              <w:rPr>
                <w:rFonts w:ascii="宋体" w:hAnsi="宋体" w:eastAsia="宋体" w:cs="Times New Roman"/>
                <w:bCs/>
                <w:sz w:val="24"/>
                <w:szCs w:val="24"/>
              </w:rPr>
              <w:t>（“</w:t>
            </w:r>
            <w:r>
              <w:rPr>
                <w:rFonts w:ascii="宋体" w:hAnsi="宋体" w:eastAsia="宋体" w:cs="Times New Roman"/>
                <w:b/>
                <w:sz w:val="24"/>
                <w:szCs w:val="24"/>
              </w:rPr>
              <w:t>多普泰科技</w:t>
            </w:r>
            <w:r>
              <w:rPr>
                <w:rFonts w:ascii="宋体" w:hAnsi="宋体" w:eastAsia="宋体" w:cs="Times New Roman"/>
                <w:bCs/>
                <w:sz w:val="24"/>
                <w:szCs w:val="24"/>
              </w:rPr>
              <w:t>”）</w:t>
            </w:r>
            <w:r>
              <w:rPr>
                <w:rFonts w:hint="eastAsia" w:ascii="宋体" w:hAnsi="宋体" w:eastAsia="宋体" w:cs="Times New Roman"/>
                <w:bCs/>
                <w:sz w:val="24"/>
                <w:szCs w:val="24"/>
              </w:rPr>
              <w:t>、重庆多普泰制药股份有限公司（“</w:t>
            </w:r>
            <w:r>
              <w:rPr>
                <w:rFonts w:hint="eastAsia" w:ascii="宋体" w:hAnsi="宋体" w:eastAsia="宋体" w:cs="Times New Roman"/>
                <w:b/>
                <w:sz w:val="24"/>
                <w:szCs w:val="24"/>
              </w:rPr>
              <w:t>多普泰</w:t>
            </w:r>
            <w:r>
              <w:rPr>
                <w:rFonts w:hint="eastAsia" w:ascii="宋体" w:hAnsi="宋体" w:eastAsia="宋体" w:cs="Times New Roman"/>
                <w:bCs/>
                <w:sz w:val="24"/>
                <w:szCs w:val="24"/>
              </w:rPr>
              <w:t>”）</w:t>
            </w:r>
            <w:r>
              <w:rPr>
                <w:rFonts w:ascii="宋体" w:hAnsi="宋体" w:eastAsia="宋体" w:cs="Times New Roman"/>
                <w:bCs/>
                <w:sz w:val="24"/>
                <w:szCs w:val="24"/>
              </w:rPr>
              <w:t>签署</w:t>
            </w:r>
            <w:r>
              <w:rPr>
                <w:rFonts w:hint="eastAsia" w:ascii="宋体" w:hAnsi="宋体" w:eastAsia="宋体" w:cs="Times New Roman"/>
                <w:bCs/>
                <w:sz w:val="24"/>
                <w:szCs w:val="24"/>
              </w:rPr>
              <w:t>协议</w:t>
            </w:r>
            <w:r>
              <w:rPr>
                <w:rFonts w:ascii="宋体" w:hAnsi="宋体" w:eastAsia="宋体" w:cs="Times New Roman"/>
                <w:bCs/>
                <w:sz w:val="24"/>
                <w:szCs w:val="24"/>
              </w:rPr>
              <w:t>，</w:t>
            </w:r>
            <w:r>
              <w:rPr>
                <w:rFonts w:hint="eastAsia" w:ascii="宋体" w:hAnsi="宋体" w:eastAsia="宋体" w:cs="Times New Roman"/>
                <w:bCs/>
                <w:sz w:val="24"/>
                <w:szCs w:val="24"/>
              </w:rPr>
              <w:t>碑林药业拟收购多普泰科技</w:t>
            </w:r>
            <w:r>
              <w:rPr>
                <w:rFonts w:ascii="宋体" w:hAnsi="宋体" w:eastAsia="宋体" w:cs="Times New Roman"/>
                <w:bCs/>
                <w:sz w:val="24"/>
                <w:szCs w:val="24"/>
              </w:rPr>
              <w:t>63%</w:t>
            </w:r>
            <w:r>
              <w:rPr>
                <w:rFonts w:hint="eastAsia" w:ascii="宋体" w:hAnsi="宋体" w:eastAsia="宋体" w:cs="Times New Roman"/>
                <w:bCs/>
                <w:sz w:val="24"/>
                <w:szCs w:val="24"/>
              </w:rPr>
              <w:t>的股份</w:t>
            </w:r>
            <w:r>
              <w:rPr>
                <w:rFonts w:ascii="宋体" w:hAnsi="宋体" w:eastAsia="宋体" w:cs="Times New Roman"/>
                <w:bCs/>
                <w:sz w:val="24"/>
                <w:szCs w:val="24"/>
              </w:rPr>
              <w:t>。</w:t>
            </w:r>
            <w:r>
              <w:rPr>
                <w:rFonts w:hint="eastAsia" w:ascii="宋体" w:hAnsi="宋体" w:eastAsia="宋体" w:cs="Times New Roman"/>
                <w:bCs/>
                <w:sz w:val="24"/>
                <w:szCs w:val="24"/>
              </w:rPr>
              <w:t>多普泰科技主要从事心脑血管中成药生产业务。交易前，多普泰单独控制多普泰科技。</w:t>
            </w:r>
            <w:r>
              <w:rPr>
                <w:rFonts w:ascii="宋体" w:hAnsi="宋体" w:eastAsia="宋体" w:cs="Times New Roman"/>
                <w:bCs/>
                <w:sz w:val="24"/>
                <w:szCs w:val="24"/>
              </w:rPr>
              <w:t>交易后，</w:t>
            </w:r>
            <w:r>
              <w:rPr>
                <w:rFonts w:hint="eastAsia" w:ascii="宋体" w:hAnsi="宋体" w:eastAsia="宋体" w:cs="Times New Roman"/>
                <w:bCs/>
                <w:sz w:val="24"/>
                <w:szCs w:val="24"/>
              </w:rPr>
              <w:t>碑林药业将单独</w:t>
            </w:r>
            <w:r>
              <w:rPr>
                <w:rFonts w:ascii="宋体" w:hAnsi="宋体" w:eastAsia="宋体" w:cs="Times New Roman"/>
                <w:bCs/>
                <w:sz w:val="24"/>
                <w:szCs w:val="24"/>
              </w:rPr>
              <w:t>控制</w:t>
            </w:r>
            <w:r>
              <w:rPr>
                <w:rFonts w:hint="eastAsia" w:ascii="宋体" w:hAnsi="宋体" w:eastAsia="宋体" w:cs="Times New Roman"/>
                <w:bCs/>
                <w:sz w:val="24"/>
                <w:szCs w:val="24"/>
              </w:rPr>
              <w:t>多普泰科技</w:t>
            </w:r>
            <w:r>
              <w:rPr>
                <w:rFonts w:ascii="宋体" w:hAnsi="宋体"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940" w:type="dxa"/>
            <w:vMerge w:val="restart"/>
            <w:shd w:val="clear" w:color="auto" w:fill="D9D9D9"/>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t>参与集中的经营者简介（每个限</w:t>
            </w:r>
            <w:r>
              <w:rPr>
                <w:rFonts w:ascii="宋体" w:hAnsi="宋体" w:cs="Times New Roman"/>
                <w:bCs/>
                <w:lang w:val="en-US" w:eastAsia="zh-CN"/>
              </w:rPr>
              <w:t>100字以内</w:t>
            </w:r>
            <w:r>
              <w:rPr>
                <w:rFonts w:ascii="宋体" w:hAnsi="宋体" w:cs="Times New Roman"/>
                <w:bCs/>
                <w:lang w:eastAsia="zh-CN"/>
              </w:rPr>
              <w:t>）</w:t>
            </w:r>
          </w:p>
        </w:tc>
        <w:tc>
          <w:tcPr>
            <w:tcW w:w="1607" w:type="dxa"/>
            <w:vAlign w:val="center"/>
          </w:tcPr>
          <w:p>
            <w:pPr>
              <w:pStyle w:val="2"/>
              <w:adjustRightInd w:val="0"/>
              <w:snapToGrid w:val="0"/>
              <w:spacing w:after="0"/>
              <w:rPr>
                <w:rFonts w:ascii="宋体" w:hAnsi="宋体" w:cs="Times New Roman"/>
                <w:bCs/>
                <w:lang w:eastAsia="zh-CN"/>
              </w:rPr>
            </w:pPr>
            <w:r>
              <w:rPr>
                <w:rFonts w:ascii="宋体" w:hAnsi="宋体" w:cs="Times New Roman"/>
                <w:bCs/>
                <w:lang w:val="en-US" w:eastAsia="zh-CN"/>
              </w:rPr>
              <w:t>1.</w:t>
            </w:r>
            <w:r>
              <w:rPr>
                <w:rFonts w:ascii="宋体" w:hAnsi="宋体" w:cs="Times New Roman"/>
                <w:bCs/>
                <w:lang w:eastAsia="zh-CN"/>
              </w:rPr>
              <w:t>碑林药业</w:t>
            </w:r>
          </w:p>
        </w:tc>
        <w:tc>
          <w:tcPr>
            <w:tcW w:w="6093" w:type="dxa"/>
            <w:vAlign w:val="center"/>
          </w:tcPr>
          <w:p>
            <w:pPr>
              <w:adjustRightInd w:val="0"/>
              <w:snapToGrid w:val="0"/>
              <w:rPr>
                <w:rFonts w:ascii="宋体" w:hAnsi="宋体" w:eastAsia="宋体" w:cs="Times New Roman"/>
                <w:sz w:val="24"/>
                <w:szCs w:val="24"/>
              </w:rPr>
            </w:pPr>
            <w:bookmarkStart w:id="0" w:name="_Hlk155809119"/>
            <w:r>
              <w:rPr>
                <w:rFonts w:ascii="宋体" w:hAnsi="宋体" w:eastAsia="宋体" w:cs="Times New Roman"/>
                <w:sz w:val="24"/>
                <w:szCs w:val="24"/>
              </w:rPr>
              <w:t>碑林药业于2001年10月17日成立于</w:t>
            </w:r>
            <w:r>
              <w:rPr>
                <w:rFonts w:hint="eastAsia" w:ascii="宋体" w:hAnsi="宋体" w:eastAsia="宋体" w:cs="Times New Roman"/>
                <w:sz w:val="24"/>
                <w:szCs w:val="24"/>
              </w:rPr>
              <w:t>陕西省</w:t>
            </w:r>
            <w:r>
              <w:rPr>
                <w:rFonts w:hint="eastAsia" w:ascii="宋体" w:hAnsi="宋体" w:eastAsia="宋体" w:cs="Times New Roman"/>
                <w:sz w:val="24"/>
                <w:szCs w:val="24"/>
                <w:lang w:eastAsia="zh-CN"/>
              </w:rPr>
              <w:t>西安市</w:t>
            </w:r>
            <w:r>
              <w:rPr>
                <w:rFonts w:ascii="宋体" w:hAnsi="宋体" w:eastAsia="宋体" w:cs="Times New Roman"/>
                <w:sz w:val="24"/>
                <w:szCs w:val="24"/>
              </w:rPr>
              <w:t>，</w:t>
            </w:r>
            <w:r>
              <w:rPr>
                <w:rFonts w:hint="eastAsia" w:ascii="宋体" w:hAnsi="宋体" w:eastAsia="宋体" w:cs="Times New Roman"/>
                <w:sz w:val="24"/>
                <w:szCs w:val="24"/>
              </w:rPr>
              <w:t>主要从事药品生产、销售与研发业务</w:t>
            </w:r>
            <w:r>
              <w:rPr>
                <w:rFonts w:ascii="宋体" w:hAnsi="宋体" w:eastAsia="宋体" w:cs="Times New Roman"/>
                <w:sz w:val="24"/>
                <w:szCs w:val="24"/>
              </w:rPr>
              <w:t>。</w:t>
            </w:r>
          </w:p>
          <w:p>
            <w:pPr>
              <w:adjustRightInd w:val="0"/>
              <w:snapToGrid w:val="0"/>
              <w:rPr>
                <w:rFonts w:ascii="宋体" w:hAnsi="宋体" w:eastAsia="宋体" w:cs="Times New Roman"/>
                <w:sz w:val="24"/>
                <w:szCs w:val="24"/>
              </w:rPr>
            </w:pPr>
            <w:r>
              <w:rPr>
                <w:rFonts w:ascii="宋体" w:hAnsi="宋体" w:eastAsia="宋体" w:cs="Times New Roman"/>
                <w:sz w:val="24"/>
                <w:szCs w:val="24"/>
              </w:rPr>
              <w:t>碑林药业最终控制人为</w:t>
            </w:r>
            <w:r>
              <w:rPr>
                <w:rFonts w:hint="eastAsia" w:ascii="宋体" w:hAnsi="宋体" w:eastAsia="宋体" w:cs="Times New Roman"/>
                <w:sz w:val="24"/>
                <w:szCs w:val="24"/>
              </w:rPr>
              <w:t>自然人</w:t>
            </w:r>
            <w:r>
              <w:rPr>
                <w:rFonts w:ascii="宋体" w:hAnsi="宋体" w:eastAsia="宋体" w:cs="Times New Roman"/>
                <w:sz w:val="24"/>
                <w:szCs w:val="24"/>
              </w:rPr>
              <w:t>，</w:t>
            </w:r>
            <w:r>
              <w:rPr>
                <w:rFonts w:hint="eastAsia" w:ascii="宋体" w:hAnsi="宋体" w:eastAsia="宋体" w:cs="Times New Roman"/>
                <w:sz w:val="24"/>
                <w:szCs w:val="24"/>
              </w:rPr>
              <w:t>主要通过其控制的企业开展业务，涵盖医药健康、生态农业、油脂、贸易、置业投资及金融服务等领域。</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continue"/>
            <w:shd w:val="clear" w:color="auto" w:fill="D9D9D9"/>
            <w:vAlign w:val="center"/>
          </w:tcPr>
          <w:p>
            <w:pPr>
              <w:pStyle w:val="2"/>
              <w:adjustRightInd w:val="0"/>
              <w:snapToGrid w:val="0"/>
              <w:spacing w:after="0"/>
              <w:rPr>
                <w:rFonts w:ascii="宋体" w:hAnsi="宋体" w:cs="Times New Roman"/>
                <w:bCs/>
                <w:lang w:val="en-US" w:eastAsia="zh-CN"/>
              </w:rPr>
            </w:pPr>
          </w:p>
        </w:tc>
        <w:tc>
          <w:tcPr>
            <w:tcW w:w="1607" w:type="dxa"/>
            <w:vAlign w:val="center"/>
          </w:tcPr>
          <w:p>
            <w:pPr>
              <w:pStyle w:val="2"/>
              <w:adjustRightInd w:val="0"/>
              <w:snapToGrid w:val="0"/>
              <w:spacing w:after="0"/>
              <w:rPr>
                <w:rFonts w:ascii="宋体" w:hAnsi="宋体" w:cs="Times New Roman"/>
                <w:bCs/>
                <w:lang w:eastAsia="zh-CN"/>
              </w:rPr>
            </w:pPr>
            <w:r>
              <w:rPr>
                <w:rFonts w:ascii="宋体" w:hAnsi="宋体" w:cs="Times New Roman"/>
                <w:bCs/>
                <w:lang w:val="en-US" w:eastAsia="zh-CN"/>
              </w:rPr>
              <w:t>2.</w:t>
            </w:r>
            <w:r>
              <w:rPr>
                <w:rFonts w:ascii="宋体" w:hAnsi="宋体" w:cs="Times New Roman"/>
                <w:bCs/>
                <w:lang w:eastAsia="zh-CN"/>
              </w:rPr>
              <w:t>多普泰科技</w:t>
            </w:r>
          </w:p>
        </w:tc>
        <w:tc>
          <w:tcPr>
            <w:tcW w:w="6093" w:type="dxa"/>
            <w:shd w:val="clear" w:color="auto" w:fill="auto"/>
            <w:vAlign w:val="center"/>
          </w:tcPr>
          <w:p>
            <w:pPr>
              <w:adjustRightInd w:val="0"/>
              <w:snapToGrid w:val="0"/>
              <w:rPr>
                <w:rFonts w:ascii="宋体" w:hAnsi="宋体" w:eastAsia="宋体" w:cs="Times New Roman"/>
                <w:b/>
                <w:sz w:val="24"/>
                <w:szCs w:val="24"/>
              </w:rPr>
            </w:pPr>
            <w:bookmarkStart w:id="1" w:name="_Hlk144653132"/>
            <w:r>
              <w:rPr>
                <w:rFonts w:ascii="宋体" w:hAnsi="宋体" w:eastAsia="宋体" w:cs="Times New Roman"/>
                <w:bCs/>
                <w:sz w:val="24"/>
                <w:szCs w:val="24"/>
              </w:rPr>
              <w:t>多普泰科技于2022</w:t>
            </w:r>
            <w:r>
              <w:rPr>
                <w:rFonts w:hint="eastAsia" w:ascii="宋体" w:hAnsi="宋体" w:eastAsia="宋体" w:cs="Times New Roman"/>
                <w:bCs/>
                <w:sz w:val="24"/>
                <w:szCs w:val="24"/>
              </w:rPr>
              <w:t>年</w:t>
            </w:r>
            <w:r>
              <w:rPr>
                <w:rFonts w:ascii="宋体" w:hAnsi="宋体" w:eastAsia="宋体" w:cs="Times New Roman"/>
                <w:bCs/>
                <w:sz w:val="24"/>
                <w:szCs w:val="24"/>
              </w:rPr>
              <w:t>10</w:t>
            </w:r>
            <w:r>
              <w:rPr>
                <w:rFonts w:hint="eastAsia" w:ascii="宋体" w:hAnsi="宋体" w:eastAsia="宋体" w:cs="Times New Roman"/>
                <w:bCs/>
                <w:sz w:val="24"/>
                <w:szCs w:val="24"/>
              </w:rPr>
              <w:t>月</w:t>
            </w:r>
            <w:r>
              <w:rPr>
                <w:rFonts w:ascii="宋体" w:hAnsi="宋体" w:eastAsia="宋体" w:cs="Times New Roman"/>
                <w:bCs/>
                <w:sz w:val="24"/>
                <w:szCs w:val="24"/>
              </w:rPr>
              <w:t>20</w:t>
            </w:r>
            <w:r>
              <w:rPr>
                <w:rFonts w:hint="eastAsia" w:ascii="宋体" w:hAnsi="宋体" w:eastAsia="宋体" w:cs="Times New Roman"/>
                <w:bCs/>
                <w:sz w:val="24"/>
                <w:szCs w:val="24"/>
              </w:rPr>
              <w:t>日</w:t>
            </w:r>
            <w:r>
              <w:rPr>
                <w:rFonts w:ascii="宋体" w:hAnsi="宋体" w:eastAsia="宋体" w:cs="Times New Roman"/>
                <w:bCs/>
                <w:sz w:val="24"/>
                <w:szCs w:val="24"/>
              </w:rPr>
              <w:t>成立于</w:t>
            </w:r>
            <w:r>
              <w:rPr>
                <w:rFonts w:hint="eastAsia" w:ascii="宋体" w:hAnsi="宋体" w:eastAsia="宋体" w:cs="Times New Roman"/>
                <w:bCs/>
                <w:sz w:val="24"/>
                <w:szCs w:val="24"/>
              </w:rPr>
              <w:t>重庆市</w:t>
            </w:r>
            <w:r>
              <w:rPr>
                <w:rFonts w:ascii="宋体" w:hAnsi="宋体" w:eastAsia="宋体" w:cs="Times New Roman"/>
                <w:bCs/>
                <w:sz w:val="24"/>
                <w:szCs w:val="24"/>
              </w:rPr>
              <w:t>，主要在</w:t>
            </w:r>
            <w:r>
              <w:rPr>
                <w:rFonts w:hint="eastAsia" w:ascii="宋体" w:hAnsi="宋体" w:eastAsia="宋体" w:cs="Times New Roman"/>
                <w:bCs/>
                <w:sz w:val="24"/>
                <w:szCs w:val="24"/>
              </w:rPr>
              <w:t>中国境内从事心脑血管中成药生产业务。</w:t>
            </w:r>
          </w:p>
          <w:p>
            <w:pPr>
              <w:adjustRightInd w:val="0"/>
              <w:snapToGrid w:val="0"/>
              <w:rPr>
                <w:rFonts w:ascii="宋体" w:hAnsi="宋体" w:eastAsia="宋体" w:cs="Times New Roman"/>
                <w:bCs/>
                <w:sz w:val="24"/>
                <w:szCs w:val="24"/>
              </w:rPr>
            </w:pPr>
            <w:r>
              <w:rPr>
                <w:rFonts w:ascii="宋体" w:hAnsi="宋体" w:eastAsia="宋体" w:cs="Times New Roman"/>
                <w:bCs/>
                <w:sz w:val="24"/>
                <w:szCs w:val="24"/>
              </w:rPr>
              <w:t>多普泰科技</w:t>
            </w:r>
            <w:r>
              <w:rPr>
                <w:rFonts w:hint="eastAsia" w:ascii="宋体" w:hAnsi="宋体" w:eastAsia="宋体" w:cs="Times New Roman"/>
                <w:bCs/>
                <w:sz w:val="24"/>
                <w:szCs w:val="24"/>
              </w:rPr>
              <w:t>最终控制人为自然人，主要通过其控制的企业从事中成药研发、生产以及销售业务。</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restart"/>
            <w:shd w:val="clear" w:color="auto" w:fill="D9D9D9"/>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t>简易案件理由（可以单选，也可以多选）</w:t>
            </w:r>
          </w:p>
        </w:tc>
        <w:tc>
          <w:tcPr>
            <w:tcW w:w="7700" w:type="dxa"/>
            <w:gridSpan w:val="2"/>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sym w:font="Wingdings" w:char="00FE"/>
            </w:r>
            <w:r>
              <w:rPr>
                <w:rFonts w:ascii="宋体" w:hAnsi="宋体" w:cs="Times New Roman"/>
                <w:bCs/>
                <w:lang w:eastAsia="zh-CN"/>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40" w:type="dxa"/>
            <w:vMerge w:val="continue"/>
            <w:shd w:val="clear" w:color="auto" w:fill="D9D9D9"/>
            <w:vAlign w:val="center"/>
          </w:tcPr>
          <w:p>
            <w:pPr>
              <w:pStyle w:val="2"/>
              <w:adjustRightInd w:val="0"/>
              <w:snapToGrid w:val="0"/>
              <w:spacing w:after="0"/>
              <w:rPr>
                <w:rFonts w:ascii="宋体" w:hAnsi="宋体" w:cs="Times New Roman"/>
                <w:bCs/>
                <w:lang w:val="en-US" w:eastAsia="zh-CN"/>
              </w:rPr>
            </w:pPr>
          </w:p>
        </w:tc>
        <w:tc>
          <w:tcPr>
            <w:tcW w:w="7700" w:type="dxa"/>
            <w:gridSpan w:val="2"/>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sym w:font="Wingdings" w:char="00FE"/>
            </w:r>
            <w:r>
              <w:rPr>
                <w:rFonts w:ascii="宋体" w:hAnsi="宋体" w:cs="Times New Roman"/>
                <w:bCs/>
                <w:lang w:eastAsia="zh-CN"/>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40" w:type="dxa"/>
            <w:vMerge w:val="continue"/>
            <w:shd w:val="clear" w:color="auto" w:fill="D9D9D9"/>
            <w:vAlign w:val="center"/>
          </w:tcPr>
          <w:p>
            <w:pPr>
              <w:pStyle w:val="2"/>
              <w:adjustRightInd w:val="0"/>
              <w:snapToGrid w:val="0"/>
              <w:spacing w:after="0"/>
              <w:rPr>
                <w:rFonts w:ascii="宋体" w:hAnsi="宋体" w:cs="Times New Roman"/>
                <w:bCs/>
                <w:lang w:val="en-US" w:eastAsia="zh-CN"/>
              </w:rPr>
            </w:pPr>
          </w:p>
        </w:tc>
        <w:tc>
          <w:tcPr>
            <w:tcW w:w="7700" w:type="dxa"/>
            <w:gridSpan w:val="2"/>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sym w:font="Wingdings" w:char="00A8"/>
            </w:r>
            <w:r>
              <w:rPr>
                <w:rFonts w:ascii="宋体" w:hAnsi="宋体" w:cs="Times New Roman"/>
                <w:bCs/>
                <w:lang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40" w:type="dxa"/>
            <w:vMerge w:val="continue"/>
            <w:shd w:val="clear" w:color="auto" w:fill="D9D9D9"/>
            <w:vAlign w:val="center"/>
          </w:tcPr>
          <w:p>
            <w:pPr>
              <w:pStyle w:val="2"/>
              <w:adjustRightInd w:val="0"/>
              <w:snapToGrid w:val="0"/>
              <w:spacing w:after="0"/>
              <w:rPr>
                <w:rFonts w:ascii="宋体" w:hAnsi="宋体" w:cs="Times New Roman"/>
                <w:bCs/>
                <w:lang w:val="en-US" w:eastAsia="zh-CN"/>
              </w:rPr>
            </w:pPr>
          </w:p>
        </w:tc>
        <w:tc>
          <w:tcPr>
            <w:tcW w:w="7700" w:type="dxa"/>
            <w:gridSpan w:val="2"/>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sym w:font="Wingdings" w:char="00A8"/>
            </w:r>
            <w:r>
              <w:rPr>
                <w:rFonts w:ascii="宋体" w:hAnsi="宋体" w:cs="Times New Roman"/>
                <w:bCs/>
                <w:lang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40" w:type="dxa"/>
            <w:vMerge w:val="continue"/>
            <w:shd w:val="clear" w:color="auto" w:fill="D9D9D9"/>
            <w:vAlign w:val="center"/>
          </w:tcPr>
          <w:p>
            <w:pPr>
              <w:pStyle w:val="2"/>
              <w:adjustRightInd w:val="0"/>
              <w:snapToGrid w:val="0"/>
              <w:spacing w:after="0"/>
              <w:rPr>
                <w:rFonts w:ascii="宋体" w:hAnsi="宋体" w:cs="Times New Roman"/>
                <w:bCs/>
                <w:lang w:val="en-US" w:eastAsia="zh-CN"/>
              </w:rPr>
            </w:pPr>
          </w:p>
        </w:tc>
        <w:tc>
          <w:tcPr>
            <w:tcW w:w="7700" w:type="dxa"/>
            <w:gridSpan w:val="2"/>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sym w:font="Wingdings" w:char="00A8"/>
            </w:r>
            <w:r>
              <w:rPr>
                <w:rFonts w:ascii="宋体" w:hAnsi="宋体" w:cs="Times New Roman"/>
                <w:bCs/>
                <w:lang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0" w:type="dxa"/>
            <w:vMerge w:val="continue"/>
            <w:shd w:val="clear" w:color="auto" w:fill="D9D9D9"/>
            <w:vAlign w:val="center"/>
          </w:tcPr>
          <w:p>
            <w:pPr>
              <w:pStyle w:val="2"/>
              <w:adjustRightInd w:val="0"/>
              <w:snapToGrid w:val="0"/>
              <w:spacing w:after="0"/>
              <w:rPr>
                <w:rFonts w:ascii="宋体" w:hAnsi="宋体" w:cs="Times New Roman"/>
                <w:bCs/>
                <w:lang w:val="en-US" w:eastAsia="zh-CN"/>
              </w:rPr>
            </w:pPr>
          </w:p>
        </w:tc>
        <w:tc>
          <w:tcPr>
            <w:tcW w:w="7700" w:type="dxa"/>
            <w:gridSpan w:val="2"/>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eastAsia="zh-CN"/>
              </w:rPr>
              <w:sym w:font="Wingdings" w:char="00A8"/>
            </w:r>
            <w:r>
              <w:rPr>
                <w:rFonts w:ascii="宋体" w:hAnsi="宋体" w:cs="Times New Roman"/>
                <w:bCs/>
                <w:lang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40" w:type="dxa"/>
            <w:shd w:val="clear" w:color="auto" w:fill="D9D9D9"/>
            <w:vAlign w:val="center"/>
          </w:tcPr>
          <w:p>
            <w:pPr>
              <w:pStyle w:val="2"/>
              <w:adjustRightInd w:val="0"/>
              <w:snapToGrid w:val="0"/>
              <w:spacing w:after="0"/>
              <w:rPr>
                <w:rFonts w:ascii="宋体" w:hAnsi="宋体" w:cs="Times New Roman"/>
                <w:bCs/>
                <w:lang w:val="en-US" w:eastAsia="zh-CN"/>
              </w:rPr>
            </w:pPr>
            <w:r>
              <w:rPr>
                <w:rFonts w:ascii="宋体" w:hAnsi="宋体" w:cs="Times New Roman"/>
                <w:bCs/>
                <w:lang w:val="en-US" w:eastAsia="zh-CN"/>
              </w:rPr>
              <w:t>备注</w:t>
            </w:r>
          </w:p>
        </w:tc>
        <w:tc>
          <w:tcPr>
            <w:tcW w:w="7700" w:type="dxa"/>
            <w:gridSpan w:val="2"/>
            <w:vAlign w:val="center"/>
          </w:tcPr>
          <w:p>
            <w:pPr>
              <w:pStyle w:val="2"/>
              <w:adjustRightInd w:val="0"/>
              <w:snapToGrid w:val="0"/>
              <w:spacing w:after="0"/>
              <w:rPr>
                <w:rFonts w:ascii="宋体" w:hAnsi="宋体" w:cs="Times New Roman"/>
                <w:b/>
                <w:lang w:eastAsia="zh-CN"/>
              </w:rPr>
            </w:pPr>
            <w:r>
              <w:rPr>
                <w:rFonts w:hint="eastAsia" w:ascii="宋体" w:hAnsi="宋体" w:cs="Times New Roman"/>
                <w:b/>
                <w:lang w:eastAsia="zh-CN"/>
              </w:rPr>
              <w:t>横向重叠：</w:t>
            </w:r>
          </w:p>
          <w:p>
            <w:pPr>
              <w:pStyle w:val="2"/>
              <w:adjustRightInd w:val="0"/>
              <w:snapToGrid w:val="0"/>
              <w:spacing w:after="0"/>
              <w:rPr>
                <w:rFonts w:ascii="宋体" w:hAnsi="宋体" w:cs="Times New Roman"/>
                <w:bCs/>
                <w:lang w:eastAsia="zh-CN"/>
              </w:rPr>
            </w:pPr>
            <w:r>
              <w:rPr>
                <w:rFonts w:hint="eastAsia" w:ascii="宋体" w:hAnsi="宋体" w:cs="Times New Roman"/>
                <w:bCs/>
                <w:lang w:eastAsia="zh-CN"/>
              </w:rPr>
              <w:t>2</w:t>
            </w:r>
            <w:r>
              <w:rPr>
                <w:rFonts w:ascii="宋体" w:hAnsi="宋体" w:cs="Times New Roman"/>
                <w:bCs/>
                <w:lang w:eastAsia="zh-CN"/>
              </w:rPr>
              <w:t>022</w:t>
            </w:r>
            <w:r>
              <w:rPr>
                <w:rFonts w:hint="eastAsia" w:ascii="宋体" w:hAnsi="宋体" w:cs="Times New Roman"/>
                <w:bCs/>
                <w:lang w:eastAsia="zh-CN"/>
              </w:rPr>
              <w:t>年中国境内心脑血管中成药生产市场</w:t>
            </w:r>
          </w:p>
          <w:p>
            <w:pPr>
              <w:pStyle w:val="2"/>
              <w:adjustRightInd w:val="0"/>
              <w:snapToGrid w:val="0"/>
              <w:spacing w:after="0"/>
              <w:rPr>
                <w:rFonts w:ascii="宋体" w:hAnsi="宋体" w:cs="Times New Roman"/>
                <w:bCs/>
                <w:lang w:eastAsia="zh-CN"/>
              </w:rPr>
            </w:pPr>
            <w:r>
              <w:rPr>
                <w:rFonts w:hint="eastAsia" w:ascii="宋体" w:hAnsi="宋体" w:cs="Times New Roman"/>
                <w:bCs/>
                <w:lang w:eastAsia="zh-CN"/>
              </w:rPr>
              <w:t>碑林药业：0</w:t>
            </w:r>
            <w:r>
              <w:rPr>
                <w:rFonts w:ascii="宋体" w:hAnsi="宋体" w:cs="Times New Roman"/>
                <w:bCs/>
                <w:lang w:eastAsia="zh-CN"/>
              </w:rPr>
              <w:t>-5%</w:t>
            </w:r>
            <w:r>
              <w:rPr>
                <w:rFonts w:hint="eastAsia" w:ascii="宋体" w:hAnsi="宋体" w:cs="Times New Roman"/>
                <w:bCs/>
                <w:lang w:eastAsia="zh-CN"/>
              </w:rPr>
              <w:t>，多普泰科技：</w:t>
            </w:r>
            <w:r>
              <w:rPr>
                <w:rFonts w:ascii="宋体" w:hAnsi="宋体" w:cs="Times New Roman"/>
                <w:bCs/>
                <w:lang w:eastAsia="zh-CN"/>
              </w:rPr>
              <w:t>0-5%</w:t>
            </w:r>
            <w:r>
              <w:rPr>
                <w:rFonts w:hint="eastAsia" w:ascii="宋体" w:hAnsi="宋体" w:cs="Times New Roman"/>
                <w:bCs/>
                <w:lang w:eastAsia="zh-CN"/>
              </w:rPr>
              <w:t>，各方合计：0</w:t>
            </w:r>
            <w:r>
              <w:rPr>
                <w:rFonts w:ascii="宋体" w:hAnsi="宋体" w:cs="Times New Roman"/>
                <w:bCs/>
                <w:lang w:eastAsia="zh-CN"/>
              </w:rPr>
              <w:t>-5%</w:t>
            </w:r>
          </w:p>
          <w:p>
            <w:pPr>
              <w:pStyle w:val="2"/>
              <w:adjustRightInd w:val="0"/>
              <w:snapToGrid w:val="0"/>
              <w:spacing w:after="0"/>
              <w:rPr>
                <w:rFonts w:ascii="宋体" w:hAnsi="宋体" w:cs="Times New Roman"/>
                <w:bCs/>
                <w:lang w:eastAsia="zh-CN"/>
              </w:rPr>
            </w:pPr>
          </w:p>
          <w:p>
            <w:pPr>
              <w:pStyle w:val="2"/>
              <w:adjustRightInd w:val="0"/>
              <w:snapToGrid w:val="0"/>
              <w:spacing w:after="0"/>
              <w:rPr>
                <w:rFonts w:ascii="宋体" w:hAnsi="宋体" w:cs="宋体"/>
                <w:b/>
                <w:color w:val="000000"/>
                <w:lang w:eastAsia="zh-CN"/>
              </w:rPr>
            </w:pPr>
            <w:r>
              <w:rPr>
                <w:rFonts w:hint="eastAsia" w:ascii="宋体" w:hAnsi="宋体" w:cs="宋体"/>
                <w:b/>
                <w:color w:val="000000"/>
                <w:lang w:eastAsia="zh-CN"/>
              </w:rPr>
              <w:t>纵向关联：</w:t>
            </w:r>
          </w:p>
          <w:p>
            <w:pPr>
              <w:pStyle w:val="2"/>
              <w:adjustRightInd w:val="0"/>
              <w:snapToGrid w:val="0"/>
              <w:spacing w:after="0"/>
              <w:rPr>
                <w:rFonts w:ascii="宋体" w:hAnsi="宋体" w:cs="Times New Roman"/>
                <w:bCs/>
                <w:lang w:eastAsia="zh-CN"/>
              </w:rPr>
            </w:pPr>
            <w:r>
              <w:rPr>
                <w:rFonts w:hint="eastAsia" w:ascii="宋体" w:hAnsi="宋体" w:cs="Times New Roman"/>
                <w:bCs/>
                <w:lang w:eastAsia="zh-CN"/>
              </w:rPr>
              <w:t>上游：2</w:t>
            </w:r>
            <w:r>
              <w:rPr>
                <w:rFonts w:ascii="宋体" w:hAnsi="宋体" w:cs="Times New Roman"/>
                <w:bCs/>
                <w:lang w:eastAsia="zh-CN"/>
              </w:rPr>
              <w:t>022</w:t>
            </w:r>
            <w:r>
              <w:rPr>
                <w:rFonts w:hint="eastAsia" w:ascii="宋体" w:hAnsi="宋体" w:cs="Times New Roman"/>
                <w:bCs/>
                <w:lang w:eastAsia="zh-CN"/>
              </w:rPr>
              <w:t>年中国境内心脑血管中成药生产市场</w:t>
            </w:r>
          </w:p>
          <w:p>
            <w:pPr>
              <w:pStyle w:val="2"/>
              <w:adjustRightInd w:val="0"/>
              <w:snapToGrid w:val="0"/>
              <w:spacing w:after="0"/>
              <w:rPr>
                <w:rFonts w:ascii="宋体" w:hAnsi="宋体" w:cs="Times New Roman"/>
                <w:bCs/>
                <w:lang w:eastAsia="zh-CN"/>
              </w:rPr>
            </w:pPr>
            <w:bookmarkStart w:id="2" w:name="_GoBack"/>
            <w:bookmarkEnd w:id="2"/>
            <w:r>
              <w:rPr>
                <w:rFonts w:hint="eastAsia" w:ascii="宋体" w:hAnsi="宋体" w:cs="宋体"/>
                <w:bCs/>
                <w:color w:val="000000"/>
                <w:lang w:val="en-US" w:eastAsia="zh-CN"/>
              </w:rPr>
              <w:t>如上所述</w:t>
            </w:r>
          </w:p>
          <w:p>
            <w:pPr>
              <w:pStyle w:val="2"/>
              <w:adjustRightInd w:val="0"/>
              <w:snapToGrid w:val="0"/>
              <w:spacing w:after="0"/>
              <w:rPr>
                <w:rFonts w:ascii="宋体" w:hAnsi="宋体" w:cs="Times New Roman"/>
                <w:bCs/>
                <w:lang w:eastAsia="zh-CN"/>
              </w:rPr>
            </w:pPr>
            <w:r>
              <w:rPr>
                <w:rFonts w:hint="eastAsia" w:ascii="宋体" w:hAnsi="宋体" w:cs="Times New Roman"/>
                <w:bCs/>
                <w:lang w:eastAsia="zh-CN"/>
              </w:rPr>
              <w:t>下游：2</w:t>
            </w:r>
            <w:r>
              <w:rPr>
                <w:rFonts w:ascii="宋体" w:hAnsi="宋体" w:cs="Times New Roman"/>
                <w:bCs/>
                <w:lang w:eastAsia="zh-CN"/>
              </w:rPr>
              <w:t>022</w:t>
            </w:r>
            <w:r>
              <w:rPr>
                <w:rFonts w:hint="eastAsia" w:ascii="宋体" w:hAnsi="宋体" w:cs="Times New Roman"/>
                <w:bCs/>
                <w:lang w:eastAsia="zh-CN"/>
              </w:rPr>
              <w:t>年中国境内药品批发市场</w:t>
            </w:r>
          </w:p>
          <w:p>
            <w:pPr>
              <w:pStyle w:val="2"/>
              <w:adjustRightInd w:val="0"/>
              <w:snapToGrid w:val="0"/>
              <w:spacing w:after="0"/>
              <w:rPr>
                <w:rFonts w:ascii="宋体" w:hAnsi="宋体" w:cs="Times New Roman"/>
                <w:bCs/>
                <w:lang w:eastAsia="zh-CN"/>
              </w:rPr>
            </w:pPr>
            <w:r>
              <w:rPr>
                <w:rFonts w:hint="eastAsia" w:ascii="宋体" w:hAnsi="宋体" w:cs="Times New Roman"/>
                <w:bCs/>
                <w:lang w:eastAsia="zh-CN"/>
              </w:rPr>
              <w:t>碑林药业：</w:t>
            </w:r>
            <w:r>
              <w:rPr>
                <w:rFonts w:hint="eastAsia" w:ascii="宋体" w:hAnsi="宋体" w:cs="宋体"/>
                <w:bCs/>
                <w:color w:val="000000"/>
                <w:lang w:val="en-US" w:eastAsia="zh-CN"/>
              </w:rPr>
              <w:t>0</w:t>
            </w:r>
            <w:r>
              <w:rPr>
                <w:rFonts w:ascii="宋体" w:hAnsi="宋体" w:cs="宋体"/>
                <w:bCs/>
                <w:color w:val="000000"/>
                <w:lang w:val="en-US" w:eastAsia="zh-CN"/>
              </w:rPr>
              <w:t>-5%</w:t>
            </w:r>
            <w:r>
              <w:rPr>
                <w:rFonts w:hint="eastAsia" w:ascii="宋体" w:hAnsi="宋体" w:cs="Times New Roman"/>
                <w:bCs/>
                <w:lang w:eastAsia="zh-CN"/>
              </w:rPr>
              <w:t xml:space="preserve"> </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Simplified Arabic">
    <w:altName w:val="Times New Roman"/>
    <w:panose1 w:val="00000000000000000000"/>
    <w:charset w:val="B2"/>
    <w:family w:val="roman"/>
    <w:pitch w:val="default"/>
    <w:sig w:usb0="00000000" w:usb1="00000000" w:usb2="00000008" w:usb3="00000000" w:csb0="00000041" w:csb1="00000000"/>
  </w:font>
  <w:font w:name="仿宋">
    <w:altName w:val="方正仿宋_GBK"/>
    <w:panose1 w:val="02010609060101010101"/>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仿宋" w:hAnsi="仿宋" w:eastAsia="仿宋"/>
        <w:b/>
        <w:b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32"/>
    <w:rsid w:val="00033A7F"/>
    <w:rsid w:val="0005323D"/>
    <w:rsid w:val="00081A9E"/>
    <w:rsid w:val="000B292B"/>
    <w:rsid w:val="00187F73"/>
    <w:rsid w:val="00221AB1"/>
    <w:rsid w:val="00376247"/>
    <w:rsid w:val="0038601A"/>
    <w:rsid w:val="00474AB8"/>
    <w:rsid w:val="004A5314"/>
    <w:rsid w:val="004B7C8F"/>
    <w:rsid w:val="005020DB"/>
    <w:rsid w:val="00507C96"/>
    <w:rsid w:val="005510F5"/>
    <w:rsid w:val="00553018"/>
    <w:rsid w:val="00684E51"/>
    <w:rsid w:val="006F0268"/>
    <w:rsid w:val="0074019D"/>
    <w:rsid w:val="007F2CEE"/>
    <w:rsid w:val="0086405E"/>
    <w:rsid w:val="0086462D"/>
    <w:rsid w:val="0090185A"/>
    <w:rsid w:val="00920135"/>
    <w:rsid w:val="0094443F"/>
    <w:rsid w:val="009E21AC"/>
    <w:rsid w:val="00A9283A"/>
    <w:rsid w:val="00BF7FC7"/>
    <w:rsid w:val="00C10291"/>
    <w:rsid w:val="00D303A8"/>
    <w:rsid w:val="00D86932"/>
    <w:rsid w:val="00E73FEE"/>
    <w:rsid w:val="00EF4FF9"/>
    <w:rsid w:val="00F13CE0"/>
    <w:rsid w:val="16BBD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0"/>
    <w:pPr>
      <w:widowControl/>
      <w:spacing w:after="240"/>
    </w:pPr>
    <w:rPr>
      <w:rFonts w:ascii="Times New Roman" w:hAnsi="Times New Roman" w:eastAsia="宋体" w:cs="Simplified Arabic"/>
      <w:kern w:val="0"/>
      <w:sz w:val="24"/>
      <w:szCs w:val="24"/>
      <w:lang w:val="en-GB" w:eastAsia="en-GB" w:bidi="ar-AE"/>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14:ligatures w14:val="standardContextual"/>
    </w:rPr>
  </w:style>
  <w:style w:type="character" w:customStyle="1" w:styleId="7">
    <w:name w:val="页眉 字符"/>
    <w:basedOn w:val="6"/>
    <w:link w:val="4"/>
    <w:qFormat/>
    <w:uiPriority w:val="99"/>
    <w:rPr>
      <w:sz w:val="18"/>
      <w:szCs w:val="18"/>
    </w:rPr>
  </w:style>
  <w:style w:type="paragraph" w:styleId="8">
    <w:name w:val="List Paragraph"/>
    <w:basedOn w:val="1"/>
    <w:link w:val="10"/>
    <w:qFormat/>
    <w:uiPriority w:val="34"/>
    <w:pPr>
      <w:ind w:firstLine="420" w:firstLineChars="200"/>
    </w:pPr>
  </w:style>
  <w:style w:type="character" w:customStyle="1" w:styleId="9">
    <w:name w:val="正文文本 字符"/>
    <w:basedOn w:val="6"/>
    <w:link w:val="2"/>
    <w:qFormat/>
    <w:uiPriority w:val="0"/>
    <w:rPr>
      <w:rFonts w:ascii="Times New Roman" w:hAnsi="Times New Roman" w:eastAsia="宋体" w:cs="Simplified Arabic"/>
      <w:kern w:val="0"/>
      <w:sz w:val="24"/>
      <w:szCs w:val="24"/>
      <w:lang w:val="en-GB" w:eastAsia="en-GB" w:bidi="ar-AE"/>
      <w14:ligatures w14:val="none"/>
    </w:rPr>
  </w:style>
  <w:style w:type="character" w:customStyle="1" w:styleId="10">
    <w:name w:val="列表段落 字符"/>
    <w:basedOn w:val="6"/>
    <w:link w:val="8"/>
    <w:qFormat/>
    <w:uiPriority w:val="34"/>
    <w:rPr>
      <w14:ligatures w14:val="none"/>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14:ligatures w14:val="none"/>
    </w:rPr>
  </w:style>
  <w:style w:type="character" w:customStyle="1" w:styleId="12">
    <w:name w:val="页脚 字符"/>
    <w:basedOn w:val="6"/>
    <w:link w:val="3"/>
    <w:qFormat/>
    <w:uiPriority w:val="99"/>
    <w:rPr>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Lines>6</Lines>
  <Paragraphs>1</Paragraphs>
  <TotalTime>2</TotalTime>
  <ScaleCrop>false</ScaleCrop>
  <LinksUpToDate>false</LinksUpToDate>
  <CharactersWithSpaces>884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2024-01-16T11:59:00Z</dcterms:created>
  <dc:creator>用户名</dc:creator>
  <cp:lastModifiedBy>guest</cp:lastModifiedBy>
  <dcterms:modified xsi:type="dcterms:W3CDTF">2024-01-18T17:46:03Z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