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127C" w14:textId="77777777" w:rsidR="00AD1C35" w:rsidRDefault="00AD1C35">
      <w:pPr>
        <w:jc w:val="center"/>
        <w:rPr>
          <w:rFonts w:ascii="SimHei" w:eastAsia="SimHei" w:hAnsi="SimHei" w:cs="SimHei"/>
          <w:bCs/>
          <w:sz w:val="36"/>
          <w:szCs w:val="36"/>
        </w:rPr>
      </w:pPr>
      <w:r>
        <w:rPr>
          <w:rFonts w:ascii="SimHei" w:eastAsia="SimHei" w:hAnsi="SimHei" w:cs="SimHei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AD1C35" w14:paraId="01D8A6A4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188BDBBE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proofErr w:type="spellStart"/>
            <w:r>
              <w:rPr>
                <w:rFonts w:ascii="宋体" w:hAnsi="宋体"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4879C072" w14:textId="5A9E7A58" w:rsidR="00AD1C35" w:rsidRDefault="008159CD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 w:rsidRPr="008159CD">
              <w:rPr>
                <w:rFonts w:ascii="宋体" w:hAnsi="宋体" w:cs="宋体" w:hint="eastAsia"/>
                <w:bCs/>
                <w:color w:val="000000"/>
                <w:lang w:val="en-US"/>
              </w:rPr>
              <w:t>挪威国家石油低碳英国有限公司</w:t>
            </w:r>
            <w:r w:rsidR="001836FE">
              <w:rPr>
                <w:rFonts w:ascii="宋体" w:hAnsi="宋体" w:cs="宋体" w:hint="eastAsia"/>
                <w:bCs/>
                <w:color w:val="000000"/>
                <w:lang w:val="en-US"/>
              </w:rPr>
              <w:t>收购</w:t>
            </w:r>
            <w:r w:rsidR="00903C0D" w:rsidRPr="00903C0D">
              <w:rPr>
                <w:rFonts w:ascii="宋体" w:hAnsi="宋体" w:cs="宋体" w:hint="eastAsia"/>
                <w:bCs/>
                <w:color w:val="000000"/>
                <w:lang w:val="en-US"/>
              </w:rPr>
              <w:t>北海净零存储有限公司</w:t>
            </w:r>
            <w:r w:rsidR="00903C0D">
              <w:rPr>
                <w:rFonts w:ascii="宋体" w:hAnsi="宋体" w:cs="宋体" w:hint="eastAsia"/>
                <w:bCs/>
                <w:color w:val="000000"/>
                <w:lang w:val="en-US"/>
              </w:rPr>
              <w:t>股权</w:t>
            </w:r>
            <w:r w:rsidRPr="008159CD">
              <w:rPr>
                <w:rFonts w:ascii="宋体" w:hAnsi="宋体" w:cs="宋体" w:hint="eastAsia"/>
                <w:bCs/>
                <w:color w:val="000000"/>
                <w:lang w:val="en-US"/>
              </w:rPr>
              <w:t>案</w:t>
            </w:r>
          </w:p>
        </w:tc>
      </w:tr>
      <w:tr w:rsidR="00AD1C35" w14:paraId="799F4843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6F7D9128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3F36927C" w14:textId="04FAD68E" w:rsidR="00FA703D" w:rsidRDefault="007F40F5" w:rsidP="007F40F5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 w:rsidRPr="007F40F5">
              <w:rPr>
                <w:rFonts w:ascii="宋体" w:hAnsi="宋体" w:cs="宋体" w:hint="eastAsia"/>
                <w:lang w:val="en-US"/>
              </w:rPr>
              <w:t>英国石油公司（“bp”）</w:t>
            </w:r>
            <w:r w:rsidR="008159CD">
              <w:rPr>
                <w:rFonts w:ascii="宋体" w:hAnsi="宋体" w:cs="宋体" w:hint="eastAsia"/>
              </w:rPr>
              <w:t>、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挪威国家石油低碳英国有限公司</w:t>
            </w:r>
            <w:r w:rsidR="008159CD">
              <w:rPr>
                <w:rFonts w:ascii="宋体" w:hAnsi="宋体" w:cs="宋体" w:hint="eastAsia"/>
                <w:lang w:val="en-US"/>
              </w:rPr>
              <w:t>（“挪威低碳”）</w:t>
            </w:r>
            <w:r w:rsidRPr="007F40F5">
              <w:rPr>
                <w:rFonts w:ascii="宋体" w:hAnsi="宋体" w:cs="宋体" w:hint="eastAsia"/>
                <w:lang w:val="en-US"/>
              </w:rPr>
              <w:t>和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道达尔能源股份公司</w:t>
            </w:r>
            <w:r w:rsidR="00257EFE">
              <w:rPr>
                <w:rFonts w:ascii="宋体" w:hAnsi="宋体" w:cs="宋体" w:hint="eastAsia"/>
                <w:lang w:val="en-US"/>
              </w:rPr>
              <w:t>（“道达尔”）</w:t>
            </w:r>
            <w:r w:rsidR="00C758C0" w:rsidRPr="00C758C0">
              <w:rPr>
                <w:rFonts w:ascii="宋体" w:hAnsi="宋体" w:cs="宋体" w:hint="eastAsia"/>
                <w:lang w:val="en-US"/>
              </w:rPr>
              <w:t>直接或</w:t>
            </w:r>
            <w:r w:rsidR="008159CD">
              <w:rPr>
                <w:rFonts w:ascii="宋体" w:hAnsi="宋体" w:cs="宋体" w:hint="eastAsia"/>
                <w:lang w:val="en-US"/>
              </w:rPr>
              <w:t>通过</w:t>
            </w:r>
            <w:r w:rsidRPr="007F40F5">
              <w:rPr>
                <w:rFonts w:ascii="宋体" w:hAnsi="宋体" w:cs="宋体" w:hint="eastAsia"/>
                <w:lang w:val="en-US"/>
              </w:rPr>
              <w:t>关联公司于</w:t>
            </w:r>
            <w:r w:rsidR="00AC41C8">
              <w:rPr>
                <w:rFonts w:ascii="宋体" w:hAnsi="宋体" w:cs="宋体" w:hint="eastAsia"/>
                <w:lang w:val="en-US"/>
              </w:rPr>
              <w:t>2</w:t>
            </w:r>
            <w:r w:rsidR="00AC41C8">
              <w:rPr>
                <w:rFonts w:ascii="宋体" w:hAnsi="宋体" w:cs="宋体"/>
                <w:lang w:val="en-US"/>
              </w:rPr>
              <w:t>023</w:t>
            </w:r>
            <w:r w:rsidR="00AC41C8">
              <w:rPr>
                <w:rFonts w:ascii="宋体" w:hAnsi="宋体" w:cs="宋体" w:hint="eastAsia"/>
              </w:rPr>
              <w:t>年12月22日</w:t>
            </w:r>
            <w:r w:rsidR="005125D6">
              <w:rPr>
                <w:rFonts w:ascii="宋体" w:hAnsi="宋体" w:cs="宋体" w:hint="eastAsia"/>
                <w:lang w:val="en-US"/>
              </w:rPr>
              <w:t>达成了</w:t>
            </w:r>
            <w:r w:rsidRPr="007F40F5">
              <w:rPr>
                <w:rFonts w:ascii="宋体" w:hAnsi="宋体" w:cs="宋体" w:hint="eastAsia"/>
                <w:lang w:val="en-US"/>
              </w:rPr>
              <w:t>协议，</w:t>
            </w:r>
            <w:r w:rsidR="00DF19BD">
              <w:rPr>
                <w:rFonts w:ascii="宋体" w:hAnsi="宋体" w:cs="宋体" w:hint="eastAsia"/>
                <w:lang w:val="en-US"/>
              </w:rPr>
              <w:t>挪威低碳</w:t>
            </w:r>
            <w:r w:rsidR="00EB3887">
              <w:rPr>
                <w:rFonts w:ascii="宋体" w:hAnsi="宋体" w:cs="宋体" w:hint="eastAsia"/>
                <w:lang w:val="en-US"/>
              </w:rPr>
              <w:t>和道达尔</w:t>
            </w:r>
            <w:r w:rsidR="00DF19BD">
              <w:rPr>
                <w:rFonts w:ascii="宋体" w:hAnsi="宋体" w:cs="宋体" w:hint="eastAsia"/>
                <w:lang w:val="en-US"/>
              </w:rPr>
              <w:t>收购</w:t>
            </w:r>
            <w:proofErr w:type="gramStart"/>
            <w:r w:rsidR="008159CD" w:rsidRPr="008159CD">
              <w:rPr>
                <w:rFonts w:ascii="宋体" w:hAnsi="宋体" w:cs="宋体" w:hint="eastAsia"/>
                <w:lang w:val="en-US"/>
              </w:rPr>
              <w:t>北海净零存储</w:t>
            </w:r>
            <w:proofErr w:type="gramEnd"/>
            <w:r w:rsidR="00E84A9A">
              <w:rPr>
                <w:rFonts w:ascii="宋体" w:hAnsi="宋体" w:cs="宋体" w:hint="eastAsia"/>
                <w:lang w:val="en-US"/>
              </w:rPr>
              <w:t>控股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有限公司</w:t>
            </w:r>
            <w:r w:rsidR="008159CD">
              <w:rPr>
                <w:rFonts w:ascii="宋体" w:hAnsi="宋体" w:cs="宋体" w:hint="eastAsia"/>
                <w:lang w:val="en-US"/>
              </w:rPr>
              <w:t>（“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北海净零</w:t>
            </w:r>
            <w:r w:rsidR="00E84A9A">
              <w:rPr>
                <w:rFonts w:ascii="宋体" w:hAnsi="宋体" w:cs="宋体" w:hint="eastAsia"/>
                <w:lang w:val="en-US"/>
              </w:rPr>
              <w:t>控股</w:t>
            </w:r>
            <w:r w:rsidR="008159CD">
              <w:rPr>
                <w:rFonts w:ascii="宋体" w:hAnsi="宋体" w:cs="宋体" w:hint="eastAsia"/>
                <w:lang w:val="en-US"/>
              </w:rPr>
              <w:t>”）</w:t>
            </w:r>
            <w:r w:rsidR="008932BD">
              <w:rPr>
                <w:rFonts w:ascii="宋体" w:hAnsi="宋体" w:cs="宋体" w:hint="eastAsia"/>
                <w:lang w:val="en-US"/>
              </w:rPr>
              <w:t>总计</w:t>
            </w:r>
            <w:r w:rsidR="00EB3887">
              <w:rPr>
                <w:rFonts w:ascii="宋体" w:hAnsi="宋体" w:cs="宋体"/>
                <w:lang w:val="en-US"/>
              </w:rPr>
              <w:t>5</w:t>
            </w:r>
            <w:r w:rsidR="00257EFE">
              <w:rPr>
                <w:rFonts w:ascii="宋体" w:hAnsi="宋体" w:cs="宋体"/>
                <w:lang w:val="en-US"/>
              </w:rPr>
              <w:t>5%</w:t>
            </w:r>
            <w:r w:rsidR="00257EFE">
              <w:rPr>
                <w:rFonts w:ascii="宋体" w:hAnsi="宋体" w:cs="宋体" w:hint="eastAsia"/>
                <w:lang w:val="en-US"/>
              </w:rPr>
              <w:t>的股份</w:t>
            </w:r>
            <w:r w:rsidRPr="007F40F5">
              <w:rPr>
                <w:rFonts w:ascii="宋体" w:hAnsi="宋体" w:cs="宋体" w:hint="eastAsia"/>
                <w:lang w:val="en-US"/>
              </w:rPr>
              <w:t>。</w:t>
            </w:r>
            <w:proofErr w:type="gramStart"/>
            <w:r w:rsidR="00EB3887">
              <w:rPr>
                <w:rFonts w:ascii="宋体" w:hAnsi="宋体" w:cs="宋体" w:hint="eastAsia"/>
                <w:lang w:val="en-US"/>
              </w:rPr>
              <w:t>北海净零</w:t>
            </w:r>
            <w:r w:rsidR="00E84A9A">
              <w:rPr>
                <w:rFonts w:ascii="宋体" w:hAnsi="宋体" w:cs="宋体" w:hint="eastAsia"/>
                <w:lang w:val="en-US"/>
              </w:rPr>
              <w:t>控股</w:t>
            </w:r>
            <w:proofErr w:type="gramEnd"/>
            <w:r w:rsidR="00564070">
              <w:rPr>
                <w:rFonts w:ascii="宋体" w:hAnsi="宋体" w:cs="宋体" w:hint="eastAsia"/>
                <w:lang w:val="en-US"/>
              </w:rPr>
              <w:t>将</w:t>
            </w:r>
            <w:r w:rsidR="00396865" w:rsidRPr="00396865">
              <w:rPr>
                <w:rFonts w:ascii="宋体" w:hAnsi="宋体" w:cs="宋体" w:hint="eastAsia"/>
                <w:lang w:val="en-US"/>
              </w:rPr>
              <w:t>收购</w:t>
            </w:r>
            <w:r w:rsidR="00396865">
              <w:rPr>
                <w:rFonts w:ascii="宋体" w:hAnsi="宋体" w:cs="宋体" w:hint="eastAsia"/>
                <w:lang w:val="en-US"/>
              </w:rPr>
              <w:t>并持有</w:t>
            </w:r>
            <w:r w:rsidR="00396865" w:rsidRPr="00396865">
              <w:rPr>
                <w:rFonts w:ascii="宋体" w:hAnsi="宋体" w:cs="宋体" w:hint="eastAsia"/>
                <w:lang w:val="en-US"/>
              </w:rPr>
              <w:t>目前由bp完全控股的北海净零存储有限公司</w:t>
            </w:r>
            <w:r w:rsidR="003530D4">
              <w:rPr>
                <w:rFonts w:ascii="宋体" w:hAnsi="宋体" w:cs="宋体" w:hint="eastAsia"/>
                <w:lang w:val="en-US"/>
              </w:rPr>
              <w:t>（“北海净零”）</w:t>
            </w:r>
            <w:r w:rsidR="00396865" w:rsidRPr="00396865">
              <w:rPr>
                <w:rFonts w:ascii="宋体" w:hAnsi="宋体" w:cs="宋体" w:hint="eastAsia"/>
                <w:lang w:val="en-US"/>
              </w:rPr>
              <w:t>的全部股权</w:t>
            </w:r>
            <w:r w:rsidR="003530D4">
              <w:rPr>
                <w:rFonts w:ascii="宋体" w:hAnsi="宋体" w:cs="宋体" w:hint="eastAsia"/>
                <w:lang w:val="en-US"/>
              </w:rPr>
              <w:t>，北海</w:t>
            </w:r>
            <w:proofErr w:type="gramStart"/>
            <w:r w:rsidR="003530D4">
              <w:rPr>
                <w:rFonts w:ascii="宋体" w:hAnsi="宋体" w:cs="宋体" w:hint="eastAsia"/>
                <w:lang w:val="en-US"/>
              </w:rPr>
              <w:t>净零主要</w:t>
            </w:r>
            <w:proofErr w:type="gramEnd"/>
            <w:r w:rsidR="003530D4">
              <w:rPr>
                <w:rFonts w:ascii="宋体" w:hAnsi="宋体" w:cs="宋体" w:hint="eastAsia"/>
                <w:lang w:val="en-US"/>
              </w:rPr>
              <w:t>从事二氧化碳捕集和封存业务</w:t>
            </w:r>
            <w:r w:rsidR="00EB3887">
              <w:rPr>
                <w:rFonts w:ascii="宋体" w:hAnsi="宋体" w:cs="宋体" w:hint="eastAsia"/>
                <w:lang w:val="en-US"/>
              </w:rPr>
              <w:t>。</w:t>
            </w:r>
          </w:p>
          <w:p w14:paraId="7A93227E" w14:textId="2B0C8F19" w:rsidR="00AD1C35" w:rsidRPr="003530D4" w:rsidRDefault="00E84A9A" w:rsidP="007F40F5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交易前</w:t>
            </w:r>
            <w:r w:rsidR="00EB3887">
              <w:rPr>
                <w:rFonts w:ascii="宋体" w:hAnsi="宋体" w:cs="宋体" w:hint="eastAsia"/>
                <w:lang w:val="en-US"/>
              </w:rPr>
              <w:t>，</w:t>
            </w:r>
            <w:r w:rsidR="00EF037D">
              <w:rPr>
                <w:rFonts w:ascii="宋体" w:hAnsi="宋体" w:cs="宋体" w:hint="eastAsia"/>
                <w:lang w:val="en-US"/>
              </w:rPr>
              <w:t>bp持有北海净零</w:t>
            </w:r>
            <w:proofErr w:type="gramStart"/>
            <w:r w:rsidR="00EF037D">
              <w:rPr>
                <w:rFonts w:ascii="宋体" w:hAnsi="宋体" w:cs="宋体" w:hint="eastAsia"/>
                <w:lang w:val="en-US"/>
              </w:rPr>
              <w:t>1</w:t>
            </w:r>
            <w:r w:rsidR="00EF037D">
              <w:rPr>
                <w:rFonts w:ascii="宋体" w:hAnsi="宋体" w:cs="宋体"/>
                <w:lang w:val="en-US"/>
              </w:rPr>
              <w:t>00</w:t>
            </w:r>
            <w:proofErr w:type="gramEnd"/>
            <w:r w:rsidR="00EF037D">
              <w:rPr>
                <w:rFonts w:ascii="宋体" w:hAnsi="宋体" w:cs="宋体"/>
                <w:lang w:val="en-US"/>
              </w:rPr>
              <w:t>%</w:t>
            </w:r>
            <w:r w:rsidR="00EF037D">
              <w:rPr>
                <w:rFonts w:ascii="宋体" w:hAnsi="宋体" w:cs="宋体" w:hint="eastAsia"/>
                <w:lang w:val="en-US"/>
              </w:rPr>
              <w:t>的股份，单独控制北海净零。</w:t>
            </w:r>
            <w:r w:rsidR="008159CD" w:rsidRPr="008159CD">
              <w:rPr>
                <w:rFonts w:ascii="宋体" w:hAnsi="宋体" w:cs="宋体"/>
                <w:lang w:val="en-US"/>
              </w:rPr>
              <w:t>交易后，</w:t>
            </w:r>
            <w:r w:rsidR="008159CD" w:rsidRPr="007F40F5">
              <w:rPr>
                <w:rFonts w:ascii="宋体" w:hAnsi="宋体" w:cs="宋体" w:hint="eastAsia"/>
                <w:lang w:val="en-US"/>
              </w:rPr>
              <w:t>bp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、挪威低碳、道达尔能源</w:t>
            </w:r>
            <w:r w:rsidR="008159CD">
              <w:rPr>
                <w:rFonts w:ascii="宋体" w:hAnsi="宋体" w:cs="宋体" w:hint="eastAsia"/>
                <w:lang w:val="en-US"/>
              </w:rPr>
              <w:t>股份公司</w:t>
            </w:r>
            <w:r w:rsidR="008159CD" w:rsidRPr="008159CD">
              <w:rPr>
                <w:rFonts w:ascii="宋体" w:hAnsi="宋体" w:cs="宋体"/>
                <w:lang w:val="en-US"/>
              </w:rPr>
              <w:t>将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分别</w:t>
            </w:r>
            <w:r w:rsidR="008159CD">
              <w:rPr>
                <w:rFonts w:ascii="宋体" w:hAnsi="宋体" w:cs="宋体" w:hint="eastAsia"/>
                <w:lang w:val="en-US"/>
              </w:rPr>
              <w:t>间接</w:t>
            </w:r>
            <w:r w:rsidR="008159CD" w:rsidRPr="008159CD">
              <w:rPr>
                <w:rFonts w:ascii="宋体" w:hAnsi="宋体" w:cs="宋体"/>
                <w:lang w:val="en-US"/>
              </w:rPr>
              <w:t>持有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北海净零</w:t>
            </w:r>
            <w:proofErr w:type="gramStart"/>
            <w:r w:rsidR="008159CD" w:rsidRPr="008159CD">
              <w:rPr>
                <w:rFonts w:ascii="宋体" w:hAnsi="宋体" w:cs="宋体"/>
                <w:lang w:val="en-US"/>
              </w:rPr>
              <w:t>45</w:t>
            </w:r>
            <w:proofErr w:type="gramEnd"/>
            <w:r w:rsidR="008159CD" w:rsidRPr="008159CD">
              <w:rPr>
                <w:rFonts w:ascii="宋体" w:hAnsi="宋体" w:cs="宋体"/>
                <w:lang w:val="en-US"/>
              </w:rPr>
              <w:t>%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、4</w:t>
            </w:r>
            <w:r w:rsidR="008159CD" w:rsidRPr="008159CD">
              <w:rPr>
                <w:rFonts w:ascii="宋体" w:hAnsi="宋体" w:cs="宋体"/>
                <w:lang w:val="en-US"/>
              </w:rPr>
              <w:t>5%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、1</w:t>
            </w:r>
            <w:r w:rsidR="008159CD" w:rsidRPr="008159CD">
              <w:rPr>
                <w:rFonts w:ascii="宋体" w:hAnsi="宋体" w:cs="宋体"/>
                <w:lang w:val="en-US"/>
              </w:rPr>
              <w:t>0%的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股权。</w:t>
            </w:r>
            <w:r w:rsidR="008159CD">
              <w:rPr>
                <w:rFonts w:ascii="宋体" w:hAnsi="宋体" w:cs="宋体" w:hint="eastAsia"/>
                <w:lang w:val="en-US"/>
              </w:rPr>
              <w:t>bp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和挪威低碳</w:t>
            </w:r>
            <w:r w:rsidR="008159CD" w:rsidRPr="008159CD">
              <w:rPr>
                <w:rFonts w:ascii="宋体" w:hAnsi="宋体" w:cs="宋体"/>
                <w:lang w:val="en-US"/>
              </w:rPr>
              <w:t>将</w:t>
            </w:r>
            <w:r w:rsidR="00BF3404">
              <w:rPr>
                <w:rFonts w:ascii="宋体" w:hAnsi="宋体" w:cs="宋体" w:hint="eastAsia"/>
                <w:lang w:val="en-US"/>
              </w:rPr>
              <w:t>最终</w:t>
            </w:r>
            <w:r w:rsidR="008159CD" w:rsidRPr="008159CD">
              <w:rPr>
                <w:rFonts w:ascii="宋体" w:hAnsi="宋体" w:cs="宋体" w:hint="eastAsia"/>
                <w:lang w:val="en-US"/>
              </w:rPr>
              <w:t>共同控制北海净零。</w:t>
            </w:r>
          </w:p>
        </w:tc>
      </w:tr>
      <w:tr w:rsidR="00AD1C35" w14:paraId="7D748191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6EA4225B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100字以内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29C6EC2E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1.</w:t>
            </w:r>
            <w:r w:rsidR="00A2389A">
              <w:t xml:space="preserve"> </w:t>
            </w:r>
            <w:r w:rsidR="00A2389A" w:rsidRPr="00A2389A">
              <w:rPr>
                <w:rFonts w:ascii="宋体" w:hAnsi="宋体" w:cs="宋体"/>
                <w:bCs/>
                <w:color w:val="000000"/>
                <w:lang w:eastAsia="zh-CN"/>
              </w:rPr>
              <w:t>bp</w:t>
            </w:r>
          </w:p>
        </w:tc>
        <w:tc>
          <w:tcPr>
            <w:tcW w:w="6093" w:type="dxa"/>
            <w:vAlign w:val="center"/>
          </w:tcPr>
          <w:p w14:paraId="4F5F6293" w14:textId="77777777" w:rsidR="007F40F5" w:rsidRPr="007F40F5" w:rsidRDefault="007F40F5" w:rsidP="007F40F5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 w:rsidRPr="007F40F5">
              <w:rPr>
                <w:rFonts w:ascii="宋体" w:hAnsi="宋体" w:cs="宋体" w:hint="eastAsia"/>
                <w:lang w:val="en-US"/>
              </w:rPr>
              <w:t>bp于1909年成立于英国，</w:t>
            </w:r>
            <w:r w:rsidR="009C4EFD">
              <w:rPr>
                <w:rFonts w:ascii="宋体" w:hAnsi="宋体" w:cs="宋体" w:hint="eastAsia"/>
                <w:lang w:val="en-US"/>
              </w:rPr>
              <w:t>为伦敦证券交易所、纽约证券交易所和法兰克福证券交易所上市公司。</w:t>
            </w:r>
            <w:r w:rsidR="007D2336">
              <w:rPr>
                <w:rFonts w:ascii="宋体" w:hAnsi="宋体" w:cs="宋体" w:hint="eastAsia"/>
                <w:lang w:val="en-US"/>
              </w:rPr>
              <w:t>bp的</w:t>
            </w:r>
            <w:r w:rsidRPr="007F40F5">
              <w:rPr>
                <w:rFonts w:ascii="宋体" w:hAnsi="宋体" w:cs="宋体" w:hint="eastAsia"/>
                <w:lang w:val="en-US"/>
              </w:rPr>
              <w:t>主要</w:t>
            </w:r>
            <w:r w:rsidR="009C4EFD">
              <w:rPr>
                <w:rFonts w:ascii="宋体" w:hAnsi="宋体" w:cs="宋体" w:hint="eastAsia"/>
                <w:lang w:val="en-US"/>
              </w:rPr>
              <w:t>业务为</w:t>
            </w:r>
            <w:r w:rsidRPr="007F40F5">
              <w:rPr>
                <w:rFonts w:ascii="宋体" w:hAnsi="宋体" w:cs="宋体" w:hint="eastAsia"/>
                <w:lang w:val="en-US"/>
              </w:rPr>
              <w:t>石油和天然气的生产和运营</w:t>
            </w:r>
            <w:r w:rsidR="009C4EFD">
              <w:rPr>
                <w:rFonts w:ascii="宋体" w:hAnsi="宋体" w:cs="宋体" w:hint="eastAsia"/>
                <w:lang w:val="en-US"/>
              </w:rPr>
              <w:t>、</w:t>
            </w:r>
            <w:r w:rsidRPr="00255279">
              <w:rPr>
                <w:rFonts w:ascii="宋体" w:hAnsi="宋体" w:cs="宋体" w:hint="eastAsia"/>
                <w:lang w:val="en-US"/>
              </w:rPr>
              <w:t>客户和产品</w:t>
            </w:r>
            <w:r w:rsidR="007D2336" w:rsidRPr="00255279">
              <w:rPr>
                <w:rFonts w:ascii="宋体" w:hAnsi="宋体" w:cs="宋体" w:hint="eastAsia"/>
                <w:lang w:val="en-US"/>
              </w:rPr>
              <w:t>服务</w:t>
            </w:r>
            <w:r w:rsidR="009C4EFD">
              <w:rPr>
                <w:rFonts w:ascii="宋体" w:hAnsi="宋体" w:cs="宋体" w:hint="eastAsia"/>
                <w:lang w:val="en-US"/>
              </w:rPr>
              <w:t>、</w:t>
            </w:r>
            <w:r w:rsidRPr="007F40F5">
              <w:rPr>
                <w:rFonts w:ascii="宋体" w:hAnsi="宋体" w:cs="宋体" w:hint="eastAsia"/>
                <w:lang w:val="en-US"/>
              </w:rPr>
              <w:t>天然气和低碳能源</w:t>
            </w:r>
            <w:r w:rsidR="007D2336">
              <w:rPr>
                <w:rFonts w:ascii="宋体" w:hAnsi="宋体" w:cs="宋体" w:hint="eastAsia"/>
                <w:lang w:val="en-US"/>
              </w:rPr>
              <w:t>，</w:t>
            </w:r>
            <w:r w:rsidRPr="007F40F5">
              <w:rPr>
                <w:rFonts w:ascii="宋体" w:hAnsi="宋体" w:cs="宋体" w:hint="eastAsia"/>
                <w:lang w:val="en-US"/>
              </w:rPr>
              <w:t>以及数字化创新和工程。</w:t>
            </w:r>
          </w:p>
          <w:p w14:paraId="19556E48" w14:textId="77777777" w:rsidR="00AD1C35" w:rsidRDefault="009C4EFD" w:rsidP="007F40F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b</w:t>
            </w:r>
            <w:r w:rsidR="007F40F5" w:rsidRPr="007F40F5">
              <w:rPr>
                <w:rFonts w:ascii="宋体" w:hAnsi="宋体" w:cs="宋体" w:hint="eastAsia"/>
                <w:lang w:val="en-US" w:eastAsia="zh-CN"/>
              </w:rPr>
              <w:t>p</w:t>
            </w:r>
            <w:r>
              <w:rPr>
                <w:rFonts w:ascii="宋体" w:hAnsi="宋体" w:cs="宋体" w:hint="eastAsia"/>
                <w:lang w:val="en-US" w:eastAsia="zh-CN"/>
              </w:rPr>
              <w:t>没有</w:t>
            </w:r>
            <w:r w:rsidR="007F40F5" w:rsidRPr="007F40F5">
              <w:rPr>
                <w:rFonts w:ascii="宋体" w:hAnsi="宋体" w:cs="宋体" w:hint="eastAsia"/>
                <w:lang w:val="en-US" w:eastAsia="zh-CN"/>
              </w:rPr>
              <w:t>最终控制人。</w:t>
            </w:r>
          </w:p>
        </w:tc>
      </w:tr>
      <w:tr w:rsidR="00AD1C35" w14:paraId="25AFE000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799B8777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5EA8E0BB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2.</w:t>
            </w:r>
            <w:r w:rsidR="00A2389A">
              <w:t xml:space="preserve"> </w:t>
            </w:r>
            <w:proofErr w:type="spellStart"/>
            <w:r w:rsidR="00C17DE2">
              <w:rPr>
                <w:rFonts w:ascii="宋体" w:hAnsi="宋体" w:cs="宋体" w:hint="eastAsia"/>
                <w:lang w:val="en-US"/>
              </w:rPr>
              <w:t>挪威低碳</w:t>
            </w:r>
            <w:proofErr w:type="spellEnd"/>
          </w:p>
          <w:p w14:paraId="0FC2538F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</w:p>
        </w:tc>
        <w:tc>
          <w:tcPr>
            <w:tcW w:w="6093" w:type="dxa"/>
            <w:vAlign w:val="center"/>
          </w:tcPr>
          <w:p w14:paraId="2D0C3E76" w14:textId="77777777" w:rsidR="007F40F5" w:rsidRPr="007F40F5" w:rsidRDefault="00C17DE2" w:rsidP="007F40F5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挪威低碳</w:t>
            </w:r>
            <w:r w:rsidR="007F40F5" w:rsidRPr="007F40F5">
              <w:rPr>
                <w:rFonts w:ascii="宋体" w:hAnsi="宋体" w:cs="宋体" w:hint="eastAsia"/>
                <w:bCs/>
                <w:color w:val="000000"/>
                <w:lang w:val="en-US"/>
              </w:rPr>
              <w:t>于202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3</w:t>
            </w:r>
            <w:r w:rsidR="007F40F5" w:rsidRPr="007F40F5">
              <w:rPr>
                <w:rFonts w:ascii="宋体" w:hAnsi="宋体" w:cs="宋体" w:hint="eastAsia"/>
                <w:bCs/>
                <w:color w:val="000000"/>
                <w:lang w:val="en-US"/>
              </w:rPr>
              <w:t>年成立于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英国</w:t>
            </w:r>
            <w:r w:rsidR="007F40F5" w:rsidRPr="007F40F5">
              <w:rPr>
                <w:rFonts w:ascii="宋体" w:hAnsi="宋体" w:cs="宋体" w:hint="eastAsia"/>
                <w:bCs/>
                <w:color w:val="000000"/>
                <w:lang w:val="en-US"/>
              </w:rPr>
              <w:t>，</w:t>
            </w:r>
            <w:r w:rsidR="00017A39">
              <w:rPr>
                <w:rFonts w:ascii="宋体" w:hAnsi="宋体" w:cs="宋体" w:hint="eastAsia"/>
                <w:bCs/>
                <w:color w:val="000000"/>
                <w:lang w:val="en-US"/>
              </w:rPr>
              <w:t>主要</w:t>
            </w:r>
            <w:r w:rsidR="007F40F5" w:rsidRPr="007F40F5">
              <w:rPr>
                <w:rFonts w:ascii="宋体" w:hAnsi="宋体" w:cs="宋体" w:hint="eastAsia"/>
                <w:bCs/>
                <w:color w:val="000000"/>
                <w:lang w:val="en-US"/>
              </w:rPr>
              <w:t>业务为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控股</w:t>
            </w:r>
            <w:r w:rsidRPr="00C17DE2">
              <w:rPr>
                <w:rFonts w:ascii="宋体" w:hAnsi="宋体" w:cs="宋体" w:hint="eastAsia"/>
                <w:bCs/>
                <w:color w:val="000000"/>
                <w:lang w:val="en-US"/>
              </w:rPr>
              <w:t>挪威国家石油公司</w:t>
            </w:r>
            <w:r w:rsidRPr="007F40F5">
              <w:rPr>
                <w:rFonts w:ascii="宋体" w:hAnsi="宋体" w:cs="宋体" w:hint="eastAsia"/>
                <w:bCs/>
                <w:color w:val="000000"/>
                <w:lang w:val="en-US"/>
              </w:rPr>
              <w:t>在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英国的</w:t>
            </w:r>
            <w:r w:rsidRPr="00C17DE2">
              <w:rPr>
                <w:rFonts w:ascii="宋体" w:hAnsi="宋体" w:cs="宋体" w:hint="eastAsia"/>
                <w:bCs/>
                <w:color w:val="000000"/>
                <w:lang w:val="en-US"/>
              </w:rPr>
              <w:t>低碳项目</w:t>
            </w:r>
            <w:r w:rsidR="007F40F5" w:rsidRPr="007F40F5">
              <w:rPr>
                <w:rFonts w:ascii="宋体" w:hAnsi="宋体" w:cs="宋体" w:hint="eastAsia"/>
                <w:bCs/>
                <w:color w:val="000000"/>
                <w:lang w:val="en-US"/>
              </w:rPr>
              <w:t>。</w:t>
            </w:r>
          </w:p>
          <w:p w14:paraId="49C50078" w14:textId="77777777" w:rsidR="00AD1C35" w:rsidRDefault="00C758C0" w:rsidP="007D2336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lang w:val="en-US"/>
              </w:rPr>
              <w:t>挪威低碳</w:t>
            </w:r>
            <w:r w:rsidR="007F40F5" w:rsidRPr="007F40F5">
              <w:rPr>
                <w:rFonts w:ascii="宋体" w:hAnsi="宋体" w:cs="宋体" w:hint="eastAsia"/>
                <w:bCs/>
                <w:color w:val="000000"/>
                <w:lang w:val="en-US"/>
              </w:rPr>
              <w:t>的最终控制人为</w:t>
            </w:r>
            <w:r w:rsidR="00C17DE2" w:rsidRPr="00C17DE2">
              <w:rPr>
                <w:rFonts w:ascii="宋体" w:hAnsi="宋体" w:cs="宋体" w:hint="eastAsia"/>
                <w:bCs/>
                <w:color w:val="000000"/>
                <w:lang w:val="en-US"/>
              </w:rPr>
              <w:t>挪威国家石油公司</w:t>
            </w:r>
            <w:r w:rsidR="00017A39">
              <w:rPr>
                <w:rFonts w:ascii="宋体" w:hAnsi="宋体" w:cs="宋体" w:hint="eastAsia"/>
                <w:bCs/>
                <w:color w:val="000000"/>
                <w:lang w:val="en-US"/>
              </w:rPr>
              <w:t>。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作为一家国际能源公司，</w:t>
            </w:r>
            <w:r w:rsidRPr="00C758C0">
              <w:rPr>
                <w:rFonts w:ascii="宋体" w:hAnsi="宋体" w:cs="宋体" w:hint="eastAsia"/>
                <w:bCs/>
                <w:color w:val="000000"/>
                <w:lang w:val="en-US"/>
              </w:rPr>
              <w:t>挪威国家石油公司</w:t>
            </w:r>
            <w:r w:rsidR="007D2336">
              <w:rPr>
                <w:rFonts w:ascii="宋体" w:hAnsi="宋体" w:cs="宋体" w:hint="eastAsia"/>
                <w:bCs/>
                <w:color w:val="000000"/>
                <w:lang w:val="en-US"/>
              </w:rPr>
              <w:t>的</w:t>
            </w:r>
            <w:r w:rsidR="00017A39">
              <w:rPr>
                <w:rFonts w:ascii="宋体" w:hAnsi="宋体" w:cs="宋体" w:hint="eastAsia"/>
                <w:bCs/>
                <w:color w:val="000000"/>
                <w:lang w:val="en-US"/>
              </w:rPr>
              <w:t>业务</w:t>
            </w:r>
            <w:r w:rsidRPr="00C758C0">
              <w:rPr>
                <w:rFonts w:ascii="宋体" w:hAnsi="宋体" w:cs="宋体" w:hint="eastAsia"/>
                <w:bCs/>
                <w:color w:val="000000"/>
                <w:lang w:val="en-US"/>
              </w:rPr>
              <w:t>贯穿整个碳氢化合物价值链以及其他能源形式</w:t>
            </w:r>
            <w:r w:rsidR="007F40F5" w:rsidRPr="007F40F5">
              <w:rPr>
                <w:rFonts w:ascii="宋体" w:hAnsi="宋体" w:cs="宋体" w:hint="eastAsia"/>
                <w:bCs/>
                <w:color w:val="000000"/>
                <w:lang w:val="en-US"/>
              </w:rPr>
              <w:t>。</w:t>
            </w:r>
          </w:p>
        </w:tc>
      </w:tr>
      <w:tr w:rsidR="00AD1C35" w14:paraId="60E04B5B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673122C2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630F669C" w14:textId="77777777" w:rsidR="00AD1C35" w:rsidRDefault="00A2389A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AD1C35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AD1C35" w14:paraId="5881E5DD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17B7D65A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2A6EA94" w14:textId="77777777" w:rsidR="00AD1C35" w:rsidRDefault="00A2389A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AD1C35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AD1C35" w14:paraId="353A8B35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0A5C2EAD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D774FBC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36086D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3、不在同一相关市场、也不存在上下游关系的参与集中的经营者，在与交易有关的每个市场所占的份额均小于25%。</w:t>
            </w:r>
          </w:p>
        </w:tc>
      </w:tr>
      <w:tr w:rsidR="00AD1C35" w14:paraId="171324FE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21FB34AA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D203161" w14:textId="07CD7121" w:rsidR="00AD1C35" w:rsidRDefault="00581A70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AD1C35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AD1C35" w14:paraId="6F7A6DFB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547ED414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09AD8C3" w14:textId="5902C80F" w:rsidR="00AD1C35" w:rsidRDefault="00BB32D0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="00AD1C35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AD1C35" w14:paraId="462AC336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46DA186A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7E77971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AD1C35" w14:paraId="36734F73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718FBC51" w14:textId="77777777" w:rsidR="00AD1C35" w:rsidRDefault="00AD1C3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32385721" w14:textId="77777777" w:rsidR="00A2389A" w:rsidRPr="00A2389A" w:rsidRDefault="00A2389A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不适用</w:t>
            </w:r>
          </w:p>
        </w:tc>
      </w:tr>
    </w:tbl>
    <w:p w14:paraId="00BBCD0B" w14:textId="77777777" w:rsidR="00AD1C35" w:rsidRDefault="00AD1C35">
      <w:pPr>
        <w:pStyle w:val="BodyText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AD1C35"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9DC0" w14:textId="77777777" w:rsidR="00B17687" w:rsidRDefault="00B17687">
      <w:pPr>
        <w:spacing w:after="0"/>
      </w:pPr>
      <w:r>
        <w:separator/>
      </w:r>
    </w:p>
  </w:endnote>
  <w:endnote w:type="continuationSeparator" w:id="0">
    <w:p w14:paraId="70A97137" w14:textId="77777777" w:rsidR="00B17687" w:rsidRDefault="00B176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AD1C35" w14:paraId="35FBD324" w14:textId="77777777">
      <w:tc>
        <w:tcPr>
          <w:tcW w:w="3080" w:type="dxa"/>
        </w:tcPr>
        <w:p w14:paraId="4FED2CC0" w14:textId="77777777" w:rsidR="00AD1C35" w:rsidRDefault="00AD1C35">
          <w:pPr>
            <w:pStyle w:val="Footer"/>
          </w:pPr>
        </w:p>
      </w:tc>
      <w:tc>
        <w:tcPr>
          <w:tcW w:w="3081" w:type="dxa"/>
        </w:tcPr>
        <w:p w14:paraId="58DAA6C1" w14:textId="77777777" w:rsidR="00AD1C35" w:rsidRDefault="00AD1C35">
          <w:pPr>
            <w:pStyle w:val="Footer"/>
            <w:jc w:val="center"/>
            <w:rPr>
              <w:rStyle w:val="PageNumber"/>
              <w:rFonts w:cs="Times New Roman"/>
            </w:rPr>
          </w:pPr>
          <w:r>
            <w:rPr>
              <w:rStyle w:val="PageNumber"/>
              <w:rFonts w:cs="Times New Roman"/>
            </w:rPr>
            <w:t xml:space="preserve">- </w:t>
          </w:r>
          <w:r>
            <w:rPr>
              <w:rStyle w:val="PageNumber"/>
              <w:rFonts w:cs="Times New Roman"/>
            </w:rPr>
            <w:fldChar w:fldCharType="begin"/>
          </w:r>
          <w:r>
            <w:rPr>
              <w:rStyle w:val="PageNumber"/>
              <w:rFonts w:cs="Times New Roman"/>
            </w:rPr>
            <w:instrText xml:space="preserve"> PAGE   \* MERGEFORMAT </w:instrText>
          </w:r>
          <w:r>
            <w:rPr>
              <w:rStyle w:val="PageNumber"/>
              <w:rFonts w:cs="Times New Roman"/>
            </w:rPr>
            <w:fldChar w:fldCharType="separate"/>
          </w:r>
          <w:r w:rsidR="00255279" w:rsidRPr="00255279">
            <w:rPr>
              <w:rStyle w:val="PageNumber"/>
              <w:rFonts w:cs="Times New Roman"/>
              <w:noProof/>
            </w:rPr>
            <w:t>1</w:t>
          </w:r>
          <w:r>
            <w:rPr>
              <w:rStyle w:val="PageNumber"/>
              <w:rFonts w:cs="Times New Roman"/>
            </w:rPr>
            <w:fldChar w:fldCharType="end"/>
          </w:r>
          <w:r>
            <w:rPr>
              <w:rStyle w:val="PageNumber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573C0E42" w14:textId="77777777" w:rsidR="00AD1C35" w:rsidRDefault="00AD1C35">
          <w:pPr>
            <w:pStyle w:val="FooterRight"/>
          </w:pPr>
        </w:p>
      </w:tc>
    </w:tr>
  </w:tbl>
  <w:p w14:paraId="18DFEBC4" w14:textId="77777777" w:rsidR="00AD1C35" w:rsidRDefault="00AD1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68BD" w14:textId="77777777" w:rsidR="00B17687" w:rsidRDefault="00B17687">
      <w:pPr>
        <w:spacing w:after="0"/>
      </w:pPr>
      <w:r>
        <w:separator/>
      </w:r>
    </w:p>
  </w:footnote>
  <w:footnote w:type="continuationSeparator" w:id="0">
    <w:p w14:paraId="3DE2E9B8" w14:textId="77777777" w:rsidR="00B17687" w:rsidRDefault="00B176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921181078">
    <w:abstractNumId w:val="2"/>
  </w:num>
  <w:num w:numId="2" w16cid:durableId="138960220">
    <w:abstractNumId w:val="0"/>
  </w:num>
  <w:num w:numId="3" w16cid:durableId="181175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DYXU"/>
    <w:docVar w:name="IManageDocInfoCache(ClientId)" w:val="10025414"/>
    <w:docVar w:name="IManageDocInfoCache(DatabaseName)" w:val="HOK"/>
    <w:docVar w:name="IManageDocInfoCache(DocumentDescription)" w:val="NEP JV - PRC - Public Notice CHN v 30 January 2024"/>
    <w:docVar w:name="IManageDocInfoCache(DocumentNumber)" w:val="700470042"/>
    <w:docVar w:name="IManageDocInfoCache(DocumentVersion)" w:val="2"/>
    <w:docVar w:name="IManageDocInfoCache(Matter)" w:val="1001242881"/>
  </w:docVars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50B7"/>
    <w:rsid w:val="00017A39"/>
    <w:rsid w:val="00021AB2"/>
    <w:rsid w:val="000326C8"/>
    <w:rsid w:val="00041C40"/>
    <w:rsid w:val="0004292A"/>
    <w:rsid w:val="000467AA"/>
    <w:rsid w:val="00062616"/>
    <w:rsid w:val="00073E6B"/>
    <w:rsid w:val="0007723F"/>
    <w:rsid w:val="00077D60"/>
    <w:rsid w:val="00083590"/>
    <w:rsid w:val="000843BE"/>
    <w:rsid w:val="00092F4E"/>
    <w:rsid w:val="000B3E22"/>
    <w:rsid w:val="000B58E5"/>
    <w:rsid w:val="000B653C"/>
    <w:rsid w:val="000C6953"/>
    <w:rsid w:val="000E29A9"/>
    <w:rsid w:val="000E3A81"/>
    <w:rsid w:val="00107E19"/>
    <w:rsid w:val="00115F62"/>
    <w:rsid w:val="00123E26"/>
    <w:rsid w:val="00145B05"/>
    <w:rsid w:val="001639D8"/>
    <w:rsid w:val="00181EC3"/>
    <w:rsid w:val="001836FE"/>
    <w:rsid w:val="00186A05"/>
    <w:rsid w:val="001965E2"/>
    <w:rsid w:val="001B4EA1"/>
    <w:rsid w:val="001C5840"/>
    <w:rsid w:val="001D1555"/>
    <w:rsid w:val="001D6168"/>
    <w:rsid w:val="001E0F1F"/>
    <w:rsid w:val="001F346E"/>
    <w:rsid w:val="001F35AA"/>
    <w:rsid w:val="001F367B"/>
    <w:rsid w:val="002218ED"/>
    <w:rsid w:val="00224A7C"/>
    <w:rsid w:val="002278D1"/>
    <w:rsid w:val="00231665"/>
    <w:rsid w:val="00233737"/>
    <w:rsid w:val="00237E1E"/>
    <w:rsid w:val="002403B5"/>
    <w:rsid w:val="00245281"/>
    <w:rsid w:val="00250E61"/>
    <w:rsid w:val="00255279"/>
    <w:rsid w:val="00257EFE"/>
    <w:rsid w:val="00261F94"/>
    <w:rsid w:val="00267941"/>
    <w:rsid w:val="002832E2"/>
    <w:rsid w:val="00287E91"/>
    <w:rsid w:val="00291652"/>
    <w:rsid w:val="002964A1"/>
    <w:rsid w:val="002A25F2"/>
    <w:rsid w:val="002A7C26"/>
    <w:rsid w:val="002F09A7"/>
    <w:rsid w:val="002F5271"/>
    <w:rsid w:val="00306B88"/>
    <w:rsid w:val="00310488"/>
    <w:rsid w:val="00311263"/>
    <w:rsid w:val="0034107F"/>
    <w:rsid w:val="00344D27"/>
    <w:rsid w:val="003530D4"/>
    <w:rsid w:val="0035604C"/>
    <w:rsid w:val="0036086D"/>
    <w:rsid w:val="00371332"/>
    <w:rsid w:val="003850D4"/>
    <w:rsid w:val="00385F00"/>
    <w:rsid w:val="003866EF"/>
    <w:rsid w:val="00396865"/>
    <w:rsid w:val="003A4565"/>
    <w:rsid w:val="003B27EC"/>
    <w:rsid w:val="003B2F86"/>
    <w:rsid w:val="003B4439"/>
    <w:rsid w:val="003B4C9E"/>
    <w:rsid w:val="003B7CBC"/>
    <w:rsid w:val="003C3456"/>
    <w:rsid w:val="003D40E7"/>
    <w:rsid w:val="003E3B57"/>
    <w:rsid w:val="003E73DB"/>
    <w:rsid w:val="00410914"/>
    <w:rsid w:val="004119F5"/>
    <w:rsid w:val="004166B2"/>
    <w:rsid w:val="004203EF"/>
    <w:rsid w:val="00427E52"/>
    <w:rsid w:val="004366C5"/>
    <w:rsid w:val="004453EC"/>
    <w:rsid w:val="00446353"/>
    <w:rsid w:val="0044739B"/>
    <w:rsid w:val="00467A6B"/>
    <w:rsid w:val="0049707A"/>
    <w:rsid w:val="004973DB"/>
    <w:rsid w:val="0049771A"/>
    <w:rsid w:val="004A4BF1"/>
    <w:rsid w:val="004C3420"/>
    <w:rsid w:val="004C7230"/>
    <w:rsid w:val="004D018B"/>
    <w:rsid w:val="004D124C"/>
    <w:rsid w:val="004D4435"/>
    <w:rsid w:val="005125D6"/>
    <w:rsid w:val="00512A53"/>
    <w:rsid w:val="00523905"/>
    <w:rsid w:val="005251B9"/>
    <w:rsid w:val="00530BB4"/>
    <w:rsid w:val="005415A4"/>
    <w:rsid w:val="00545A47"/>
    <w:rsid w:val="005606E9"/>
    <w:rsid w:val="00564070"/>
    <w:rsid w:val="0057200D"/>
    <w:rsid w:val="00581A70"/>
    <w:rsid w:val="00591CEC"/>
    <w:rsid w:val="005B0CEB"/>
    <w:rsid w:val="005B18A3"/>
    <w:rsid w:val="005D277C"/>
    <w:rsid w:val="005D6D17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32159"/>
    <w:rsid w:val="00636F25"/>
    <w:rsid w:val="00645B6A"/>
    <w:rsid w:val="00655225"/>
    <w:rsid w:val="00664174"/>
    <w:rsid w:val="006643EA"/>
    <w:rsid w:val="0067348D"/>
    <w:rsid w:val="006745A9"/>
    <w:rsid w:val="00682729"/>
    <w:rsid w:val="006B4541"/>
    <w:rsid w:val="006B7948"/>
    <w:rsid w:val="006B7A01"/>
    <w:rsid w:val="006D1E2B"/>
    <w:rsid w:val="006E0D98"/>
    <w:rsid w:val="006E0F3D"/>
    <w:rsid w:val="006E3180"/>
    <w:rsid w:val="006E6E26"/>
    <w:rsid w:val="006E70AA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1420"/>
    <w:rsid w:val="007674D7"/>
    <w:rsid w:val="00772298"/>
    <w:rsid w:val="00794062"/>
    <w:rsid w:val="00797584"/>
    <w:rsid w:val="007A2D94"/>
    <w:rsid w:val="007B651A"/>
    <w:rsid w:val="007B6ED8"/>
    <w:rsid w:val="007B75E4"/>
    <w:rsid w:val="007D2336"/>
    <w:rsid w:val="007E2608"/>
    <w:rsid w:val="007F1726"/>
    <w:rsid w:val="007F40F5"/>
    <w:rsid w:val="0080200E"/>
    <w:rsid w:val="00803A33"/>
    <w:rsid w:val="008051ED"/>
    <w:rsid w:val="00811775"/>
    <w:rsid w:val="008159CD"/>
    <w:rsid w:val="008248B2"/>
    <w:rsid w:val="00834D88"/>
    <w:rsid w:val="00864085"/>
    <w:rsid w:val="008766B7"/>
    <w:rsid w:val="008803D0"/>
    <w:rsid w:val="00880F24"/>
    <w:rsid w:val="008836AF"/>
    <w:rsid w:val="00885C9B"/>
    <w:rsid w:val="008860BA"/>
    <w:rsid w:val="008932BD"/>
    <w:rsid w:val="00893879"/>
    <w:rsid w:val="008B2172"/>
    <w:rsid w:val="008C7AAB"/>
    <w:rsid w:val="008D4ED8"/>
    <w:rsid w:val="008D644E"/>
    <w:rsid w:val="008E5BCA"/>
    <w:rsid w:val="009022B0"/>
    <w:rsid w:val="00903C0D"/>
    <w:rsid w:val="00905F4A"/>
    <w:rsid w:val="009145E4"/>
    <w:rsid w:val="009301D9"/>
    <w:rsid w:val="0094346F"/>
    <w:rsid w:val="00953187"/>
    <w:rsid w:val="009551E9"/>
    <w:rsid w:val="0096333E"/>
    <w:rsid w:val="009668EC"/>
    <w:rsid w:val="00977C3B"/>
    <w:rsid w:val="009901B5"/>
    <w:rsid w:val="009A0BCC"/>
    <w:rsid w:val="009A2EFA"/>
    <w:rsid w:val="009A4F2B"/>
    <w:rsid w:val="009A57C5"/>
    <w:rsid w:val="009A6CD4"/>
    <w:rsid w:val="009A6E66"/>
    <w:rsid w:val="009B0211"/>
    <w:rsid w:val="009C16F8"/>
    <w:rsid w:val="009C1DE7"/>
    <w:rsid w:val="009C4EFD"/>
    <w:rsid w:val="009C5625"/>
    <w:rsid w:val="009C5962"/>
    <w:rsid w:val="009D0999"/>
    <w:rsid w:val="009F0698"/>
    <w:rsid w:val="00A05705"/>
    <w:rsid w:val="00A16F03"/>
    <w:rsid w:val="00A21136"/>
    <w:rsid w:val="00A22686"/>
    <w:rsid w:val="00A2389A"/>
    <w:rsid w:val="00A24D1E"/>
    <w:rsid w:val="00A3323A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84948"/>
    <w:rsid w:val="00AA0F23"/>
    <w:rsid w:val="00AA3E2F"/>
    <w:rsid w:val="00AA46CA"/>
    <w:rsid w:val="00AA535B"/>
    <w:rsid w:val="00AC3273"/>
    <w:rsid w:val="00AC41C8"/>
    <w:rsid w:val="00AC68C4"/>
    <w:rsid w:val="00AD1C35"/>
    <w:rsid w:val="00AD310D"/>
    <w:rsid w:val="00AD3D4D"/>
    <w:rsid w:val="00AE4069"/>
    <w:rsid w:val="00AE7916"/>
    <w:rsid w:val="00AF09EA"/>
    <w:rsid w:val="00AF1D6D"/>
    <w:rsid w:val="00AF5632"/>
    <w:rsid w:val="00B04913"/>
    <w:rsid w:val="00B17687"/>
    <w:rsid w:val="00B2169A"/>
    <w:rsid w:val="00B31D4D"/>
    <w:rsid w:val="00B3616B"/>
    <w:rsid w:val="00B37633"/>
    <w:rsid w:val="00B518C9"/>
    <w:rsid w:val="00B52EAC"/>
    <w:rsid w:val="00B54969"/>
    <w:rsid w:val="00B80B9E"/>
    <w:rsid w:val="00B838DA"/>
    <w:rsid w:val="00B86E3A"/>
    <w:rsid w:val="00BA017F"/>
    <w:rsid w:val="00BB32D0"/>
    <w:rsid w:val="00BD535F"/>
    <w:rsid w:val="00BE6E64"/>
    <w:rsid w:val="00BF31B7"/>
    <w:rsid w:val="00BF3404"/>
    <w:rsid w:val="00BF4F99"/>
    <w:rsid w:val="00C10048"/>
    <w:rsid w:val="00C17DE2"/>
    <w:rsid w:val="00C30E9B"/>
    <w:rsid w:val="00C424FC"/>
    <w:rsid w:val="00C51ECC"/>
    <w:rsid w:val="00C600D9"/>
    <w:rsid w:val="00C67ADA"/>
    <w:rsid w:val="00C758C0"/>
    <w:rsid w:val="00C810E8"/>
    <w:rsid w:val="00C847C2"/>
    <w:rsid w:val="00CA6613"/>
    <w:rsid w:val="00CC69AD"/>
    <w:rsid w:val="00CC6BD3"/>
    <w:rsid w:val="00CF1664"/>
    <w:rsid w:val="00CF5A8A"/>
    <w:rsid w:val="00D01278"/>
    <w:rsid w:val="00D05FE5"/>
    <w:rsid w:val="00D12AB1"/>
    <w:rsid w:val="00D23B36"/>
    <w:rsid w:val="00D24383"/>
    <w:rsid w:val="00D27AEB"/>
    <w:rsid w:val="00D53BAE"/>
    <w:rsid w:val="00D57DBA"/>
    <w:rsid w:val="00D57EBC"/>
    <w:rsid w:val="00D71F76"/>
    <w:rsid w:val="00D77095"/>
    <w:rsid w:val="00D80573"/>
    <w:rsid w:val="00D94BB1"/>
    <w:rsid w:val="00D961C9"/>
    <w:rsid w:val="00D97B80"/>
    <w:rsid w:val="00DA1D73"/>
    <w:rsid w:val="00DB2761"/>
    <w:rsid w:val="00DB2FF6"/>
    <w:rsid w:val="00DD0E0C"/>
    <w:rsid w:val="00DD7765"/>
    <w:rsid w:val="00DE522D"/>
    <w:rsid w:val="00DF19BD"/>
    <w:rsid w:val="00E23955"/>
    <w:rsid w:val="00E417DF"/>
    <w:rsid w:val="00E47327"/>
    <w:rsid w:val="00E702D5"/>
    <w:rsid w:val="00E7385D"/>
    <w:rsid w:val="00E84A9A"/>
    <w:rsid w:val="00E86579"/>
    <w:rsid w:val="00E90A19"/>
    <w:rsid w:val="00E974F8"/>
    <w:rsid w:val="00EA1B14"/>
    <w:rsid w:val="00EA79DA"/>
    <w:rsid w:val="00EB3887"/>
    <w:rsid w:val="00EC636E"/>
    <w:rsid w:val="00EC7E55"/>
    <w:rsid w:val="00ED6F93"/>
    <w:rsid w:val="00EE7CB8"/>
    <w:rsid w:val="00EF037D"/>
    <w:rsid w:val="00EF16FB"/>
    <w:rsid w:val="00F02216"/>
    <w:rsid w:val="00F0291C"/>
    <w:rsid w:val="00F101DD"/>
    <w:rsid w:val="00F14193"/>
    <w:rsid w:val="00F14D59"/>
    <w:rsid w:val="00F20CCE"/>
    <w:rsid w:val="00F213E5"/>
    <w:rsid w:val="00F3614E"/>
    <w:rsid w:val="00F56870"/>
    <w:rsid w:val="00F576E0"/>
    <w:rsid w:val="00F6440C"/>
    <w:rsid w:val="00F87706"/>
    <w:rsid w:val="00F901CF"/>
    <w:rsid w:val="00F906EF"/>
    <w:rsid w:val="00FA703D"/>
    <w:rsid w:val="00FB33FD"/>
    <w:rsid w:val="00FB645E"/>
    <w:rsid w:val="00FC35ED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22F56"/>
  <w15:chartTrackingRefBased/>
  <w15:docId w15:val="{11DB048B-BB75-4633-B7A9-05425543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bidi="ar-AE"/>
    </w:rPr>
  </w:style>
  <w:style w:type="paragraph" w:customStyle="1" w:styleId="NormalLeft0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8B32-60B4-48D2-9BEC-189B07F1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Xiaodi Ding</cp:lastModifiedBy>
  <cp:revision>4</cp:revision>
  <cp:lastPrinted>2022-03-20T13:18:00Z</cp:lastPrinted>
  <dcterms:created xsi:type="dcterms:W3CDTF">2024-02-23T01:15:00Z</dcterms:created>
  <dcterms:modified xsi:type="dcterms:W3CDTF">2024-02-23T01:21:00Z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WordLXNoDocIdAutoUpdate">
    <vt:lpwstr>False</vt:lpwstr>
  </property>
</Properties>
</file>