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经营者集中简易案件公示表</w:t>
      </w: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/>
              </w:rPr>
            </w:pPr>
            <w:r>
              <w:rPr>
                <w:rFonts w:hint="eastAsia" w:ascii="宋体" w:hAnsi="宋体" w:cs="宋体"/>
                <w:bCs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/>
              </w:rPr>
            </w:pPr>
            <w:r>
              <w:rPr>
                <w:rFonts w:hint="eastAsia" w:ascii="宋体" w:hAnsi="宋体" w:cs="宋体"/>
                <w:bCs/>
                <w:lang w:val="en-US"/>
              </w:rPr>
              <w:t>PT Merdeka Industri Anantha收购ESG新能源材料有限公司股权案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val="en-US"/>
              </w:rPr>
              <w:t>格林美香港国际物流有限公司（“</w:t>
            </w:r>
            <w:r>
              <w:rPr>
                <w:rFonts w:hint="eastAsia" w:ascii="宋体" w:hAnsi="宋体" w:cs="宋体"/>
                <w:b/>
                <w:lang w:val="en-US"/>
              </w:rPr>
              <w:t>格林美香港</w:t>
            </w:r>
            <w:r>
              <w:rPr>
                <w:rFonts w:hint="eastAsia" w:ascii="宋体" w:hAnsi="宋体" w:cs="宋体"/>
                <w:bCs/>
                <w:lang w:val="en-US"/>
              </w:rPr>
              <w:t>”）、PT Merdeka Industri Anantha（“</w:t>
            </w:r>
            <w:r>
              <w:rPr>
                <w:rFonts w:hint="eastAsia" w:ascii="宋体" w:hAnsi="宋体" w:cs="宋体"/>
                <w:b/>
                <w:lang w:val="en-US"/>
              </w:rPr>
              <w:t>Merdeka</w:t>
            </w:r>
            <w:r>
              <w:rPr>
                <w:rFonts w:hint="eastAsia" w:ascii="宋体" w:hAnsi="宋体" w:cs="宋体"/>
                <w:bCs/>
                <w:lang w:val="en-US"/>
              </w:rPr>
              <w:t>”）和ESG新能源材料有限公司（“</w:t>
            </w:r>
            <w:r>
              <w:rPr>
                <w:rFonts w:hint="eastAsia" w:ascii="宋体" w:hAnsi="宋体" w:cs="宋体"/>
                <w:b/>
                <w:lang w:val="en-US"/>
              </w:rPr>
              <w:t>目标公司</w:t>
            </w:r>
            <w:r>
              <w:rPr>
                <w:rFonts w:hint="eastAsia" w:ascii="宋体" w:hAnsi="宋体" w:cs="宋体"/>
                <w:bCs/>
                <w:lang w:val="en-US"/>
              </w:rPr>
              <w:t>”）等签署协议，Merdeka收购目标公司5</w:t>
            </w:r>
            <w:r>
              <w:rPr>
                <w:rFonts w:ascii="宋体" w:hAnsi="宋体" w:cs="宋体"/>
                <w:bCs/>
                <w:lang w:val="en-US"/>
              </w:rPr>
              <w:t>5%</w:t>
            </w:r>
            <w:r>
              <w:rPr>
                <w:rFonts w:hint="eastAsia" w:ascii="宋体" w:hAnsi="宋体" w:cs="宋体"/>
                <w:bCs/>
                <w:lang w:val="en-US"/>
              </w:rPr>
              <w:t>股权。目标公司拟从事氢氧化镍钴业务。交易前，格林美香港持有目标公司</w:t>
            </w:r>
            <w:r>
              <w:rPr>
                <w:rFonts w:ascii="宋体" w:hAnsi="宋体" w:cs="宋体"/>
                <w:bCs/>
                <w:lang w:val="en-US"/>
              </w:rPr>
              <w:t>100%</w:t>
            </w:r>
            <w:r>
              <w:rPr>
                <w:rFonts w:hint="eastAsia" w:ascii="宋体" w:hAnsi="宋体" w:cs="宋体"/>
                <w:bCs/>
                <w:lang w:val="en-US"/>
              </w:rPr>
              <w:t>股权，单独控制目标公司。交易后，Merdeka和格林美香港（与关联</w:t>
            </w:r>
            <w:bookmarkStart w:id="0" w:name="_Hlk158324615"/>
            <w:r>
              <w:rPr>
                <w:rFonts w:hint="eastAsia" w:ascii="宋体" w:hAnsi="宋体" w:cs="宋体"/>
                <w:bCs/>
                <w:lang w:val="en-US"/>
              </w:rPr>
              <w:t>方格林特（荆门）工程合伙企业（有限合伙）</w:t>
            </w:r>
            <w:bookmarkEnd w:id="0"/>
            <w:r>
              <w:rPr>
                <w:rFonts w:hint="eastAsia" w:ascii="宋体" w:hAnsi="宋体" w:cs="宋体"/>
                <w:bCs/>
                <w:lang w:val="en-US"/>
              </w:rPr>
              <w:t>）将分别持有目标公司5</w:t>
            </w:r>
            <w:r>
              <w:rPr>
                <w:rFonts w:ascii="宋体" w:hAnsi="宋体" w:cs="宋体"/>
                <w:bCs/>
                <w:lang w:val="en-US"/>
              </w:rPr>
              <w:t>5</w:t>
            </w:r>
            <w:r>
              <w:rPr>
                <w:rFonts w:hint="eastAsia" w:ascii="宋体" w:hAnsi="宋体" w:cs="宋体"/>
                <w:bCs/>
                <w:lang w:val="en-US"/>
              </w:rPr>
              <w:t>%和</w:t>
            </w:r>
            <w:r>
              <w:rPr>
                <w:rFonts w:ascii="宋体" w:hAnsi="宋体" w:cs="宋体"/>
                <w:bCs/>
                <w:lang w:val="en-US"/>
              </w:rPr>
              <w:t>45</w:t>
            </w:r>
            <w:r>
              <w:rPr>
                <w:rFonts w:hint="eastAsia" w:ascii="宋体" w:hAnsi="宋体" w:cs="宋体"/>
                <w:bCs/>
                <w:lang w:val="en-US"/>
              </w:rPr>
              <w:t>%的股权，共同控制目标公司。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参与集中的经营者简介（每个限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100字以内</w:t>
            </w:r>
            <w:r>
              <w:rPr>
                <w:rFonts w:hint="eastAsia" w:ascii="宋体" w:hAnsi="宋体" w:cs="宋体"/>
                <w:bCs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bCs/>
                <w:lang w:eastAsia="zh-CN"/>
              </w:rPr>
              <w:t>Merdeka</w:t>
            </w:r>
          </w:p>
        </w:tc>
        <w:tc>
          <w:tcPr>
            <w:tcW w:w="6093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Merdeka于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20</w:t>
            </w:r>
            <w:r>
              <w:rPr>
                <w:rFonts w:ascii="宋体" w:hAnsi="宋体" w:cs="宋体"/>
                <w:bCs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年</w:t>
            </w:r>
            <w:r>
              <w:rPr>
                <w:rFonts w:ascii="宋体" w:hAnsi="宋体" w:cs="宋体"/>
                <w:bCs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月</w:t>
            </w:r>
            <w:r>
              <w:rPr>
                <w:rFonts w:ascii="宋体" w:hAnsi="宋体" w:cs="宋体"/>
                <w:bCs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日成立于印尼，主要业务为</w:t>
            </w:r>
            <w:r>
              <w:rPr>
                <w:rFonts w:hint="eastAsia" w:ascii="宋体" w:hAnsi="宋体" w:cs="宋体"/>
                <w:bCs/>
                <w:lang w:eastAsia="zh-CN"/>
              </w:rPr>
              <w:t>镍矿、镍金属冶炼及三元电池产业链相关产品的研制、生产、销售和服务。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Merdek</w:t>
            </w:r>
            <w:r>
              <w:rPr>
                <w:rFonts w:ascii="宋体" w:hAnsi="宋体" w:cs="宋体"/>
                <w:bCs/>
                <w:lang w:eastAsia="zh-CN"/>
              </w:rPr>
              <w:t>a</w:t>
            </w:r>
            <w:r>
              <w:rPr>
                <w:rFonts w:hint="eastAsia" w:ascii="宋体" w:hAnsi="宋体" w:cs="宋体"/>
                <w:lang w:eastAsia="zh-CN"/>
              </w:rPr>
              <w:t>最终控制人为</w:t>
            </w:r>
            <w:r>
              <w:rPr>
                <w:rFonts w:ascii="宋体" w:hAnsi="宋体" w:cs="宋体"/>
                <w:lang w:eastAsia="zh-CN"/>
              </w:rPr>
              <w:t>PT Merdeka Copper Gold Tbk</w:t>
            </w:r>
            <w:r>
              <w:rPr>
                <w:rFonts w:hint="eastAsia" w:ascii="宋体" w:hAnsi="宋体" w:cs="宋体"/>
                <w:lang w:eastAsia="zh-CN"/>
              </w:rPr>
              <w:t>，主要从事生产金属和矿物。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2.</w:t>
            </w:r>
            <w:r>
              <w:t xml:space="preserve"> </w:t>
            </w:r>
            <w:r>
              <w:rPr>
                <w:rFonts w:hint="eastAsia" w:ascii="宋体" w:hAnsi="宋体" w:cs="宋体"/>
                <w:bCs/>
                <w:lang w:val="en-US"/>
              </w:rPr>
              <w:t>格林美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香港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eastAsia="zh-CN"/>
              </w:rPr>
            </w:pPr>
          </w:p>
        </w:tc>
        <w:tc>
          <w:tcPr>
            <w:tcW w:w="6093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格林美香港</w:t>
            </w:r>
            <w:r>
              <w:rPr>
                <w:rFonts w:hint="eastAsia" w:ascii="宋体" w:hAnsi="宋体" w:cs="宋体"/>
                <w:bCs/>
                <w:lang w:eastAsia="zh-CN"/>
              </w:rPr>
              <w:t>于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20</w:t>
            </w:r>
            <w:r>
              <w:rPr>
                <w:rFonts w:ascii="宋体" w:hAnsi="宋体" w:cs="宋体"/>
                <w:bCs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年</w:t>
            </w:r>
            <w:r>
              <w:rPr>
                <w:rFonts w:ascii="宋体" w:hAnsi="宋体" w:cs="宋体"/>
                <w:bCs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月</w:t>
            </w:r>
            <w:r>
              <w:rPr>
                <w:rFonts w:ascii="宋体" w:hAnsi="宋体" w:cs="宋体"/>
                <w:bCs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日成立于中国香港，主要业务为</w:t>
            </w:r>
            <w:r>
              <w:rPr>
                <w:rFonts w:ascii="宋体" w:hAnsi="宋体" w:cs="宋体"/>
                <w:bCs/>
                <w:lang w:eastAsia="zh-CN"/>
              </w:rPr>
              <w:t>钴酸锂、三元材料的研发和生产</w:t>
            </w:r>
            <w:r>
              <w:rPr>
                <w:rFonts w:hint="eastAsia" w:ascii="宋体" w:hAnsi="宋体" w:cs="宋体"/>
                <w:bCs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格林美香港</w:t>
            </w:r>
            <w:r>
              <w:rPr>
                <w:rFonts w:hint="eastAsia" w:ascii="宋体" w:hAnsi="宋体" w:cs="宋体"/>
              </w:rPr>
              <w:t>最终控制人为中国籍自然人，其控制下的企业主要从事新能源材料与废弃资源综合</w:t>
            </w:r>
            <w:bookmarkStart w:id="1" w:name="_GoBack"/>
            <w:bookmarkEnd w:id="1"/>
            <w:r>
              <w:rPr>
                <w:rFonts w:hint="eastAsia" w:ascii="宋体" w:hAnsi="宋体" w:cs="宋体"/>
              </w:rPr>
              <w:t>利用业务。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sym w:font="Wingdings" w:char="00FE"/>
            </w:r>
            <w:r>
              <w:rPr>
                <w:rFonts w:hint="eastAsia" w:ascii="宋体" w:hAnsi="宋体" w:cs="宋体"/>
                <w:bCs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lang w:eastAsia="zh-CN"/>
              </w:rPr>
              <w:t xml:space="preserve"> 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纵向关联：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4"/>
              <w:gridCol w:w="1701"/>
              <w:gridCol w:w="398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4" w:type="dxa"/>
                  <w:shd w:val="clear" w:color="auto" w:fill="auto"/>
                </w:tcPr>
                <w:p>
                  <w:pPr>
                    <w:pStyle w:val="2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相关商品市场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pPr>
                    <w:pStyle w:val="2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相关地域市场</w:t>
                  </w:r>
                </w:p>
              </w:tc>
              <w:tc>
                <w:tcPr>
                  <w:tcW w:w="3984" w:type="dxa"/>
                  <w:shd w:val="clear" w:color="auto" w:fill="auto"/>
                </w:tcPr>
                <w:p>
                  <w:pPr>
                    <w:pStyle w:val="2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ascii="宋体" w:hAnsi="宋体" w:cs="宋体"/>
                      <w:bCs/>
                      <w:lang w:val="en-US" w:eastAsia="zh-CN"/>
                    </w:rPr>
                    <w:t>2022</w:t>
                  </w: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年市场份额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4" w:type="dxa"/>
                  <w:shd w:val="clear" w:color="auto" w:fill="auto"/>
                  <w:vAlign w:val="center"/>
                </w:tcPr>
                <w:p>
                  <w:pPr>
                    <w:pStyle w:val="2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上游：镍矿石市场</w:t>
                  </w:r>
                </w:p>
                <w:p>
                  <w:pPr>
                    <w:pStyle w:val="2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下游：氢氧化镍钴市场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pStyle w:val="2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上游：全球</w:t>
                  </w:r>
                </w:p>
                <w:p>
                  <w:pPr>
                    <w:pStyle w:val="2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下游：全球</w:t>
                  </w:r>
                </w:p>
              </w:tc>
              <w:tc>
                <w:tcPr>
                  <w:tcW w:w="3984" w:type="dxa"/>
                  <w:shd w:val="clear" w:color="auto" w:fill="auto"/>
                </w:tcPr>
                <w:p>
                  <w:pPr>
                    <w:pStyle w:val="2"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上游：全球镍矿石市场</w:t>
                  </w:r>
                </w:p>
                <w:p>
                  <w:pPr>
                    <w:pStyle w:val="2"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Merdeka：0</w:t>
                  </w:r>
                  <w:r>
                    <w:rPr>
                      <w:rFonts w:ascii="宋体" w:hAnsi="宋体" w:cs="宋体"/>
                      <w:bCs/>
                      <w:lang w:val="en-US" w:eastAsia="zh-CN"/>
                    </w:rPr>
                    <w:t>-</w:t>
                  </w: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5%（全球），</w:t>
                  </w:r>
                  <w:r>
                    <w:rPr>
                      <w:rFonts w:ascii="宋体" w:hAnsi="宋体" w:cs="宋体"/>
                      <w:bCs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-</w:t>
                  </w:r>
                  <w:r>
                    <w:rPr>
                      <w:rFonts w:ascii="宋体" w:hAnsi="宋体" w:cs="宋体"/>
                      <w:bCs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%（中国境内）</w:t>
                  </w:r>
                </w:p>
                <w:p>
                  <w:pPr>
                    <w:pStyle w:val="2"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</w:p>
                <w:p>
                  <w:pPr>
                    <w:pStyle w:val="2"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下游：全球氢氧化镍钴市场</w:t>
                  </w:r>
                </w:p>
                <w:p>
                  <w:pPr>
                    <w:pStyle w:val="2"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格林美香港（含目标公司）：0</w:t>
                  </w:r>
                  <w:r>
                    <w:rPr>
                      <w:rFonts w:ascii="宋体" w:hAnsi="宋体" w:cs="宋体"/>
                      <w:bCs/>
                      <w:lang w:val="en-US" w:eastAsia="zh-CN"/>
                    </w:rPr>
                    <w:t>-</w:t>
                  </w: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5%（全球），</w:t>
                  </w:r>
                  <w:r>
                    <w:rPr>
                      <w:rFonts w:ascii="宋体" w:hAnsi="宋体" w:cs="宋体"/>
                      <w:bCs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-</w:t>
                  </w:r>
                  <w:r>
                    <w:rPr>
                      <w:rFonts w:ascii="宋体" w:hAnsi="宋体" w:cs="宋体"/>
                      <w:bCs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%（中国境内）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4" w:type="dxa"/>
                  <w:shd w:val="clear" w:color="auto" w:fill="auto"/>
                  <w:vAlign w:val="center"/>
                </w:tcPr>
                <w:p>
                  <w:pPr>
                    <w:pStyle w:val="2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上游：氢氧化镍钴市场</w:t>
                  </w:r>
                </w:p>
                <w:p>
                  <w:pPr>
                    <w:pStyle w:val="2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下游：硫酸镍市场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pStyle w:val="2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上游：全球</w:t>
                  </w:r>
                </w:p>
                <w:p>
                  <w:pPr>
                    <w:pStyle w:val="2"/>
                    <w:adjustRightInd w:val="0"/>
                    <w:snapToGrid w:val="0"/>
                    <w:spacing w:after="0"/>
                    <w:jc w:val="center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下游：中国境内</w:t>
                  </w:r>
                </w:p>
              </w:tc>
              <w:tc>
                <w:tcPr>
                  <w:tcW w:w="3984" w:type="dxa"/>
                  <w:shd w:val="clear" w:color="auto" w:fill="auto"/>
                </w:tcPr>
                <w:p>
                  <w:pPr>
                    <w:pStyle w:val="2"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上游：全球氢氧化镍钴市场</w:t>
                  </w:r>
                </w:p>
                <w:p>
                  <w:pPr>
                    <w:pStyle w:val="2"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目标公司：0</w:t>
                  </w:r>
                  <w:r>
                    <w:rPr>
                      <w:rFonts w:ascii="宋体" w:hAnsi="宋体" w:cs="宋体"/>
                      <w:bCs/>
                      <w:lang w:val="en-US" w:eastAsia="zh-CN"/>
                    </w:rPr>
                    <w:t>-</w:t>
                  </w: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5%（全球），</w:t>
                  </w:r>
                  <w:r>
                    <w:rPr>
                      <w:rFonts w:ascii="宋体" w:hAnsi="宋体" w:cs="宋体"/>
                      <w:bCs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-</w:t>
                  </w:r>
                  <w:r>
                    <w:rPr>
                      <w:rFonts w:ascii="宋体" w:hAnsi="宋体" w:cs="宋体"/>
                      <w:bCs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%（中国境内）</w:t>
                  </w:r>
                </w:p>
                <w:p>
                  <w:pPr>
                    <w:pStyle w:val="2"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</w:p>
                <w:p>
                  <w:pPr>
                    <w:pStyle w:val="2"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下游：中国境内硫酸镍市场</w:t>
                  </w:r>
                </w:p>
                <w:p>
                  <w:pPr>
                    <w:pStyle w:val="2"/>
                    <w:adjustRightInd w:val="0"/>
                    <w:snapToGrid w:val="0"/>
                    <w:spacing w:after="0"/>
                    <w:rPr>
                      <w:rFonts w:ascii="宋体" w:hAnsi="宋体" w:cs="宋体"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lang w:val="en-US" w:eastAsia="zh-CN"/>
                    </w:rPr>
                    <w:t>格林美香港：1</w:t>
                  </w:r>
                  <w:r>
                    <w:rPr>
                      <w:rFonts w:ascii="宋体" w:hAnsi="宋体" w:cs="宋体"/>
                      <w:bCs/>
                      <w:lang w:val="en-US" w:eastAsia="zh-CN"/>
                    </w:rPr>
                    <w:t>0-15%</w:t>
                  </w:r>
                </w:p>
              </w:tc>
            </w:tr>
          </w:tbl>
          <w:p>
            <w:pPr>
              <w:pStyle w:val="2"/>
              <w:adjustRightInd w:val="0"/>
              <w:snapToGrid w:val="0"/>
              <w:spacing w:after="0"/>
              <w:rPr>
                <w:rFonts w:ascii="宋体" w:hAnsi="宋体" w:cs="宋体"/>
                <w:bCs/>
                <w:lang w:eastAsia="zh-CN"/>
              </w:rPr>
            </w:pPr>
          </w:p>
        </w:tc>
      </w:tr>
    </w:tbl>
    <w:p>
      <w:pPr>
        <w:pStyle w:val="2"/>
        <w:adjustRightInd w:val="0"/>
        <w:snapToGrid w:val="0"/>
        <w:spacing w:after="0"/>
        <w:rPr>
          <w:rFonts w:ascii="Arial" w:hAnsi="Arial" w:eastAsia="楷体_GB2312" w:cs="Arial"/>
          <w:b/>
          <w:sz w:val="22"/>
          <w:szCs w:val="22"/>
          <w:lang w:eastAsia="zh-CN"/>
        </w:rPr>
      </w:pPr>
    </w:p>
    <w:p/>
    <w:sectPr>
      <w:footerReference r:id="rId5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implified Arabic">
    <w:altName w:val="Segoe Print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80" w:type="dxa"/>
        </w:tcPr>
        <w:p>
          <w:pPr>
            <w:pStyle w:val="3"/>
          </w:pPr>
        </w:p>
      </w:tc>
      <w:tc>
        <w:tcPr>
          <w:tcW w:w="3081" w:type="dxa"/>
        </w:tcPr>
        <w:p>
          <w:pPr>
            <w:pStyle w:val="3"/>
            <w:jc w:val="center"/>
            <w:rPr>
              <w:rStyle w:val="7"/>
              <w:rFonts w:cs="Times New Roman"/>
            </w:rPr>
          </w:pPr>
          <w:r>
            <w:rPr>
              <w:rStyle w:val="7"/>
              <w:rFonts w:cs="Times New Roman"/>
            </w:rPr>
            <w:t xml:space="preserve">- </w:t>
          </w:r>
          <w:r>
            <w:rPr>
              <w:rStyle w:val="7"/>
              <w:rFonts w:cs="Times New Roman"/>
            </w:rPr>
            <w:fldChar w:fldCharType="begin"/>
          </w:r>
          <w:r>
            <w:rPr>
              <w:rStyle w:val="7"/>
              <w:rFonts w:cs="Times New Roman"/>
            </w:rPr>
            <w:instrText xml:space="preserve"> PAGE   \* MERGEFORMAT </w:instrText>
          </w:r>
          <w:r>
            <w:rPr>
              <w:rStyle w:val="7"/>
              <w:rFonts w:cs="Times New Roman"/>
            </w:rPr>
            <w:fldChar w:fldCharType="separate"/>
          </w:r>
          <w:r>
            <w:rPr>
              <w:rStyle w:val="7"/>
              <w:rFonts w:cs="Times New Roman"/>
              <w:lang w:val="en-US"/>
            </w:rPr>
            <w:t>2</w:t>
          </w:r>
          <w:r>
            <w:rPr>
              <w:rStyle w:val="7"/>
              <w:rFonts w:cs="Times New Roman"/>
            </w:rPr>
            <w:fldChar w:fldCharType="end"/>
          </w:r>
          <w:r>
            <w:rPr>
              <w:rStyle w:val="7"/>
              <w:rFonts w:cs="Times New Roman"/>
            </w:rPr>
            <w:t xml:space="preserve"> -</w:t>
          </w:r>
        </w:p>
      </w:tc>
      <w:tc>
        <w:tcPr>
          <w:tcW w:w="3081" w:type="dxa"/>
        </w:tcPr>
        <w:p>
          <w:pPr>
            <w:pStyle w:val="11"/>
          </w:pPr>
        </w:p>
      </w:tc>
    </w:tr>
  </w:tbl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iM2VlZWRkMWU3YmEyYWRjZjRiYWY1YjBiZWNiM2QifQ=="/>
  </w:docVars>
  <w:rsids>
    <w:rsidRoot w:val="005264CC"/>
    <w:rsid w:val="000D4057"/>
    <w:rsid w:val="00102A0A"/>
    <w:rsid w:val="00267AB5"/>
    <w:rsid w:val="0036600E"/>
    <w:rsid w:val="00386384"/>
    <w:rsid w:val="00393BDE"/>
    <w:rsid w:val="003B0918"/>
    <w:rsid w:val="00442B07"/>
    <w:rsid w:val="005264CC"/>
    <w:rsid w:val="00596B05"/>
    <w:rsid w:val="00701E3E"/>
    <w:rsid w:val="00795B70"/>
    <w:rsid w:val="007D5E61"/>
    <w:rsid w:val="008409C6"/>
    <w:rsid w:val="008F328B"/>
    <w:rsid w:val="00A45232"/>
    <w:rsid w:val="00AD3547"/>
    <w:rsid w:val="00AE4FA1"/>
    <w:rsid w:val="00B82A53"/>
    <w:rsid w:val="00BC1FC6"/>
    <w:rsid w:val="00BC21DD"/>
    <w:rsid w:val="00BF6EBD"/>
    <w:rsid w:val="00C03B64"/>
    <w:rsid w:val="00C1232D"/>
    <w:rsid w:val="00C51888"/>
    <w:rsid w:val="00CF2E12"/>
    <w:rsid w:val="00D1285C"/>
    <w:rsid w:val="61E7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240" w:lineRule="auto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rPr>
      <w:rFonts w:cs="Simplified Arabic"/>
      <w:lang w:eastAsia="en-GB"/>
    </w:rPr>
  </w:style>
  <w:style w:type="paragraph" w:styleId="3">
    <w:name w:val="footer"/>
    <w:basedOn w:val="1"/>
    <w:link w:val="9"/>
    <w:autoRedefine/>
    <w:unhideWhenUsed/>
    <w:qFormat/>
    <w:uiPriority w:val="0"/>
    <w:pPr>
      <w:tabs>
        <w:tab w:val="center" w:pos="4320"/>
        <w:tab w:val="right" w:pos="8640"/>
      </w:tabs>
      <w:spacing w:after="0"/>
      <w:jc w:val="left"/>
    </w:pPr>
    <w:rPr>
      <w:rFonts w:asciiTheme="minorHAnsi" w:hAnsiTheme="minorHAnsi" w:eastAsiaTheme="minorEastAsia" w:cstheme="minorBidi"/>
      <w:sz w:val="22"/>
      <w:szCs w:val="22"/>
      <w:lang w:val="en-US" w:bidi="ar-SA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320"/>
        <w:tab w:val="right" w:pos="8640"/>
      </w:tabs>
      <w:spacing w:after="0"/>
      <w:jc w:val="left"/>
    </w:pPr>
    <w:rPr>
      <w:rFonts w:asciiTheme="minorHAnsi" w:hAnsiTheme="minorHAnsi" w:eastAsiaTheme="minorEastAsia" w:cstheme="minorBidi"/>
      <w:sz w:val="22"/>
      <w:szCs w:val="22"/>
      <w:lang w:val="en-US" w:bidi="ar-SA"/>
    </w:rPr>
  </w:style>
  <w:style w:type="character" w:styleId="7">
    <w:name w:val="page number"/>
    <w:autoRedefine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customStyle="1" w:styleId="8">
    <w:name w:val="Header Char"/>
    <w:basedOn w:val="6"/>
    <w:link w:val="4"/>
    <w:autoRedefine/>
    <w:qFormat/>
    <w:uiPriority w:val="99"/>
  </w:style>
  <w:style w:type="character" w:customStyle="1" w:styleId="9">
    <w:name w:val="Footer Char"/>
    <w:basedOn w:val="6"/>
    <w:link w:val="3"/>
    <w:autoRedefine/>
    <w:qFormat/>
    <w:uiPriority w:val="0"/>
  </w:style>
  <w:style w:type="character" w:customStyle="1" w:styleId="10">
    <w:name w:val="Body Text Char"/>
    <w:basedOn w:val="6"/>
    <w:link w:val="2"/>
    <w:autoRedefine/>
    <w:qFormat/>
    <w:uiPriority w:val="0"/>
    <w:rPr>
      <w:rFonts w:ascii="Times New Roman" w:hAnsi="Times New Roman" w:eastAsia="宋体" w:cs="Simplified Arabic"/>
      <w:sz w:val="24"/>
      <w:szCs w:val="24"/>
      <w:lang w:val="en-GB" w:eastAsia="en-GB" w:bidi="ar-AE"/>
    </w:rPr>
  </w:style>
  <w:style w:type="paragraph" w:customStyle="1" w:styleId="11">
    <w:name w:val="Footer Right"/>
    <w:basedOn w:val="3"/>
    <w:autoRedefine/>
    <w:qFormat/>
    <w:uiPriority w:val="0"/>
    <w:pPr>
      <w:tabs>
        <w:tab w:val="clear" w:pos="4320"/>
        <w:tab w:val="clear" w:pos="8640"/>
      </w:tabs>
      <w:jc w:val="right"/>
    </w:pPr>
    <w:rPr>
      <w:rFonts w:ascii="Times New Roman" w:hAnsi="Times New Roman" w:eastAsia="宋体" w:cs="Times New Roman"/>
      <w:sz w:val="16"/>
      <w:szCs w:val="16"/>
      <w:lang w:val="en-GB" w:bidi="he-I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aHui">
      <a:majorFont>
        <a:latin typeface="Times New Roman"/>
        <a:ea typeface="SimSun"/>
        <a:cs typeface=""/>
      </a:majorFont>
      <a:minorFont>
        <a:latin typeface="Times New Roman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0454DBA619844AFD2E5C10C88C8C1" ma:contentTypeVersion="16" ma:contentTypeDescription="Create a new document." ma:contentTypeScope="" ma:versionID="d47074670e66cc8bab4eac61588c5de0">
  <xsd:schema xmlns:xsd="http://www.w3.org/2001/XMLSchema" xmlns:xs="http://www.w3.org/2001/XMLSchema" xmlns:p="http://schemas.microsoft.com/office/2006/metadata/properties" xmlns:ns2="24dc7939-87f9-4a75-9927-53ef4b6a5482" xmlns:ns3="6c259530-42f6-49f0-9cbf-d083e81acf5d" targetNamespace="http://schemas.microsoft.com/office/2006/metadata/properties" ma:root="true" ma:fieldsID="ab201bf1ae7d00a19a4c66f343568cff" ns2:_="" ns3:_="">
    <xsd:import namespace="24dc7939-87f9-4a75-9927-53ef4b6a5482"/>
    <xsd:import namespace="6c259530-42f6-49f0-9cbf-d083e81acf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Dat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c7939-87f9-4a75-9927-53ef4b6a54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2f28bb9-5996-4c40-bba4-ab1684b26731}" ma:internalName="TaxCatchAll" ma:showField="CatchAllData" ma:web="24dc7939-87f9-4a75-9927-53ef4b6a5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9530-42f6-49f0-9cbf-d083e81ac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d3f9379-cd39-4188-82f1-51b643908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8863B-47C2-4332-993D-DBFA5041AA6F}">
  <ds:schemaRefs/>
</ds:datastoreItem>
</file>

<file path=customXml/itemProps2.xml><?xml version="1.0" encoding="utf-8"?>
<ds:datastoreItem xmlns:ds="http://schemas.openxmlformats.org/officeDocument/2006/customXml" ds:itemID="{0ADB1F23-74B5-4D22-8F1D-BD355C8A16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DaHui Lawyers</Company>
  <Pages>2</Pages>
  <Words>165</Words>
  <Characters>944</Characters>
  <Lines>7</Lines>
  <Paragraphs>2</Paragraphs>
  <TotalTime>47</TotalTime>
  <ScaleCrop>false</ScaleCrop>
  <LinksUpToDate>false</LinksUpToDate>
  <CharactersWithSpaces>1107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2024-01-11T14:26:00Z</dcterms:created>
  <dc:creator>DaHui Lawyers</dc:creator>
  <cp:lastModifiedBy>朱媛媛</cp:lastModifiedBy>
  <dcterms:modified xsi:type="dcterms:W3CDTF">2024-02-21T09:06:20Z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9567551CCCD54E8FB27BB71D0BE0F4EF_12</vt:lpwstr>
  </property>
</Properties>
</file>