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044D" w14:textId="77777777" w:rsidR="009D4530" w:rsidRDefault="009D453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9D4530" w:rsidRPr="00370E78" w14:paraId="1FA319C6" w14:textId="77777777" w:rsidTr="42313BE7">
        <w:trPr>
          <w:trHeight w:val="926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7861CC7F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proofErr w:type="spellStart"/>
            <w:r w:rsidRPr="00370E78">
              <w:rPr>
                <w:rFonts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5AEF0BC3" w14:textId="702846DE" w:rsidR="009D4530" w:rsidRPr="00370E78" w:rsidRDefault="007C698B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proofErr w:type="spellStart"/>
            <w:r>
              <w:rPr>
                <w:rFonts w:cs="宋体"/>
                <w:bCs/>
                <w:color w:val="000000"/>
                <w:lang w:val="en-US" w:eastAsia="zh-CN"/>
              </w:rPr>
              <w:t>V</w:t>
            </w:r>
            <w:r w:rsidR="00EC37FE">
              <w:rPr>
                <w:rFonts w:cs="宋体"/>
                <w:bCs/>
                <w:color w:val="000000"/>
                <w:lang w:val="en-US" w:eastAsia="zh-CN"/>
              </w:rPr>
              <w:t>TTI</w:t>
            </w:r>
            <w:proofErr w:type="spellEnd"/>
            <w:r w:rsidR="00EC37FE">
              <w:rPr>
                <w:rFonts w:cs="宋体"/>
                <w:bCs/>
                <w:color w:val="000000"/>
                <w:lang w:val="en-US" w:eastAsia="zh-CN"/>
              </w:rPr>
              <w:t xml:space="preserve"> B.V. </w:t>
            </w:r>
            <w:r w:rsidR="00EC37FE">
              <w:rPr>
                <w:rFonts w:cs="宋体" w:hint="eastAsia"/>
                <w:bCs/>
                <w:color w:val="000000"/>
                <w:lang w:val="en-US" w:eastAsia="zh-CN"/>
              </w:rPr>
              <w:t>收购</w:t>
            </w:r>
            <w:r w:rsidR="00EC37FE">
              <w:rPr>
                <w:rFonts w:cs="宋体" w:hint="eastAsia"/>
                <w:bCs/>
                <w:color w:val="000000"/>
                <w:lang w:val="en-US" w:eastAsia="zh-CN"/>
              </w:rPr>
              <w:t>Dragon</w:t>
            </w:r>
            <w:r w:rsidR="00EC37FE">
              <w:rPr>
                <w:rFonts w:cs="宋体"/>
                <w:bCs/>
                <w:color w:val="000000"/>
                <w:lang w:val="en-US" w:eastAsia="zh-CN"/>
              </w:rPr>
              <w:t xml:space="preserve"> LNG G</w:t>
            </w:r>
            <w:r w:rsidR="00EC37FE">
              <w:rPr>
                <w:rFonts w:cs="宋体" w:hint="eastAsia"/>
                <w:bCs/>
                <w:color w:val="000000"/>
                <w:lang w:val="en-US" w:eastAsia="zh-CN"/>
              </w:rPr>
              <w:t>roup</w:t>
            </w:r>
            <w:r w:rsidR="00EC37FE">
              <w:rPr>
                <w:rFonts w:cs="宋体"/>
                <w:bCs/>
                <w:color w:val="000000"/>
                <w:lang w:val="en-US" w:eastAsia="zh-CN"/>
              </w:rPr>
              <w:t xml:space="preserve"> L</w:t>
            </w:r>
            <w:r w:rsidR="00EC37FE">
              <w:rPr>
                <w:rFonts w:cs="宋体" w:hint="eastAsia"/>
                <w:bCs/>
                <w:color w:val="000000"/>
                <w:lang w:val="en-US" w:eastAsia="zh-CN"/>
              </w:rPr>
              <w:t>td</w:t>
            </w:r>
            <w:r w:rsidR="00EC37FE">
              <w:rPr>
                <w:rFonts w:cs="宋体" w:hint="eastAsia"/>
                <w:bCs/>
                <w:color w:val="000000"/>
                <w:lang w:val="en-US" w:eastAsia="zh-CN"/>
              </w:rPr>
              <w:t>股权</w:t>
            </w:r>
            <w:r w:rsidR="002E0B7D" w:rsidRPr="002E0B7D">
              <w:rPr>
                <w:rFonts w:cs="宋体" w:hint="eastAsia"/>
                <w:bCs/>
                <w:color w:val="000000"/>
                <w:lang w:val="en-US" w:eastAsia="zh-CN"/>
              </w:rPr>
              <w:t>案</w:t>
            </w:r>
          </w:p>
        </w:tc>
      </w:tr>
      <w:tr w:rsidR="009D4530" w:rsidRPr="00370E78" w14:paraId="392D9B9B" w14:textId="77777777" w:rsidTr="42313BE7">
        <w:trPr>
          <w:trHeight w:val="1391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4F2083EA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交易概况（限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200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47FE0790" w14:textId="20DA721E" w:rsidR="0049203E" w:rsidRDefault="005544A2" w:rsidP="42313BE7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 w:themeColor="text1"/>
                <w:lang w:eastAsia="zh-CN"/>
              </w:rPr>
            </w:pPr>
            <w:proofErr w:type="spellStart"/>
            <w:r>
              <w:rPr>
                <w:rFonts w:cs="宋体"/>
                <w:color w:val="000000" w:themeColor="text1"/>
                <w:lang w:eastAsia="zh-CN"/>
              </w:rPr>
              <w:t>VTTI</w:t>
            </w:r>
            <w:proofErr w:type="spellEnd"/>
            <w:r>
              <w:rPr>
                <w:rFonts w:cs="宋体"/>
                <w:color w:val="000000" w:themeColor="text1"/>
                <w:lang w:eastAsia="zh-CN"/>
              </w:rPr>
              <w:t xml:space="preserve"> B.V.</w:t>
            </w:r>
            <w:proofErr w:type="gramStart"/>
            <w:r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proofErr w:type="spellStart"/>
            <w:proofErr w:type="gramEnd"/>
            <w:r w:rsidRPr="00ED14FA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V</w:t>
            </w:r>
            <w:r w:rsidRPr="00ED14FA">
              <w:rPr>
                <w:rFonts w:cs="宋体"/>
                <w:b/>
                <w:bCs/>
                <w:color w:val="000000" w:themeColor="text1"/>
                <w:lang w:eastAsia="zh-CN"/>
              </w:rPr>
              <w:t>TTI</w:t>
            </w:r>
            <w:proofErr w:type="spellEnd"/>
            <w:r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 w:rsidR="000956F4">
              <w:rPr>
                <w:rFonts w:cs="宋体" w:hint="eastAsia"/>
                <w:color w:val="000000" w:themeColor="text1"/>
                <w:lang w:eastAsia="zh-CN"/>
              </w:rPr>
              <w:t>拟</w:t>
            </w:r>
            <w:r w:rsidR="00671448">
              <w:rPr>
                <w:rFonts w:cs="宋体" w:hint="eastAsia"/>
                <w:color w:val="000000" w:themeColor="text1"/>
                <w:lang w:eastAsia="zh-CN"/>
              </w:rPr>
              <w:t>间接收购</w:t>
            </w:r>
            <w:r>
              <w:rPr>
                <w:rFonts w:cs="宋体" w:hint="eastAsia"/>
                <w:color w:val="000000" w:themeColor="text1"/>
                <w:lang w:eastAsia="zh-CN"/>
              </w:rPr>
              <w:t>Dragon</w:t>
            </w:r>
            <w:r>
              <w:rPr>
                <w:rFonts w:cs="宋体"/>
                <w:color w:val="000000" w:themeColor="text1"/>
                <w:lang w:eastAsia="zh-CN"/>
              </w:rPr>
              <w:t xml:space="preserve"> LNG G</w:t>
            </w:r>
            <w:r>
              <w:rPr>
                <w:rFonts w:cs="宋体" w:hint="eastAsia"/>
                <w:color w:val="000000" w:themeColor="text1"/>
                <w:lang w:eastAsia="zh-CN"/>
              </w:rPr>
              <w:t>roup</w:t>
            </w:r>
            <w:r>
              <w:rPr>
                <w:rFonts w:cs="宋体"/>
                <w:color w:val="000000" w:themeColor="text1"/>
                <w:lang w:eastAsia="zh-CN"/>
              </w:rPr>
              <w:t xml:space="preserve"> L</w:t>
            </w:r>
            <w:r>
              <w:rPr>
                <w:rFonts w:cs="宋体" w:hint="eastAsia"/>
                <w:color w:val="000000" w:themeColor="text1"/>
                <w:lang w:eastAsia="zh-CN"/>
              </w:rPr>
              <w:t>td</w:t>
            </w:r>
            <w:r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r w:rsidRPr="00ED14FA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Dragon</w:t>
            </w:r>
            <w:r w:rsidRPr="00ED14FA">
              <w:rPr>
                <w:rFonts w:cs="宋体"/>
                <w:b/>
                <w:bCs/>
                <w:color w:val="000000" w:themeColor="text1"/>
                <w:lang w:eastAsia="zh-CN"/>
              </w:rPr>
              <w:t xml:space="preserve"> LNG</w:t>
            </w:r>
            <w:r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>
              <w:rPr>
                <w:rFonts w:cs="宋体"/>
                <w:color w:val="000000" w:themeColor="text1"/>
                <w:lang w:eastAsia="zh-CN"/>
              </w:rPr>
              <w:t>50%</w:t>
            </w:r>
            <w:r>
              <w:rPr>
                <w:rFonts w:cs="宋体" w:hint="eastAsia"/>
                <w:color w:val="000000" w:themeColor="text1"/>
                <w:lang w:eastAsia="zh-CN"/>
              </w:rPr>
              <w:t>股权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。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Dragon</w:t>
            </w:r>
            <w:r w:rsidR="00B46A4E">
              <w:rPr>
                <w:rFonts w:cs="宋体"/>
                <w:color w:val="000000" w:themeColor="text1"/>
                <w:lang w:eastAsia="zh-CN"/>
              </w:rPr>
              <w:t xml:space="preserve"> LNG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主要经营在英国的一家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L</w:t>
            </w:r>
            <w:r w:rsidR="00B46A4E">
              <w:rPr>
                <w:rFonts w:cs="宋体"/>
                <w:color w:val="000000" w:themeColor="text1"/>
                <w:lang w:eastAsia="zh-CN"/>
              </w:rPr>
              <w:t>NG</w:t>
            </w:r>
            <w:r w:rsidR="00B46A4E">
              <w:rPr>
                <w:rFonts w:cs="宋体" w:hint="eastAsia"/>
                <w:color w:val="000000" w:themeColor="text1"/>
                <w:lang w:eastAsia="zh-CN"/>
              </w:rPr>
              <w:t>再气化站。</w:t>
            </w:r>
          </w:p>
          <w:p w14:paraId="602AA072" w14:textId="53204DED" w:rsidR="0049203E" w:rsidRDefault="0049203E" w:rsidP="42313BE7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 w:themeColor="text1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交易前，</w:t>
            </w:r>
            <w:proofErr w:type="spellStart"/>
            <w:r w:rsidR="00E70A4F" w:rsidRPr="00E70A4F">
              <w:rPr>
                <w:rFonts w:cs="宋体"/>
                <w:color w:val="000000" w:themeColor="text1"/>
                <w:lang w:eastAsia="zh-CN"/>
              </w:rPr>
              <w:t>Ancala</w:t>
            </w:r>
            <w:proofErr w:type="spellEnd"/>
            <w:r w:rsidR="00E70A4F" w:rsidRPr="00E70A4F">
              <w:rPr>
                <w:rFonts w:cs="宋体"/>
                <w:color w:val="000000" w:themeColor="text1"/>
                <w:lang w:eastAsia="zh-CN"/>
              </w:rPr>
              <w:t xml:space="preserve"> Partners LLP</w:t>
            </w:r>
            <w:r w:rsidR="00E70A4F"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proofErr w:type="spellStart"/>
            <w:r w:rsidR="008C02AE" w:rsidRPr="00EF34E6">
              <w:rPr>
                <w:rFonts w:cs="宋体" w:hint="eastAsia"/>
                <w:b/>
                <w:bCs/>
                <w:color w:val="000000" w:themeColor="text1"/>
                <w:lang w:eastAsia="zh-CN"/>
              </w:rPr>
              <w:t>Ancala</w:t>
            </w:r>
            <w:proofErr w:type="spellEnd"/>
            <w:r w:rsidR="00E70A4F"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 w:rsidR="001E3226">
              <w:rPr>
                <w:rFonts w:cs="宋体" w:hint="eastAsia"/>
                <w:color w:val="000000" w:themeColor="text1"/>
                <w:lang w:eastAsia="zh-CN"/>
              </w:rPr>
              <w:t>与</w:t>
            </w:r>
            <w:r w:rsidR="00643E64" w:rsidRPr="00643E64">
              <w:rPr>
                <w:rFonts w:cs="宋体"/>
                <w:color w:val="000000" w:themeColor="text1"/>
                <w:lang w:eastAsia="zh-CN"/>
              </w:rPr>
              <w:t xml:space="preserve">BG Energy Holding Ltd </w:t>
            </w:r>
            <w:r w:rsidR="002D0611" w:rsidRPr="002D0611">
              <w:rPr>
                <w:rFonts w:cs="宋体" w:hint="eastAsia"/>
                <w:color w:val="000000" w:themeColor="text1"/>
                <w:lang w:eastAsia="zh-CN"/>
              </w:rPr>
              <w:t>（“</w:t>
            </w:r>
            <w:r w:rsidR="00643E64" w:rsidRPr="00643E64">
              <w:rPr>
                <w:rFonts w:cs="宋体"/>
                <w:color w:val="000000" w:themeColor="text1"/>
                <w:lang w:eastAsia="zh-CN"/>
              </w:rPr>
              <w:t>BG</w:t>
            </w:r>
            <w:r w:rsidR="002D0611" w:rsidRPr="002D0611">
              <w:rPr>
                <w:rFonts w:cs="宋体" w:hint="eastAsia"/>
                <w:color w:val="000000" w:themeColor="text1"/>
                <w:lang w:eastAsia="zh-CN"/>
              </w:rPr>
              <w:t>”）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各持有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Dragon</w:t>
            </w:r>
            <w:r w:rsidR="001912C2">
              <w:rPr>
                <w:rFonts w:cs="宋体"/>
                <w:color w:val="000000" w:themeColor="text1"/>
                <w:lang w:eastAsia="zh-CN"/>
              </w:rPr>
              <w:t xml:space="preserve"> LNG 50%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股份，</w:t>
            </w:r>
            <w:r>
              <w:rPr>
                <w:rFonts w:cs="宋体" w:hint="eastAsia"/>
                <w:color w:val="000000" w:themeColor="text1"/>
                <w:lang w:eastAsia="zh-CN"/>
              </w:rPr>
              <w:t>共同控制</w:t>
            </w:r>
            <w:r>
              <w:rPr>
                <w:rFonts w:cs="宋体" w:hint="eastAsia"/>
                <w:color w:val="000000" w:themeColor="text1"/>
                <w:lang w:eastAsia="zh-CN"/>
              </w:rPr>
              <w:t>Dragon</w:t>
            </w:r>
            <w:r>
              <w:rPr>
                <w:rFonts w:cs="宋体"/>
                <w:color w:val="000000" w:themeColor="text1"/>
                <w:lang w:eastAsia="zh-CN"/>
              </w:rPr>
              <w:t xml:space="preserve"> LNG</w:t>
            </w:r>
            <w:r w:rsidR="00CC4D63">
              <w:rPr>
                <w:rFonts w:cs="宋体" w:hint="eastAsia"/>
                <w:color w:val="000000" w:themeColor="text1"/>
                <w:lang w:eastAsia="zh-CN"/>
              </w:rPr>
              <w:t>。</w:t>
            </w:r>
            <w:r w:rsidR="00CC4D63">
              <w:rPr>
                <w:rFonts w:cs="宋体" w:hint="eastAsia"/>
                <w:color w:val="000000" w:themeColor="text1"/>
                <w:lang w:eastAsia="zh-CN"/>
              </w:rPr>
              <w:t xml:space="preserve"> </w:t>
            </w:r>
          </w:p>
          <w:p w14:paraId="78C859E5" w14:textId="6AA86283" w:rsidR="002D7975" w:rsidRPr="00370E78" w:rsidRDefault="00F95DD4" w:rsidP="42313BE7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交易</w:t>
            </w:r>
            <w:r w:rsidR="00835E39">
              <w:rPr>
                <w:rFonts w:cs="宋体" w:hint="eastAsia"/>
                <w:color w:val="000000" w:themeColor="text1"/>
                <w:lang w:eastAsia="zh-CN"/>
              </w:rPr>
              <w:t>后</w:t>
            </w:r>
            <w:r w:rsidR="00CC64A7">
              <w:rPr>
                <w:rFonts w:cs="宋体" w:hint="eastAsia"/>
                <w:color w:val="000000" w:themeColor="text1"/>
                <w:lang w:eastAsia="zh-CN"/>
              </w:rPr>
              <w:t>，</w:t>
            </w:r>
            <w:proofErr w:type="spellStart"/>
            <w:r w:rsidR="005F4439">
              <w:rPr>
                <w:rFonts w:cs="宋体" w:hint="eastAsia"/>
                <w:color w:val="000000" w:themeColor="text1"/>
                <w:lang w:eastAsia="zh-CN"/>
              </w:rPr>
              <w:t>V</w:t>
            </w:r>
            <w:r w:rsidR="005F4439">
              <w:rPr>
                <w:rFonts w:cs="宋体"/>
                <w:color w:val="000000" w:themeColor="text1"/>
                <w:lang w:eastAsia="zh-CN"/>
              </w:rPr>
              <w:t>TTI</w:t>
            </w:r>
            <w:proofErr w:type="spellEnd"/>
            <w:r w:rsidR="005F4439">
              <w:rPr>
                <w:rFonts w:cs="宋体" w:hint="eastAsia"/>
                <w:color w:val="000000" w:themeColor="text1"/>
                <w:lang w:eastAsia="zh-CN"/>
              </w:rPr>
              <w:t>与</w:t>
            </w:r>
            <w:r w:rsidR="001E3226">
              <w:rPr>
                <w:rFonts w:cs="宋体" w:hint="eastAsia"/>
                <w:color w:val="000000" w:themeColor="text1"/>
                <w:lang w:eastAsia="zh-CN"/>
              </w:rPr>
              <w:t>B</w:t>
            </w:r>
            <w:r w:rsidR="001E3226">
              <w:rPr>
                <w:rFonts w:cs="宋体"/>
                <w:color w:val="000000" w:themeColor="text1"/>
                <w:lang w:eastAsia="zh-CN"/>
              </w:rPr>
              <w:t>G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将各持有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Dragon</w:t>
            </w:r>
            <w:r w:rsidR="001912C2">
              <w:rPr>
                <w:rFonts w:cs="宋体"/>
                <w:color w:val="000000" w:themeColor="text1"/>
                <w:lang w:eastAsia="zh-CN"/>
              </w:rPr>
              <w:t xml:space="preserve"> LNG </w:t>
            </w:r>
            <w:r w:rsidR="00E3548D">
              <w:rPr>
                <w:rFonts w:cs="宋体" w:hint="eastAsia"/>
                <w:color w:val="000000" w:themeColor="text1"/>
                <w:lang w:eastAsia="zh-CN"/>
              </w:rPr>
              <w:t>5</w:t>
            </w:r>
            <w:r w:rsidR="00C941AA" w:rsidRPr="42313BE7">
              <w:rPr>
                <w:rFonts w:cs="宋体"/>
                <w:color w:val="000000" w:themeColor="text1"/>
                <w:lang w:eastAsia="zh-CN"/>
              </w:rPr>
              <w:t>0%</w:t>
            </w:r>
            <w:r w:rsidR="001912C2">
              <w:rPr>
                <w:rFonts w:cs="宋体" w:hint="eastAsia"/>
                <w:color w:val="000000" w:themeColor="text1"/>
                <w:lang w:eastAsia="zh-CN"/>
              </w:rPr>
              <w:t>股份</w:t>
            </w:r>
            <w:r w:rsidR="004D180D">
              <w:rPr>
                <w:rFonts w:cs="宋体" w:hint="eastAsia"/>
                <w:color w:val="000000" w:themeColor="text1"/>
                <w:lang w:eastAsia="zh-CN"/>
              </w:rPr>
              <w:t>，</w:t>
            </w:r>
            <w:r w:rsidR="00943F02">
              <w:rPr>
                <w:rFonts w:cs="宋体" w:hint="eastAsia"/>
                <w:color w:val="000000" w:themeColor="text1"/>
                <w:lang w:eastAsia="zh-CN"/>
              </w:rPr>
              <w:t>共同控制</w:t>
            </w:r>
            <w:r w:rsidR="00B334FD">
              <w:rPr>
                <w:rFonts w:cs="宋体" w:hint="eastAsia"/>
                <w:color w:val="000000" w:themeColor="text1"/>
                <w:lang w:eastAsia="zh-CN"/>
              </w:rPr>
              <w:t>Dragon</w:t>
            </w:r>
            <w:r w:rsidR="00B334FD">
              <w:rPr>
                <w:rFonts w:cs="宋体"/>
                <w:color w:val="000000" w:themeColor="text1"/>
                <w:lang w:eastAsia="zh-CN"/>
              </w:rPr>
              <w:t xml:space="preserve"> LNG</w:t>
            </w:r>
            <w:r w:rsidR="00943F02">
              <w:rPr>
                <w:rFonts w:cs="宋体" w:hint="eastAsia"/>
                <w:color w:val="000000" w:themeColor="text1"/>
                <w:lang w:eastAsia="zh-CN"/>
              </w:rPr>
              <w:t>。</w:t>
            </w:r>
          </w:p>
        </w:tc>
      </w:tr>
      <w:tr w:rsidR="005E4D0D" w:rsidRPr="00370E78" w14:paraId="5D926159" w14:textId="77777777" w:rsidTr="42313BE7">
        <w:trPr>
          <w:trHeight w:val="942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25B75510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100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字以内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54712CB" w14:textId="4E00C48B" w:rsidR="005E4D0D" w:rsidRPr="00D604A8" w:rsidRDefault="005E4D0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D604A8">
              <w:rPr>
                <w:rFonts w:cs="宋体" w:hint="eastAsia"/>
                <w:bCs/>
                <w:color w:val="000000"/>
                <w:lang w:val="en-US" w:eastAsia="zh-CN"/>
              </w:rPr>
              <w:t>1.</w:t>
            </w:r>
            <w:r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="001A5BA2">
              <w:rPr>
                <w:rFonts w:hint="eastAsia"/>
                <w:bCs/>
                <w:lang w:eastAsia="zh-CN"/>
              </w:rPr>
              <w:t>V</w:t>
            </w:r>
            <w:r w:rsidR="001A5BA2">
              <w:rPr>
                <w:bCs/>
                <w:lang w:eastAsia="zh-CN"/>
              </w:rPr>
              <w:t>TTI</w:t>
            </w:r>
            <w:proofErr w:type="spellEnd"/>
          </w:p>
        </w:tc>
        <w:tc>
          <w:tcPr>
            <w:tcW w:w="6093" w:type="dxa"/>
            <w:vAlign w:val="center"/>
          </w:tcPr>
          <w:p w14:paraId="0E946AC0" w14:textId="5817F7AF" w:rsidR="005E4D0D" w:rsidRDefault="005B5A01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>
              <w:rPr>
                <w:rFonts w:cs="宋体"/>
                <w:bCs/>
                <w:color w:val="000000"/>
                <w:lang w:eastAsia="zh-CN"/>
              </w:rPr>
              <w:t>VTTI</w:t>
            </w:r>
            <w:proofErr w:type="spellEnd"/>
            <w:r>
              <w:rPr>
                <w:rFonts w:cs="宋体" w:hint="eastAsia"/>
                <w:bCs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cs="宋体"/>
                <w:bCs/>
                <w:color w:val="000000"/>
                <w:lang w:eastAsia="zh-CN"/>
              </w:rPr>
              <w:t>006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1</w:t>
            </w:r>
            <w:r w:rsidR="0092140E">
              <w:rPr>
                <w:rFonts w:cs="宋体"/>
                <w:bCs/>
                <w:color w:val="000000"/>
                <w:lang w:eastAsia="zh-CN"/>
              </w:rPr>
              <w:t>1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月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 w:rsidR="0092140E">
              <w:rPr>
                <w:rFonts w:cs="宋体"/>
                <w:bCs/>
                <w:color w:val="000000"/>
                <w:lang w:eastAsia="zh-CN"/>
              </w:rPr>
              <w:t>3</w:t>
            </w:r>
            <w:r w:rsidR="0092140E">
              <w:rPr>
                <w:rFonts w:cs="宋体" w:hint="eastAsia"/>
                <w:bCs/>
                <w:color w:val="000000"/>
                <w:lang w:eastAsia="zh-CN"/>
              </w:rPr>
              <w:t>日</w:t>
            </w:r>
            <w:r w:rsidR="00EE1B4C">
              <w:rPr>
                <w:rFonts w:cs="宋体" w:hint="eastAsia"/>
                <w:bCs/>
                <w:color w:val="000000"/>
                <w:lang w:eastAsia="zh-CN"/>
              </w:rPr>
              <w:t>成立于荷兰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，主要经营</w:t>
            </w:r>
            <w:r w:rsidR="00EE1B4C">
              <w:rPr>
                <w:rFonts w:cs="宋体" w:hint="eastAsia"/>
                <w:bCs/>
                <w:color w:val="000000"/>
                <w:lang w:eastAsia="zh-CN"/>
              </w:rPr>
              <w:t>能源设施。</w:t>
            </w:r>
          </w:p>
          <w:p w14:paraId="6C7EF538" w14:textId="650B6FF6" w:rsidR="00ED0EA6" w:rsidRPr="00370E78" w:rsidRDefault="00ED0EA6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proofErr w:type="spellStart"/>
            <w:r>
              <w:rPr>
                <w:rFonts w:cs="宋体"/>
                <w:bCs/>
                <w:color w:val="000000"/>
                <w:lang w:eastAsia="zh-CN"/>
              </w:rPr>
              <w:t>VTTI</w:t>
            </w:r>
            <w:proofErr w:type="spellEnd"/>
            <w:r w:rsidR="00020703">
              <w:rPr>
                <w:rFonts w:cs="宋体" w:hint="eastAsia"/>
                <w:bCs/>
                <w:color w:val="000000"/>
                <w:lang w:eastAsia="zh-CN"/>
              </w:rPr>
              <w:t>最终控制人为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 xml:space="preserve">Vitol Holding </w:t>
            </w:r>
            <w:r w:rsidR="00A37232">
              <w:rPr>
                <w:rFonts w:cs="宋体" w:hint="eastAsia"/>
                <w:bCs/>
                <w:color w:val="000000"/>
                <w:lang w:eastAsia="zh-CN"/>
              </w:rPr>
              <w:t>B.</w:t>
            </w:r>
            <w:r w:rsidR="00A37232">
              <w:rPr>
                <w:rFonts w:cs="宋体"/>
                <w:bCs/>
                <w:color w:val="000000"/>
                <w:lang w:eastAsia="zh-CN"/>
              </w:rPr>
              <w:t>V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.</w:t>
            </w:r>
            <w:proofErr w:type="gramStart"/>
            <w:r w:rsidRPr="00ED0EA6">
              <w:rPr>
                <w:rFonts w:cs="宋体" w:hint="eastAsia"/>
                <w:bCs/>
                <w:color w:val="000000"/>
                <w:lang w:eastAsia="zh-CN"/>
              </w:rPr>
              <w:t>（“</w:t>
            </w:r>
            <w:proofErr w:type="gramEnd"/>
            <w:r w:rsidR="00796333">
              <w:rPr>
                <w:rFonts w:cs="宋体" w:hint="eastAsia"/>
                <w:b/>
                <w:color w:val="000000"/>
                <w:lang w:eastAsia="zh-CN"/>
              </w:rPr>
              <w:t>维多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”</w:t>
            </w:r>
            <w:r w:rsidR="00B07BC2">
              <w:rPr>
                <w:rFonts w:cs="宋体" w:hint="eastAsia"/>
                <w:bCs/>
                <w:color w:val="000000"/>
                <w:lang w:eastAsia="zh-CN"/>
              </w:rPr>
              <w:t>，</w:t>
            </w:r>
            <w:r w:rsidR="00D37E75">
              <w:rPr>
                <w:rFonts w:cs="宋体" w:hint="eastAsia"/>
                <w:bCs/>
                <w:color w:val="000000"/>
                <w:lang w:eastAsia="zh-CN"/>
              </w:rPr>
              <w:t>包括维多管理支持的投资工具</w:t>
            </w:r>
            <w:r w:rsidR="00802C6E" w:rsidRPr="00802C6E">
              <w:rPr>
                <w:rFonts w:cs="宋体"/>
                <w:bCs/>
                <w:color w:val="000000"/>
                <w:lang w:eastAsia="zh-CN"/>
              </w:rPr>
              <w:t>Vitol Investment Partnership II Ltd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）</w:t>
            </w:r>
            <w:r w:rsidR="00020703">
              <w:rPr>
                <w:rFonts w:cs="宋体" w:hint="eastAsia"/>
                <w:bCs/>
                <w:color w:val="000000"/>
                <w:lang w:eastAsia="zh-CN"/>
              </w:rPr>
              <w:t>与</w:t>
            </w:r>
            <w:proofErr w:type="spellStart"/>
            <w:r w:rsidRPr="00ED0EA6">
              <w:rPr>
                <w:rFonts w:cs="宋体" w:hint="eastAsia"/>
                <w:bCs/>
                <w:color w:val="000000"/>
                <w:lang w:eastAsia="zh-CN"/>
              </w:rPr>
              <w:t>IFM</w:t>
            </w:r>
            <w:proofErr w:type="spellEnd"/>
            <w:r w:rsidRPr="00ED0EA6">
              <w:rPr>
                <w:rFonts w:cs="宋体" w:hint="eastAsia"/>
                <w:bCs/>
                <w:color w:val="000000"/>
                <w:lang w:eastAsia="zh-CN"/>
              </w:rPr>
              <w:t xml:space="preserve"> Investors Pty Ltd</w:t>
            </w:r>
            <w:r w:rsidRPr="00ED0EA6">
              <w:rPr>
                <w:rFonts w:cs="宋体" w:hint="eastAsia"/>
                <w:bCs/>
                <w:color w:val="000000"/>
                <w:lang w:eastAsia="zh-CN"/>
              </w:rPr>
              <w:t>（“</w:t>
            </w:r>
            <w:proofErr w:type="spellStart"/>
            <w:r w:rsidRPr="00ED0EA6">
              <w:rPr>
                <w:rFonts w:cs="宋体" w:hint="eastAsia"/>
                <w:b/>
                <w:color w:val="000000"/>
                <w:lang w:eastAsia="zh-CN"/>
              </w:rPr>
              <w:t>IFM</w:t>
            </w:r>
            <w:proofErr w:type="spellEnd"/>
            <w:r w:rsidRPr="00ED0EA6">
              <w:rPr>
                <w:rFonts w:cs="宋体" w:hint="eastAsia"/>
                <w:bCs/>
                <w:color w:val="000000"/>
                <w:lang w:eastAsia="zh-CN"/>
              </w:rPr>
              <w:t>”）</w:t>
            </w:r>
            <w:r w:rsidR="006A17BD"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r w:rsidR="00796333">
              <w:rPr>
                <w:rFonts w:cs="宋体" w:hint="eastAsia"/>
                <w:bCs/>
                <w:color w:val="000000"/>
                <w:lang w:eastAsia="zh-CN"/>
              </w:rPr>
              <w:t>维多</w:t>
            </w:r>
            <w:r w:rsidR="006A17BD">
              <w:rPr>
                <w:rFonts w:cs="宋体" w:hint="eastAsia"/>
                <w:bCs/>
                <w:color w:val="000000"/>
                <w:lang w:eastAsia="zh-CN"/>
              </w:rPr>
              <w:t>主要</w:t>
            </w:r>
            <w:r w:rsidR="00F1745F" w:rsidRPr="00F1745F">
              <w:rPr>
                <w:rFonts w:cs="宋体" w:hint="eastAsia"/>
                <w:bCs/>
                <w:color w:val="000000"/>
                <w:lang w:eastAsia="zh-CN"/>
              </w:rPr>
              <w:t>业务为</w:t>
            </w:r>
            <w:r w:rsidR="006A5776">
              <w:rPr>
                <w:rFonts w:cs="宋体" w:hint="eastAsia"/>
                <w:bCs/>
                <w:color w:val="000000"/>
                <w:lang w:eastAsia="zh-CN"/>
              </w:rPr>
              <w:t>能源和大宗商品交易</w:t>
            </w:r>
            <w:r w:rsidR="001F16EC"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proofErr w:type="spellStart"/>
            <w:r w:rsidR="001F16EC">
              <w:rPr>
                <w:rFonts w:cs="宋体" w:hint="eastAsia"/>
                <w:bCs/>
                <w:color w:val="000000"/>
                <w:lang w:eastAsia="zh-CN"/>
              </w:rPr>
              <w:t>I</w:t>
            </w:r>
            <w:r w:rsidR="001F16EC">
              <w:rPr>
                <w:rFonts w:cs="宋体"/>
                <w:bCs/>
                <w:color w:val="000000"/>
                <w:lang w:eastAsia="zh-CN"/>
              </w:rPr>
              <w:t>FM</w:t>
            </w:r>
            <w:proofErr w:type="spellEnd"/>
            <w:r w:rsidR="00AD5DE0">
              <w:rPr>
                <w:rFonts w:cs="宋体" w:hint="eastAsia"/>
                <w:bCs/>
                <w:color w:val="000000"/>
                <w:lang w:eastAsia="zh-CN"/>
              </w:rPr>
              <w:t>主要</w:t>
            </w:r>
            <w:r w:rsidR="00F1745F" w:rsidRPr="006A17BD">
              <w:rPr>
                <w:rFonts w:cs="宋体" w:hint="eastAsia"/>
                <w:bCs/>
                <w:color w:val="000000"/>
                <w:lang w:eastAsia="zh-CN"/>
              </w:rPr>
              <w:t>业务</w:t>
            </w:r>
            <w:r w:rsidR="00F1745F">
              <w:rPr>
                <w:rFonts w:cs="宋体" w:hint="eastAsia"/>
                <w:bCs/>
                <w:color w:val="000000"/>
                <w:lang w:eastAsia="zh-CN"/>
              </w:rPr>
              <w:t>为</w:t>
            </w:r>
            <w:r w:rsidR="001F16EC" w:rsidRPr="001F16EC">
              <w:rPr>
                <w:rFonts w:cs="宋体" w:hint="eastAsia"/>
                <w:bCs/>
                <w:color w:val="000000"/>
                <w:lang w:eastAsia="zh-CN"/>
              </w:rPr>
              <w:t>管理全球投资</w:t>
            </w:r>
            <w:r w:rsidR="00345EE1">
              <w:rPr>
                <w:rFonts w:cs="宋体" w:hint="eastAsia"/>
                <w:bCs/>
                <w:color w:val="000000"/>
                <w:lang w:eastAsia="zh-CN"/>
              </w:rPr>
              <w:t>，</w:t>
            </w:r>
            <w:r w:rsidR="00776F32">
              <w:rPr>
                <w:rFonts w:cs="宋体" w:hint="eastAsia"/>
                <w:bCs/>
                <w:color w:val="000000"/>
                <w:lang w:eastAsia="zh-CN"/>
              </w:rPr>
              <w:t>涉及</w:t>
            </w:r>
            <w:r w:rsidR="00345EE1">
              <w:rPr>
                <w:rFonts w:cs="宋体" w:hint="eastAsia"/>
                <w:bCs/>
                <w:color w:val="000000"/>
                <w:lang w:eastAsia="zh-CN"/>
              </w:rPr>
              <w:t>基础</w:t>
            </w:r>
            <w:r w:rsidR="00A71AFA">
              <w:rPr>
                <w:rFonts w:cs="宋体" w:hint="eastAsia"/>
                <w:bCs/>
                <w:color w:val="000000"/>
                <w:lang w:eastAsia="zh-CN"/>
              </w:rPr>
              <w:t>设施</w:t>
            </w:r>
            <w:r w:rsidR="00345EE1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1C3D01">
              <w:rPr>
                <w:rFonts w:cs="宋体" w:hint="eastAsia"/>
                <w:bCs/>
                <w:color w:val="000000"/>
                <w:lang w:eastAsia="zh-CN"/>
              </w:rPr>
              <w:t>上市股票、私募</w:t>
            </w:r>
            <w:r w:rsidR="002533D2">
              <w:rPr>
                <w:rFonts w:cs="宋体" w:hint="eastAsia"/>
                <w:bCs/>
                <w:color w:val="000000"/>
                <w:lang w:eastAsia="zh-CN"/>
              </w:rPr>
              <w:t>资本</w:t>
            </w:r>
            <w:r w:rsidR="001C3D01">
              <w:rPr>
                <w:rFonts w:cs="宋体" w:hint="eastAsia"/>
                <w:bCs/>
                <w:color w:val="000000"/>
                <w:lang w:eastAsia="zh-CN"/>
              </w:rPr>
              <w:t>等</w:t>
            </w:r>
            <w:r w:rsidR="00776F32">
              <w:rPr>
                <w:rFonts w:cs="宋体" w:hint="eastAsia"/>
                <w:bCs/>
                <w:color w:val="000000"/>
                <w:lang w:eastAsia="zh-CN"/>
              </w:rPr>
              <w:t>领域</w:t>
            </w:r>
            <w:r w:rsidR="00236639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5E4D0D" w:rsidRPr="00370E78" w14:paraId="41E0FC39" w14:textId="77777777" w:rsidTr="42313BE7">
        <w:trPr>
          <w:trHeight w:val="1744"/>
        </w:trPr>
        <w:tc>
          <w:tcPr>
            <w:tcW w:w="1940" w:type="dxa"/>
            <w:vMerge/>
            <w:vAlign w:val="center"/>
          </w:tcPr>
          <w:p w14:paraId="53AD84D9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2CE59CA" w14:textId="482C2D82" w:rsidR="005E4D0D" w:rsidRPr="00370E78" w:rsidRDefault="005E4D0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2.</w:t>
            </w:r>
            <w:r w:rsidR="001A5BA2"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r w:rsidR="001A5BA2">
              <w:t xml:space="preserve">BG </w:t>
            </w:r>
          </w:p>
        </w:tc>
        <w:tc>
          <w:tcPr>
            <w:tcW w:w="6093" w:type="dxa"/>
            <w:vAlign w:val="center"/>
          </w:tcPr>
          <w:p w14:paraId="4493D28B" w14:textId="2320BA9C" w:rsidR="005E4D0D" w:rsidRDefault="00236639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>
              <w:rPr>
                <w:rFonts w:cs="宋体"/>
                <w:color w:val="000000"/>
                <w:lang w:eastAsia="zh-CN"/>
              </w:rPr>
              <w:t xml:space="preserve">BG </w:t>
            </w:r>
            <w:r>
              <w:rPr>
                <w:rFonts w:cs="宋体" w:hint="eastAsia"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color w:val="000000"/>
                <w:lang w:eastAsia="zh-CN"/>
              </w:rPr>
              <w:t>1</w:t>
            </w:r>
            <w:r>
              <w:rPr>
                <w:rFonts w:cs="宋体"/>
                <w:color w:val="000000"/>
                <w:lang w:eastAsia="zh-CN"/>
              </w:rPr>
              <w:t>999</w:t>
            </w:r>
            <w:r>
              <w:rPr>
                <w:rFonts w:cs="宋体" w:hint="eastAsia"/>
                <w:color w:val="000000"/>
                <w:lang w:eastAsia="zh-CN"/>
              </w:rPr>
              <w:t>年</w:t>
            </w:r>
            <w:r w:rsidR="00F2101B">
              <w:rPr>
                <w:rFonts w:cs="宋体" w:hint="eastAsia"/>
                <w:color w:val="000000"/>
                <w:lang w:eastAsia="zh-CN"/>
              </w:rPr>
              <w:t>4</w:t>
            </w:r>
            <w:r w:rsidR="00F2101B">
              <w:rPr>
                <w:rFonts w:cs="宋体" w:hint="eastAsia"/>
                <w:color w:val="000000"/>
                <w:lang w:eastAsia="zh-CN"/>
              </w:rPr>
              <w:t>月</w:t>
            </w:r>
            <w:r w:rsidR="00F2101B">
              <w:rPr>
                <w:rFonts w:cs="宋体" w:hint="eastAsia"/>
                <w:color w:val="000000"/>
                <w:lang w:eastAsia="zh-CN"/>
              </w:rPr>
              <w:t>2</w:t>
            </w:r>
            <w:r w:rsidR="00F2101B">
              <w:rPr>
                <w:rFonts w:cs="宋体"/>
                <w:color w:val="000000"/>
                <w:lang w:eastAsia="zh-CN"/>
              </w:rPr>
              <w:t>8</w:t>
            </w:r>
            <w:r w:rsidR="00F2101B">
              <w:rPr>
                <w:rFonts w:cs="宋体" w:hint="eastAsia"/>
                <w:color w:val="000000"/>
                <w:lang w:eastAsia="zh-CN"/>
              </w:rPr>
              <w:t>日成立于英国</w:t>
            </w:r>
            <w:r w:rsidR="00F04AB6">
              <w:rPr>
                <w:rFonts w:cs="宋体" w:hint="eastAsia"/>
                <w:color w:val="000000"/>
                <w:lang w:eastAsia="zh-CN"/>
              </w:rPr>
              <w:t>，</w:t>
            </w:r>
            <w:r w:rsidR="001F212E">
              <w:rPr>
                <w:rFonts w:cs="宋体" w:hint="eastAsia"/>
                <w:color w:val="000000"/>
                <w:lang w:eastAsia="zh-CN"/>
              </w:rPr>
              <w:t>主要业务</w:t>
            </w:r>
            <w:r w:rsidR="00C82ECB">
              <w:rPr>
                <w:rFonts w:cs="宋体" w:hint="eastAsia"/>
                <w:color w:val="000000"/>
                <w:lang w:eastAsia="zh-CN"/>
              </w:rPr>
              <w:t>为</w:t>
            </w:r>
            <w:r w:rsidR="00A57E7F">
              <w:rPr>
                <w:rFonts w:cs="宋体" w:hint="eastAsia"/>
                <w:color w:val="000000"/>
                <w:lang w:eastAsia="zh-CN"/>
              </w:rPr>
              <w:t>持</w:t>
            </w:r>
            <w:r w:rsidR="00C82ECB">
              <w:rPr>
                <w:rFonts w:cs="宋体" w:hint="eastAsia"/>
                <w:color w:val="000000"/>
                <w:lang w:eastAsia="zh-CN"/>
              </w:rPr>
              <w:t>有</w:t>
            </w:r>
            <w:r w:rsidR="00FB1CCD">
              <w:rPr>
                <w:rFonts w:cs="宋体" w:hint="eastAsia"/>
                <w:color w:val="000000"/>
                <w:lang w:eastAsia="zh-CN"/>
              </w:rPr>
              <w:t>对</w:t>
            </w:r>
            <w:r w:rsidR="00223218" w:rsidRPr="00223218">
              <w:rPr>
                <w:rFonts w:cs="宋体" w:hint="eastAsia"/>
                <w:color w:val="000000"/>
                <w:lang w:eastAsia="zh-CN"/>
              </w:rPr>
              <w:t>壳牌</w:t>
            </w:r>
            <w:r w:rsidR="00FB1CCD">
              <w:rPr>
                <w:rFonts w:cs="宋体" w:hint="eastAsia"/>
                <w:color w:val="000000"/>
                <w:lang w:eastAsia="zh-CN"/>
              </w:rPr>
              <w:t>关联公司的投资。</w:t>
            </w:r>
          </w:p>
          <w:p w14:paraId="1351BD89" w14:textId="06B9D6D9" w:rsidR="00FB1CCD" w:rsidRPr="00370E78" w:rsidRDefault="00FB1CCD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>
              <w:rPr>
                <w:rFonts w:cs="宋体"/>
                <w:color w:val="000000"/>
                <w:lang w:eastAsia="zh-CN"/>
              </w:rPr>
              <w:t>BG</w:t>
            </w:r>
            <w:r>
              <w:rPr>
                <w:rFonts w:cs="宋体" w:hint="eastAsia"/>
                <w:color w:val="000000"/>
                <w:lang w:eastAsia="zh-CN"/>
              </w:rPr>
              <w:t>最终控制人</w:t>
            </w:r>
            <w:r w:rsidR="008B658A">
              <w:rPr>
                <w:rFonts w:cs="宋体" w:hint="eastAsia"/>
                <w:color w:val="000000"/>
                <w:lang w:eastAsia="zh-CN"/>
              </w:rPr>
              <w:t>为</w:t>
            </w:r>
            <w:r w:rsidR="00223218" w:rsidRPr="00223218">
              <w:rPr>
                <w:rFonts w:cs="宋体" w:hint="eastAsia"/>
                <w:color w:val="000000"/>
                <w:lang w:eastAsia="zh-CN"/>
              </w:rPr>
              <w:t>壳牌</w:t>
            </w:r>
            <w:r>
              <w:rPr>
                <w:rFonts w:cs="宋体" w:hint="eastAsia"/>
                <w:color w:val="000000"/>
                <w:lang w:eastAsia="zh-CN"/>
              </w:rPr>
              <w:t>，</w:t>
            </w:r>
            <w:r w:rsidR="00653479" w:rsidRPr="00653479">
              <w:rPr>
                <w:rFonts w:cs="宋体" w:hint="eastAsia"/>
                <w:color w:val="000000"/>
                <w:lang w:eastAsia="zh-CN"/>
              </w:rPr>
              <w:t>主要从事全球能源和石化业务。</w:t>
            </w:r>
          </w:p>
        </w:tc>
      </w:tr>
      <w:tr w:rsidR="005E4D0D" w:rsidRPr="00370E78" w14:paraId="16D6532E" w14:textId="77777777" w:rsidTr="42313BE7">
        <w:trPr>
          <w:trHeight w:val="1744"/>
        </w:trPr>
        <w:tc>
          <w:tcPr>
            <w:tcW w:w="1940" w:type="dxa"/>
            <w:vMerge/>
            <w:vAlign w:val="center"/>
          </w:tcPr>
          <w:p w14:paraId="4BF93A49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333DE8A6" w14:textId="5C818F44" w:rsidR="005E4D0D" w:rsidRPr="00370E78" w:rsidRDefault="005A31C9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cs="宋体"/>
                <w:bCs/>
                <w:color w:val="000000"/>
                <w:lang w:val="en-US" w:eastAsia="zh-CN"/>
              </w:rPr>
              <w:t xml:space="preserve">3. </w:t>
            </w:r>
            <w:r w:rsidR="00B228FF">
              <w:rPr>
                <w:rFonts w:cs="宋体" w:hint="eastAsia"/>
                <w:bCs/>
                <w:color w:val="000000"/>
                <w:lang w:val="en-US" w:eastAsia="zh-CN"/>
              </w:rPr>
              <w:t>D</w:t>
            </w:r>
            <w:r w:rsidR="00B228FF">
              <w:rPr>
                <w:rFonts w:cs="宋体"/>
                <w:bCs/>
                <w:color w:val="000000"/>
                <w:lang w:val="en-US" w:eastAsia="zh-CN"/>
              </w:rPr>
              <w:t>ragon LNG</w:t>
            </w:r>
          </w:p>
        </w:tc>
        <w:tc>
          <w:tcPr>
            <w:tcW w:w="6093" w:type="dxa"/>
            <w:vAlign w:val="center"/>
          </w:tcPr>
          <w:p w14:paraId="7F417724" w14:textId="77777777" w:rsidR="005B4795" w:rsidRDefault="00417AB5" w:rsidP="00F8302C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/>
                <w:bCs/>
                <w:color w:val="000000"/>
                <w:lang w:eastAsia="zh-CN"/>
              </w:rPr>
              <w:t>D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ragon</w:t>
            </w:r>
            <w:r>
              <w:rPr>
                <w:rFonts w:cs="宋体"/>
                <w:bCs/>
                <w:color w:val="000000"/>
                <w:lang w:eastAsia="zh-CN"/>
              </w:rPr>
              <w:t xml:space="preserve"> LNG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于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cs="宋体"/>
                <w:bCs/>
                <w:color w:val="000000"/>
                <w:lang w:eastAsia="zh-CN"/>
              </w:rPr>
              <w:t>004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 w:rsidR="0051292A">
              <w:rPr>
                <w:rFonts w:cs="宋体" w:hint="eastAsia"/>
                <w:bCs/>
                <w:color w:val="000000"/>
                <w:lang w:eastAsia="zh-CN"/>
              </w:rPr>
              <w:t>9</w:t>
            </w:r>
            <w:r w:rsidR="0051292A">
              <w:rPr>
                <w:rFonts w:cs="宋体" w:hint="eastAsia"/>
                <w:bCs/>
                <w:color w:val="000000"/>
                <w:lang w:eastAsia="zh-CN"/>
              </w:rPr>
              <w:t>月</w:t>
            </w:r>
            <w:r w:rsidR="0051292A">
              <w:rPr>
                <w:rFonts w:cs="宋体" w:hint="eastAsia"/>
                <w:bCs/>
                <w:color w:val="000000"/>
                <w:lang w:eastAsia="zh-CN"/>
              </w:rPr>
              <w:t>2</w:t>
            </w:r>
            <w:r w:rsidR="0051292A">
              <w:rPr>
                <w:rFonts w:cs="宋体"/>
                <w:bCs/>
                <w:color w:val="000000"/>
                <w:lang w:eastAsia="zh-CN"/>
              </w:rPr>
              <w:t>2</w:t>
            </w:r>
            <w:r w:rsidR="0051292A">
              <w:rPr>
                <w:rFonts w:cs="宋体" w:hint="eastAsia"/>
                <w:bCs/>
                <w:color w:val="000000"/>
                <w:lang w:eastAsia="zh-CN"/>
              </w:rPr>
              <w:t>日成立于英国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，</w:t>
            </w:r>
            <w:r w:rsidRPr="00417AB5">
              <w:rPr>
                <w:rFonts w:cs="宋体" w:hint="eastAsia"/>
                <w:bCs/>
                <w:color w:val="000000"/>
                <w:lang w:eastAsia="zh-CN"/>
              </w:rPr>
              <w:t>主要</w:t>
            </w:r>
            <w:r w:rsidR="00041CE6">
              <w:rPr>
                <w:rFonts w:cs="宋体" w:hint="eastAsia"/>
                <w:bCs/>
                <w:color w:val="000000"/>
                <w:lang w:eastAsia="zh-CN"/>
              </w:rPr>
              <w:t>业务是经营</w:t>
            </w:r>
            <w:r w:rsidRPr="00417AB5">
              <w:rPr>
                <w:rFonts w:cs="宋体" w:hint="eastAsia"/>
                <w:bCs/>
                <w:color w:val="000000"/>
                <w:lang w:eastAsia="zh-CN"/>
              </w:rPr>
              <w:t>在英国的一家</w:t>
            </w:r>
            <w:r w:rsidRPr="00417AB5">
              <w:rPr>
                <w:rFonts w:cs="宋体" w:hint="eastAsia"/>
                <w:bCs/>
                <w:color w:val="000000"/>
                <w:lang w:eastAsia="zh-CN"/>
              </w:rPr>
              <w:t>LNG</w:t>
            </w:r>
            <w:r w:rsidRPr="00417AB5">
              <w:rPr>
                <w:rFonts w:cs="宋体" w:hint="eastAsia"/>
                <w:bCs/>
                <w:color w:val="000000"/>
                <w:lang w:eastAsia="zh-CN"/>
              </w:rPr>
              <w:t>再气化站。</w:t>
            </w:r>
          </w:p>
          <w:p w14:paraId="6912F1E2" w14:textId="123C8411" w:rsidR="00515612" w:rsidRDefault="00417AB5" w:rsidP="00F8302C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Dragon</w:t>
            </w:r>
            <w:r>
              <w:rPr>
                <w:rFonts w:cs="宋体"/>
                <w:bCs/>
                <w:color w:val="000000"/>
                <w:lang w:eastAsia="zh-CN"/>
              </w:rPr>
              <w:t xml:space="preserve"> LNG</w:t>
            </w:r>
            <w:r w:rsidR="0080400E">
              <w:rPr>
                <w:rFonts w:cs="宋体" w:hint="eastAsia"/>
                <w:bCs/>
                <w:color w:val="000000"/>
                <w:lang w:eastAsia="zh-CN"/>
              </w:rPr>
              <w:t>最终控制人为</w:t>
            </w:r>
            <w:r w:rsidR="008D3FDF" w:rsidRPr="008D3FDF">
              <w:rPr>
                <w:rFonts w:cs="宋体" w:hint="eastAsia"/>
                <w:bCs/>
                <w:color w:val="000000"/>
                <w:lang w:eastAsia="zh-CN"/>
              </w:rPr>
              <w:t>壳牌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和</w:t>
            </w:r>
            <w:proofErr w:type="spellStart"/>
            <w:r>
              <w:rPr>
                <w:rFonts w:cs="宋体" w:hint="eastAsia"/>
                <w:bCs/>
                <w:color w:val="000000"/>
                <w:lang w:eastAsia="zh-CN"/>
              </w:rPr>
              <w:t>Ancala</w:t>
            </w:r>
            <w:proofErr w:type="spellEnd"/>
            <w:r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proofErr w:type="spellStart"/>
            <w:r>
              <w:rPr>
                <w:rFonts w:cs="宋体" w:hint="eastAsia"/>
                <w:bCs/>
                <w:color w:val="000000"/>
                <w:lang w:eastAsia="zh-CN"/>
              </w:rPr>
              <w:t>Ancala</w:t>
            </w:r>
            <w:proofErr w:type="spellEnd"/>
            <w:r w:rsidR="0014200F">
              <w:rPr>
                <w:rFonts w:cs="宋体" w:hint="eastAsia"/>
                <w:bCs/>
                <w:color w:val="000000"/>
                <w:lang w:eastAsia="zh-CN"/>
              </w:rPr>
              <w:t>主要业务</w:t>
            </w:r>
            <w:r w:rsidR="004D53DB">
              <w:rPr>
                <w:rFonts w:cs="宋体" w:hint="eastAsia"/>
                <w:bCs/>
                <w:color w:val="000000"/>
                <w:lang w:eastAsia="zh-CN"/>
              </w:rPr>
              <w:t>为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基础设施</w:t>
            </w:r>
            <w:r w:rsidR="004D53DB">
              <w:rPr>
                <w:rFonts w:cs="宋体" w:hint="eastAsia"/>
                <w:bCs/>
                <w:color w:val="000000"/>
                <w:lang w:eastAsia="zh-CN"/>
              </w:rPr>
              <w:t>投资</w:t>
            </w:r>
            <w:r w:rsidR="00776F32">
              <w:rPr>
                <w:rFonts w:cs="宋体" w:hint="eastAsia"/>
                <w:bCs/>
                <w:color w:val="000000"/>
                <w:lang w:eastAsia="zh-CN"/>
              </w:rPr>
              <w:t>，涉及可再生能源与能源</w:t>
            </w:r>
            <w:r w:rsidR="00D47F69">
              <w:rPr>
                <w:rFonts w:cs="宋体" w:hint="eastAsia"/>
                <w:bCs/>
                <w:color w:val="000000"/>
                <w:lang w:eastAsia="zh-CN"/>
              </w:rPr>
              <w:t>转型</w:t>
            </w:r>
            <w:r w:rsidR="00776F32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E45218">
              <w:rPr>
                <w:rFonts w:cs="宋体" w:hint="eastAsia"/>
                <w:bCs/>
                <w:color w:val="000000"/>
                <w:lang w:eastAsia="zh-CN"/>
              </w:rPr>
              <w:t>循环经济、公用事业等领域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246B3800" w14:textId="77777777" w:rsidTr="42313BE7">
        <w:trPr>
          <w:trHeight w:val="279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6F38F8AC" w14:textId="1E8F4140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77A8DE75" w14:textId="0127C295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1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15%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4B2ED02B" w14:textId="77777777" w:rsidTr="42313BE7">
        <w:trPr>
          <w:trHeight w:val="330"/>
        </w:trPr>
        <w:tc>
          <w:tcPr>
            <w:tcW w:w="1940" w:type="dxa"/>
            <w:vMerge/>
            <w:vAlign w:val="center"/>
          </w:tcPr>
          <w:p w14:paraId="40501777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BA1044C" w14:textId="5310E6DC" w:rsidR="00992759" w:rsidRPr="00370E78" w:rsidRDefault="0050048C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50048C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2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36B9FDFB" w14:textId="77777777" w:rsidTr="42313BE7">
        <w:trPr>
          <w:trHeight w:val="285"/>
        </w:trPr>
        <w:tc>
          <w:tcPr>
            <w:tcW w:w="1940" w:type="dxa"/>
            <w:vMerge/>
            <w:vAlign w:val="center"/>
          </w:tcPr>
          <w:p w14:paraId="5DF4E56D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7125E57" w14:textId="1EA7D893" w:rsidR="00992759" w:rsidRPr="00370E78" w:rsidRDefault="0050048C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50048C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3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678A8BCD" w14:textId="77777777" w:rsidTr="42313BE7">
        <w:trPr>
          <w:trHeight w:val="870"/>
        </w:trPr>
        <w:tc>
          <w:tcPr>
            <w:tcW w:w="1940" w:type="dxa"/>
            <w:vMerge/>
            <w:vAlign w:val="center"/>
          </w:tcPr>
          <w:p w14:paraId="18515FE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4D7D81D" w14:textId="4240C87C" w:rsidR="00992759" w:rsidRPr="00370E78" w:rsidRDefault="00EE00A4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4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992759" w:rsidRPr="00370E78" w14:paraId="5C7DBCBF" w14:textId="77777777" w:rsidTr="42313BE7">
        <w:trPr>
          <w:trHeight w:val="264"/>
        </w:trPr>
        <w:tc>
          <w:tcPr>
            <w:tcW w:w="1940" w:type="dxa"/>
            <w:vMerge/>
            <w:vAlign w:val="center"/>
          </w:tcPr>
          <w:p w14:paraId="49222B5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EE46EDC" w14:textId="5EE53C8C" w:rsidR="00992759" w:rsidRPr="00370E78" w:rsidRDefault="00EE00A4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EE00A4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</w:t>
            </w:r>
            <w:r w:rsidR="00992759"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992759" w:rsidRPr="00370E78" w14:paraId="4D996C9A" w14:textId="77777777" w:rsidTr="42313BE7">
        <w:trPr>
          <w:trHeight w:val="345"/>
        </w:trPr>
        <w:tc>
          <w:tcPr>
            <w:tcW w:w="1940" w:type="dxa"/>
            <w:vMerge/>
            <w:vAlign w:val="center"/>
          </w:tcPr>
          <w:p w14:paraId="5EBEC885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81F8E0D" w14:textId="0FBF21BB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6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9D4530" w:rsidRPr="00370E78" w14:paraId="65CEA395" w14:textId="77777777" w:rsidTr="42313BE7">
        <w:trPr>
          <w:trHeight w:val="1250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11E82EA8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lastRenderedPageBreak/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1352AD4A" w14:textId="77777777" w:rsidR="009D4530" w:rsidRPr="00370E78" w:rsidRDefault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436671B5" w14:textId="77777777" w:rsidR="009D4530" w:rsidRDefault="009D4530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9D4530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7DBE" w14:textId="77777777" w:rsidR="000F2F9A" w:rsidRDefault="000F2F9A">
      <w:pPr>
        <w:spacing w:after="0"/>
      </w:pPr>
      <w:r>
        <w:separator/>
      </w:r>
    </w:p>
  </w:endnote>
  <w:endnote w:type="continuationSeparator" w:id="0">
    <w:p w14:paraId="406BA4E8" w14:textId="77777777" w:rsidR="000F2F9A" w:rsidRDefault="000F2F9A">
      <w:pPr>
        <w:spacing w:after="0"/>
      </w:pPr>
      <w:r>
        <w:continuationSeparator/>
      </w:r>
    </w:p>
  </w:endnote>
  <w:endnote w:type="continuationNotice" w:id="1">
    <w:p w14:paraId="75022596" w14:textId="77777777" w:rsidR="000F2F9A" w:rsidRDefault="000F2F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9D4530" w14:paraId="0D9B5E04" w14:textId="77777777">
      <w:tc>
        <w:tcPr>
          <w:tcW w:w="3080" w:type="dxa"/>
        </w:tcPr>
        <w:p w14:paraId="7BAEAA96" w14:textId="77777777" w:rsidR="009D4530" w:rsidRDefault="009D4530">
          <w:pPr>
            <w:pStyle w:val="Footer"/>
          </w:pPr>
        </w:p>
      </w:tc>
      <w:tc>
        <w:tcPr>
          <w:tcW w:w="3081" w:type="dxa"/>
        </w:tcPr>
        <w:p w14:paraId="76D33799" w14:textId="77777777" w:rsidR="009D4530" w:rsidRDefault="009D4530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2008D335" w14:textId="77777777" w:rsidR="009D4530" w:rsidRDefault="009D4530">
          <w:pPr>
            <w:pStyle w:val="FooterRight"/>
          </w:pPr>
        </w:p>
      </w:tc>
    </w:tr>
  </w:tbl>
  <w:p w14:paraId="1C72770D" w14:textId="77777777" w:rsidR="009D4530" w:rsidRDefault="009D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2C86" w14:textId="77777777" w:rsidR="000F2F9A" w:rsidRDefault="000F2F9A">
      <w:pPr>
        <w:spacing w:after="0"/>
      </w:pPr>
      <w:r>
        <w:separator/>
      </w:r>
    </w:p>
  </w:footnote>
  <w:footnote w:type="continuationSeparator" w:id="0">
    <w:p w14:paraId="06835530" w14:textId="77777777" w:rsidR="000F2F9A" w:rsidRDefault="000F2F9A">
      <w:pPr>
        <w:spacing w:after="0"/>
      </w:pPr>
      <w:r>
        <w:continuationSeparator/>
      </w:r>
    </w:p>
  </w:footnote>
  <w:footnote w:type="continuationNotice" w:id="1">
    <w:p w14:paraId="6528BC45" w14:textId="77777777" w:rsidR="000F2F9A" w:rsidRDefault="000F2F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775101936">
    <w:abstractNumId w:val="2"/>
  </w:num>
  <w:num w:numId="2" w16cid:durableId="1112749239">
    <w:abstractNumId w:val="0"/>
  </w:num>
  <w:num w:numId="3" w16cid:durableId="102729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45"/>
    <w:rsid w:val="000024FF"/>
    <w:rsid w:val="000027BD"/>
    <w:rsid w:val="00003A59"/>
    <w:rsid w:val="0001497F"/>
    <w:rsid w:val="000150B7"/>
    <w:rsid w:val="000154EA"/>
    <w:rsid w:val="00020703"/>
    <w:rsid w:val="00021AB2"/>
    <w:rsid w:val="000222C4"/>
    <w:rsid w:val="000326C8"/>
    <w:rsid w:val="00041C40"/>
    <w:rsid w:val="00041CE6"/>
    <w:rsid w:val="0004292A"/>
    <w:rsid w:val="000467AA"/>
    <w:rsid w:val="00052841"/>
    <w:rsid w:val="00062616"/>
    <w:rsid w:val="00073E6B"/>
    <w:rsid w:val="0007723F"/>
    <w:rsid w:val="00077D60"/>
    <w:rsid w:val="00083590"/>
    <w:rsid w:val="00092F4E"/>
    <w:rsid w:val="000956F4"/>
    <w:rsid w:val="00097775"/>
    <w:rsid w:val="000B58E5"/>
    <w:rsid w:val="000B653C"/>
    <w:rsid w:val="000C53C5"/>
    <w:rsid w:val="000C5BC0"/>
    <w:rsid w:val="000C6953"/>
    <w:rsid w:val="000E29A9"/>
    <w:rsid w:val="000E3A81"/>
    <w:rsid w:val="000E5FE7"/>
    <w:rsid w:val="000F2F9A"/>
    <w:rsid w:val="00107E19"/>
    <w:rsid w:val="00110793"/>
    <w:rsid w:val="00115F62"/>
    <w:rsid w:val="00123E26"/>
    <w:rsid w:val="00132767"/>
    <w:rsid w:val="00136343"/>
    <w:rsid w:val="0014200F"/>
    <w:rsid w:val="00142CA5"/>
    <w:rsid w:val="00145B05"/>
    <w:rsid w:val="00151256"/>
    <w:rsid w:val="00161051"/>
    <w:rsid w:val="001639D8"/>
    <w:rsid w:val="00165746"/>
    <w:rsid w:val="00172770"/>
    <w:rsid w:val="00186A05"/>
    <w:rsid w:val="00187026"/>
    <w:rsid w:val="001912C2"/>
    <w:rsid w:val="001965E2"/>
    <w:rsid w:val="00196662"/>
    <w:rsid w:val="001A5BA2"/>
    <w:rsid w:val="001B3349"/>
    <w:rsid w:val="001B4EA1"/>
    <w:rsid w:val="001C3D01"/>
    <w:rsid w:val="001C5840"/>
    <w:rsid w:val="001C7276"/>
    <w:rsid w:val="001D1555"/>
    <w:rsid w:val="001D6168"/>
    <w:rsid w:val="001E0F1F"/>
    <w:rsid w:val="001E3226"/>
    <w:rsid w:val="001F16EC"/>
    <w:rsid w:val="001F212E"/>
    <w:rsid w:val="001F2FAE"/>
    <w:rsid w:val="001F346E"/>
    <w:rsid w:val="001F35AA"/>
    <w:rsid w:val="001F367B"/>
    <w:rsid w:val="001F7FEC"/>
    <w:rsid w:val="002049B7"/>
    <w:rsid w:val="002145A1"/>
    <w:rsid w:val="00223218"/>
    <w:rsid w:val="00224A7C"/>
    <w:rsid w:val="002278D1"/>
    <w:rsid w:val="00231665"/>
    <w:rsid w:val="00231AED"/>
    <w:rsid w:val="002320BC"/>
    <w:rsid w:val="00233737"/>
    <w:rsid w:val="00236639"/>
    <w:rsid w:val="002403B5"/>
    <w:rsid w:val="00245281"/>
    <w:rsid w:val="00250E61"/>
    <w:rsid w:val="002533D2"/>
    <w:rsid w:val="00261F94"/>
    <w:rsid w:val="00264877"/>
    <w:rsid w:val="00267941"/>
    <w:rsid w:val="002727F3"/>
    <w:rsid w:val="002764EB"/>
    <w:rsid w:val="00285671"/>
    <w:rsid w:val="00286959"/>
    <w:rsid w:val="00287E91"/>
    <w:rsid w:val="00291652"/>
    <w:rsid w:val="002964A1"/>
    <w:rsid w:val="002A25F2"/>
    <w:rsid w:val="002A7291"/>
    <w:rsid w:val="002A7C26"/>
    <w:rsid w:val="002C2A03"/>
    <w:rsid w:val="002D0611"/>
    <w:rsid w:val="002D4391"/>
    <w:rsid w:val="002D7975"/>
    <w:rsid w:val="002E0B7D"/>
    <w:rsid w:val="002F09A7"/>
    <w:rsid w:val="002F5271"/>
    <w:rsid w:val="00301BD5"/>
    <w:rsid w:val="00306B88"/>
    <w:rsid w:val="00310488"/>
    <w:rsid w:val="00311263"/>
    <w:rsid w:val="003211B6"/>
    <w:rsid w:val="00336CF5"/>
    <w:rsid w:val="0034075D"/>
    <w:rsid w:val="0034107F"/>
    <w:rsid w:val="00344D27"/>
    <w:rsid w:val="00345EE1"/>
    <w:rsid w:val="00352492"/>
    <w:rsid w:val="003540C8"/>
    <w:rsid w:val="0035604C"/>
    <w:rsid w:val="00370E78"/>
    <w:rsid w:val="00371332"/>
    <w:rsid w:val="00371A75"/>
    <w:rsid w:val="003771E5"/>
    <w:rsid w:val="00380B2F"/>
    <w:rsid w:val="003850D4"/>
    <w:rsid w:val="00385F00"/>
    <w:rsid w:val="003866EF"/>
    <w:rsid w:val="00394AE1"/>
    <w:rsid w:val="003A4565"/>
    <w:rsid w:val="003A5B9A"/>
    <w:rsid w:val="003B27EC"/>
    <w:rsid w:val="003B2F86"/>
    <w:rsid w:val="003B4439"/>
    <w:rsid w:val="003B4C9E"/>
    <w:rsid w:val="003B4FF1"/>
    <w:rsid w:val="003B7CBC"/>
    <w:rsid w:val="003C0F65"/>
    <w:rsid w:val="003C3456"/>
    <w:rsid w:val="003E3B57"/>
    <w:rsid w:val="003E4032"/>
    <w:rsid w:val="003E73DB"/>
    <w:rsid w:val="004067A3"/>
    <w:rsid w:val="00410914"/>
    <w:rsid w:val="004119F5"/>
    <w:rsid w:val="00411A0C"/>
    <w:rsid w:val="0041316D"/>
    <w:rsid w:val="004166B2"/>
    <w:rsid w:val="00417AB5"/>
    <w:rsid w:val="004203EF"/>
    <w:rsid w:val="00427E52"/>
    <w:rsid w:val="00432493"/>
    <w:rsid w:val="00446353"/>
    <w:rsid w:val="0044739B"/>
    <w:rsid w:val="004543AC"/>
    <w:rsid w:val="00456E57"/>
    <w:rsid w:val="00464458"/>
    <w:rsid w:val="00466711"/>
    <w:rsid w:val="00467A6B"/>
    <w:rsid w:val="00475F7F"/>
    <w:rsid w:val="00481F5E"/>
    <w:rsid w:val="0048351F"/>
    <w:rsid w:val="00483C85"/>
    <w:rsid w:val="004846A7"/>
    <w:rsid w:val="0049203E"/>
    <w:rsid w:val="0049707A"/>
    <w:rsid w:val="004973DB"/>
    <w:rsid w:val="0049771A"/>
    <w:rsid w:val="004A2925"/>
    <w:rsid w:val="004A4BF1"/>
    <w:rsid w:val="004C21B9"/>
    <w:rsid w:val="004C3420"/>
    <w:rsid w:val="004C705B"/>
    <w:rsid w:val="004D018B"/>
    <w:rsid w:val="004D124C"/>
    <w:rsid w:val="004D180D"/>
    <w:rsid w:val="004D4435"/>
    <w:rsid w:val="004D53DB"/>
    <w:rsid w:val="004D7A09"/>
    <w:rsid w:val="0050048C"/>
    <w:rsid w:val="00501D37"/>
    <w:rsid w:val="0051292A"/>
    <w:rsid w:val="00512A53"/>
    <w:rsid w:val="00515612"/>
    <w:rsid w:val="005168C9"/>
    <w:rsid w:val="0052362B"/>
    <w:rsid w:val="00523905"/>
    <w:rsid w:val="005251B9"/>
    <w:rsid w:val="00530BB4"/>
    <w:rsid w:val="00535E36"/>
    <w:rsid w:val="00545A47"/>
    <w:rsid w:val="005544A2"/>
    <w:rsid w:val="0057004E"/>
    <w:rsid w:val="0057200D"/>
    <w:rsid w:val="00591CEC"/>
    <w:rsid w:val="005A31C9"/>
    <w:rsid w:val="005B0CEB"/>
    <w:rsid w:val="005B18A3"/>
    <w:rsid w:val="005B2A1C"/>
    <w:rsid w:val="005B4795"/>
    <w:rsid w:val="005B5A01"/>
    <w:rsid w:val="005D277C"/>
    <w:rsid w:val="005D2EE8"/>
    <w:rsid w:val="005D3152"/>
    <w:rsid w:val="005D6D17"/>
    <w:rsid w:val="005E4D0D"/>
    <w:rsid w:val="005E7B2F"/>
    <w:rsid w:val="005F4439"/>
    <w:rsid w:val="005F5280"/>
    <w:rsid w:val="005F7223"/>
    <w:rsid w:val="0060413B"/>
    <w:rsid w:val="00605EE6"/>
    <w:rsid w:val="0060669E"/>
    <w:rsid w:val="00607660"/>
    <w:rsid w:val="006148B9"/>
    <w:rsid w:val="00614EBB"/>
    <w:rsid w:val="0061583E"/>
    <w:rsid w:val="00617BCA"/>
    <w:rsid w:val="00630B5A"/>
    <w:rsid w:val="0063149C"/>
    <w:rsid w:val="00632159"/>
    <w:rsid w:val="00643E64"/>
    <w:rsid w:val="00645B6A"/>
    <w:rsid w:val="00647CB4"/>
    <w:rsid w:val="00653479"/>
    <w:rsid w:val="00655225"/>
    <w:rsid w:val="00664174"/>
    <w:rsid w:val="006643EA"/>
    <w:rsid w:val="00671448"/>
    <w:rsid w:val="00672AE2"/>
    <w:rsid w:val="0067348D"/>
    <w:rsid w:val="006745A9"/>
    <w:rsid w:val="00680C16"/>
    <w:rsid w:val="0068175E"/>
    <w:rsid w:val="00682729"/>
    <w:rsid w:val="00690D46"/>
    <w:rsid w:val="006A17BD"/>
    <w:rsid w:val="006A5776"/>
    <w:rsid w:val="006B4541"/>
    <w:rsid w:val="006B4808"/>
    <w:rsid w:val="006C0B53"/>
    <w:rsid w:val="006C2999"/>
    <w:rsid w:val="006C2B18"/>
    <w:rsid w:val="006D1E2B"/>
    <w:rsid w:val="006E0D98"/>
    <w:rsid w:val="006E3180"/>
    <w:rsid w:val="006E6E26"/>
    <w:rsid w:val="006E70AA"/>
    <w:rsid w:val="006F3DF3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67CB6"/>
    <w:rsid w:val="00772298"/>
    <w:rsid w:val="00776F32"/>
    <w:rsid w:val="007858DA"/>
    <w:rsid w:val="00794062"/>
    <w:rsid w:val="007944AA"/>
    <w:rsid w:val="00796333"/>
    <w:rsid w:val="00797584"/>
    <w:rsid w:val="007A2D94"/>
    <w:rsid w:val="007A41F5"/>
    <w:rsid w:val="007B2294"/>
    <w:rsid w:val="007B651A"/>
    <w:rsid w:val="007B6ED8"/>
    <w:rsid w:val="007B75E4"/>
    <w:rsid w:val="007C512C"/>
    <w:rsid w:val="007C698B"/>
    <w:rsid w:val="007D2BCD"/>
    <w:rsid w:val="007E0A46"/>
    <w:rsid w:val="007E2608"/>
    <w:rsid w:val="007F1726"/>
    <w:rsid w:val="007F1DB3"/>
    <w:rsid w:val="0080200E"/>
    <w:rsid w:val="00802C6E"/>
    <w:rsid w:val="00803A33"/>
    <w:rsid w:val="0080400E"/>
    <w:rsid w:val="008051ED"/>
    <w:rsid w:val="00810B10"/>
    <w:rsid w:val="00811775"/>
    <w:rsid w:val="008244DB"/>
    <w:rsid w:val="008248B2"/>
    <w:rsid w:val="00833F1D"/>
    <w:rsid w:val="008345AC"/>
    <w:rsid w:val="00834D88"/>
    <w:rsid w:val="00835E39"/>
    <w:rsid w:val="0084008B"/>
    <w:rsid w:val="00850FA7"/>
    <w:rsid w:val="008570D5"/>
    <w:rsid w:val="00864085"/>
    <w:rsid w:val="00873226"/>
    <w:rsid w:val="008803D0"/>
    <w:rsid w:val="00880F24"/>
    <w:rsid w:val="008836AF"/>
    <w:rsid w:val="008847B9"/>
    <w:rsid w:val="00885C9B"/>
    <w:rsid w:val="00893879"/>
    <w:rsid w:val="0089630A"/>
    <w:rsid w:val="008A2037"/>
    <w:rsid w:val="008A51FF"/>
    <w:rsid w:val="008B2172"/>
    <w:rsid w:val="008B3C0A"/>
    <w:rsid w:val="008B658A"/>
    <w:rsid w:val="008C02AE"/>
    <w:rsid w:val="008C0694"/>
    <w:rsid w:val="008C0D86"/>
    <w:rsid w:val="008D3FDF"/>
    <w:rsid w:val="008D4ED8"/>
    <w:rsid w:val="008D644E"/>
    <w:rsid w:val="008D6621"/>
    <w:rsid w:val="008D7901"/>
    <w:rsid w:val="008E5565"/>
    <w:rsid w:val="008E5BCA"/>
    <w:rsid w:val="008F1D6B"/>
    <w:rsid w:val="008F7B8A"/>
    <w:rsid w:val="009022B0"/>
    <w:rsid w:val="00905F4A"/>
    <w:rsid w:val="00912401"/>
    <w:rsid w:val="009145E4"/>
    <w:rsid w:val="0092140E"/>
    <w:rsid w:val="0092634A"/>
    <w:rsid w:val="009301D9"/>
    <w:rsid w:val="00930B94"/>
    <w:rsid w:val="00936205"/>
    <w:rsid w:val="0094346F"/>
    <w:rsid w:val="00943F02"/>
    <w:rsid w:val="00953187"/>
    <w:rsid w:val="009551E9"/>
    <w:rsid w:val="009559C3"/>
    <w:rsid w:val="00956643"/>
    <w:rsid w:val="0096333E"/>
    <w:rsid w:val="00964243"/>
    <w:rsid w:val="0096547A"/>
    <w:rsid w:val="009668EC"/>
    <w:rsid w:val="00977C3B"/>
    <w:rsid w:val="00986DE4"/>
    <w:rsid w:val="009901B5"/>
    <w:rsid w:val="00992759"/>
    <w:rsid w:val="009A0BCC"/>
    <w:rsid w:val="009A2EFA"/>
    <w:rsid w:val="009A57C5"/>
    <w:rsid w:val="009A6CD4"/>
    <w:rsid w:val="009A6E66"/>
    <w:rsid w:val="009B0211"/>
    <w:rsid w:val="009B17D8"/>
    <w:rsid w:val="009C16F8"/>
    <w:rsid w:val="009C1DE7"/>
    <w:rsid w:val="009C3639"/>
    <w:rsid w:val="009C5625"/>
    <w:rsid w:val="009C5962"/>
    <w:rsid w:val="009C74BD"/>
    <w:rsid w:val="009D0999"/>
    <w:rsid w:val="009D4530"/>
    <w:rsid w:val="009D68E1"/>
    <w:rsid w:val="009F0698"/>
    <w:rsid w:val="00A05705"/>
    <w:rsid w:val="00A07EFB"/>
    <w:rsid w:val="00A16F03"/>
    <w:rsid w:val="00A21136"/>
    <w:rsid w:val="00A3323A"/>
    <w:rsid w:val="00A343B7"/>
    <w:rsid w:val="00A37232"/>
    <w:rsid w:val="00A4535F"/>
    <w:rsid w:val="00A46C66"/>
    <w:rsid w:val="00A46FAF"/>
    <w:rsid w:val="00A52D6E"/>
    <w:rsid w:val="00A54FE7"/>
    <w:rsid w:val="00A5674A"/>
    <w:rsid w:val="00A57E7F"/>
    <w:rsid w:val="00A623EF"/>
    <w:rsid w:val="00A64F91"/>
    <w:rsid w:val="00A71AFA"/>
    <w:rsid w:val="00A72A43"/>
    <w:rsid w:val="00A7438D"/>
    <w:rsid w:val="00A74797"/>
    <w:rsid w:val="00A7601D"/>
    <w:rsid w:val="00A81984"/>
    <w:rsid w:val="00A8435B"/>
    <w:rsid w:val="00A85661"/>
    <w:rsid w:val="00A868E9"/>
    <w:rsid w:val="00A94227"/>
    <w:rsid w:val="00A9467E"/>
    <w:rsid w:val="00AA0F23"/>
    <w:rsid w:val="00AA3E2F"/>
    <w:rsid w:val="00AA46CA"/>
    <w:rsid w:val="00AA535B"/>
    <w:rsid w:val="00AA5F00"/>
    <w:rsid w:val="00AC3273"/>
    <w:rsid w:val="00AC68C4"/>
    <w:rsid w:val="00AD310D"/>
    <w:rsid w:val="00AD3D4D"/>
    <w:rsid w:val="00AD5DE0"/>
    <w:rsid w:val="00AE0807"/>
    <w:rsid w:val="00AE0BC6"/>
    <w:rsid w:val="00AE4069"/>
    <w:rsid w:val="00AE7916"/>
    <w:rsid w:val="00AF09EA"/>
    <w:rsid w:val="00AF1D6D"/>
    <w:rsid w:val="00AF24A2"/>
    <w:rsid w:val="00AF5632"/>
    <w:rsid w:val="00AF6B25"/>
    <w:rsid w:val="00B04913"/>
    <w:rsid w:val="00B07BC2"/>
    <w:rsid w:val="00B11857"/>
    <w:rsid w:val="00B13AFE"/>
    <w:rsid w:val="00B2169A"/>
    <w:rsid w:val="00B228FF"/>
    <w:rsid w:val="00B266CA"/>
    <w:rsid w:val="00B31D4D"/>
    <w:rsid w:val="00B334FD"/>
    <w:rsid w:val="00B35EDE"/>
    <w:rsid w:val="00B3616B"/>
    <w:rsid w:val="00B37633"/>
    <w:rsid w:val="00B40143"/>
    <w:rsid w:val="00B40A9E"/>
    <w:rsid w:val="00B46A4E"/>
    <w:rsid w:val="00B518C9"/>
    <w:rsid w:val="00B52EAC"/>
    <w:rsid w:val="00B54969"/>
    <w:rsid w:val="00B60439"/>
    <w:rsid w:val="00B7054D"/>
    <w:rsid w:val="00B80B9E"/>
    <w:rsid w:val="00B838DA"/>
    <w:rsid w:val="00B83FD9"/>
    <w:rsid w:val="00B86E3A"/>
    <w:rsid w:val="00B90E28"/>
    <w:rsid w:val="00BA017F"/>
    <w:rsid w:val="00BC1BC6"/>
    <w:rsid w:val="00BD5117"/>
    <w:rsid w:val="00BD535F"/>
    <w:rsid w:val="00BE6E64"/>
    <w:rsid w:val="00BF31B7"/>
    <w:rsid w:val="00BF4F99"/>
    <w:rsid w:val="00BF502C"/>
    <w:rsid w:val="00BF7937"/>
    <w:rsid w:val="00C03116"/>
    <w:rsid w:val="00C10048"/>
    <w:rsid w:val="00C24077"/>
    <w:rsid w:val="00C30E9B"/>
    <w:rsid w:val="00C410C3"/>
    <w:rsid w:val="00C424FC"/>
    <w:rsid w:val="00C51ECC"/>
    <w:rsid w:val="00C600D9"/>
    <w:rsid w:val="00C64BD2"/>
    <w:rsid w:val="00C67ADA"/>
    <w:rsid w:val="00C810E8"/>
    <w:rsid w:val="00C82ECB"/>
    <w:rsid w:val="00C847C2"/>
    <w:rsid w:val="00C941AA"/>
    <w:rsid w:val="00C94B18"/>
    <w:rsid w:val="00C95B69"/>
    <w:rsid w:val="00C97F03"/>
    <w:rsid w:val="00CA2759"/>
    <w:rsid w:val="00CA6613"/>
    <w:rsid w:val="00CC4D63"/>
    <w:rsid w:val="00CC64A7"/>
    <w:rsid w:val="00CC69AD"/>
    <w:rsid w:val="00CE069D"/>
    <w:rsid w:val="00CF1664"/>
    <w:rsid w:val="00CF5A8A"/>
    <w:rsid w:val="00CF6BC5"/>
    <w:rsid w:val="00D01278"/>
    <w:rsid w:val="00D12AB1"/>
    <w:rsid w:val="00D23B36"/>
    <w:rsid w:val="00D26CE2"/>
    <w:rsid w:val="00D27AEB"/>
    <w:rsid w:val="00D27EE3"/>
    <w:rsid w:val="00D37E75"/>
    <w:rsid w:val="00D44C7C"/>
    <w:rsid w:val="00D47F69"/>
    <w:rsid w:val="00D53BAE"/>
    <w:rsid w:val="00D57781"/>
    <w:rsid w:val="00D57DBA"/>
    <w:rsid w:val="00D57EBC"/>
    <w:rsid w:val="00D604A8"/>
    <w:rsid w:val="00D71F76"/>
    <w:rsid w:val="00D77095"/>
    <w:rsid w:val="00D80573"/>
    <w:rsid w:val="00D84404"/>
    <w:rsid w:val="00D87050"/>
    <w:rsid w:val="00D91C32"/>
    <w:rsid w:val="00D94BB1"/>
    <w:rsid w:val="00D954C0"/>
    <w:rsid w:val="00D961C9"/>
    <w:rsid w:val="00D97B80"/>
    <w:rsid w:val="00DA1D73"/>
    <w:rsid w:val="00DB2761"/>
    <w:rsid w:val="00DB2FF6"/>
    <w:rsid w:val="00DB524F"/>
    <w:rsid w:val="00DC1C3E"/>
    <w:rsid w:val="00DC6DC6"/>
    <w:rsid w:val="00DD0E0C"/>
    <w:rsid w:val="00DD7765"/>
    <w:rsid w:val="00DE3C70"/>
    <w:rsid w:val="00DE522D"/>
    <w:rsid w:val="00E0710B"/>
    <w:rsid w:val="00E120B6"/>
    <w:rsid w:val="00E23955"/>
    <w:rsid w:val="00E3548D"/>
    <w:rsid w:val="00E36DF6"/>
    <w:rsid w:val="00E417DF"/>
    <w:rsid w:val="00E42BC6"/>
    <w:rsid w:val="00E45218"/>
    <w:rsid w:val="00E47327"/>
    <w:rsid w:val="00E5224C"/>
    <w:rsid w:val="00E70A4F"/>
    <w:rsid w:val="00E736B8"/>
    <w:rsid w:val="00E7385D"/>
    <w:rsid w:val="00E774D9"/>
    <w:rsid w:val="00E86579"/>
    <w:rsid w:val="00E90A19"/>
    <w:rsid w:val="00E92DC0"/>
    <w:rsid w:val="00E974F8"/>
    <w:rsid w:val="00EA79DA"/>
    <w:rsid w:val="00EC37FE"/>
    <w:rsid w:val="00EC5358"/>
    <w:rsid w:val="00EC636E"/>
    <w:rsid w:val="00EC7E55"/>
    <w:rsid w:val="00ED0EA6"/>
    <w:rsid w:val="00ED14FA"/>
    <w:rsid w:val="00ED6F93"/>
    <w:rsid w:val="00EE00A4"/>
    <w:rsid w:val="00EE1B4C"/>
    <w:rsid w:val="00EE7CB8"/>
    <w:rsid w:val="00EF16FB"/>
    <w:rsid w:val="00EF34E6"/>
    <w:rsid w:val="00EF428F"/>
    <w:rsid w:val="00F02216"/>
    <w:rsid w:val="00F0291C"/>
    <w:rsid w:val="00F04AB6"/>
    <w:rsid w:val="00F101DD"/>
    <w:rsid w:val="00F14193"/>
    <w:rsid w:val="00F14D59"/>
    <w:rsid w:val="00F1745F"/>
    <w:rsid w:val="00F20CCE"/>
    <w:rsid w:val="00F2101B"/>
    <w:rsid w:val="00F333E6"/>
    <w:rsid w:val="00F34AF4"/>
    <w:rsid w:val="00F3614E"/>
    <w:rsid w:val="00F54AAB"/>
    <w:rsid w:val="00F56870"/>
    <w:rsid w:val="00F576E0"/>
    <w:rsid w:val="00F6440C"/>
    <w:rsid w:val="00F7182A"/>
    <w:rsid w:val="00F71FD6"/>
    <w:rsid w:val="00F8302C"/>
    <w:rsid w:val="00F901CF"/>
    <w:rsid w:val="00F906EF"/>
    <w:rsid w:val="00F913ED"/>
    <w:rsid w:val="00F95DD4"/>
    <w:rsid w:val="00FB1CCD"/>
    <w:rsid w:val="00FB33FD"/>
    <w:rsid w:val="00FB5E84"/>
    <w:rsid w:val="00FB645E"/>
    <w:rsid w:val="00FC35ED"/>
    <w:rsid w:val="00FD0B8B"/>
    <w:rsid w:val="00FD6CD9"/>
    <w:rsid w:val="00FD7E19"/>
    <w:rsid w:val="00FE20D9"/>
    <w:rsid w:val="00FE344A"/>
    <w:rsid w:val="00FE6B3A"/>
    <w:rsid w:val="00FF69E5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313BE7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2A4B"/>
  <w15:chartTrackingRefBased/>
  <w15:docId w15:val="{12BEF550-E1BA-46CD-956E-9E1F243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Revision">
    <w:name w:val="Revision"/>
    <w:hidden/>
    <w:uiPriority w:val="99"/>
    <w:unhideWhenUsed/>
    <w:rsid w:val="00A343B7"/>
    <w:rPr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HSF">
  <a:themeElements>
    <a:clrScheme name="HSF Brand">
      <a:dk1>
        <a:sysClr val="windowText" lastClr="000000"/>
      </a:dk1>
      <a:lt1>
        <a:sysClr val="window" lastClr="FFFFFF"/>
      </a:lt1>
      <a:dk2>
        <a:srgbClr val="1C3E78"/>
      </a:dk2>
      <a:lt2>
        <a:srgbClr val="A4A6A8"/>
      </a:lt2>
      <a:accent1>
        <a:srgbClr val="1C3E78"/>
      </a:accent1>
      <a:accent2>
        <a:srgbClr val="40AAB8"/>
      </a:accent2>
      <a:accent3>
        <a:srgbClr val="FFC72C"/>
      </a:accent3>
      <a:accent4>
        <a:srgbClr val="A24381"/>
      </a:accent4>
      <a:accent5>
        <a:srgbClr val="235BA8"/>
      </a:accent5>
      <a:accent6>
        <a:srgbClr val="F65058"/>
      </a:accent6>
      <a:hlink>
        <a:srgbClr val="235BA8"/>
      </a:hlink>
      <a:folHlink>
        <a:srgbClr val="A4A6A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lIns="72000" tIns="72000" rIns="72000" bIns="72000" rtlCol="0" anchor="ctr"/>
      <a:lstStyle>
        <a:defPPr algn="ctr">
          <a:lnSpc>
            <a:spcPct val="90000"/>
          </a:lnSpc>
          <a:spcAft>
            <a:spcPts val="600"/>
          </a:spcAft>
          <a:defRPr sz="24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</a:spPr>
      <a:bodyPr wrap="square" lIns="72000" tIns="72000" rIns="72000" bIns="72000" rtlCol="0" anchor="t" anchorCtr="0">
        <a:noAutofit/>
      </a:bodyPr>
      <a:lstStyle>
        <a:defPPr>
          <a:lnSpc>
            <a:spcPct val="90000"/>
          </a:lnSpc>
          <a:spcAft>
            <a:spcPts val="600"/>
          </a:spcAft>
          <a:defRPr sz="2400"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101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Herbert Smith Freehills Kewei</cp:lastModifiedBy>
  <cp:revision>116</cp:revision>
  <cp:lastPrinted>2024-06-04T02:21:00Z</cp:lastPrinted>
  <dcterms:created xsi:type="dcterms:W3CDTF">2023-12-18T06:20:00Z</dcterms:created>
  <dcterms:modified xsi:type="dcterms:W3CDTF">2024-06-17T00:34:00Z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GrammarlyDocumentId">
    <vt:lpwstr>4f089b5b77e6ba067f5fab36f79c7089fafa208a929140029906eacfd0ec0264</vt:lpwstr>
  </property>
</Properties>
</file>