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47558" w14:textId="61B8DF75" w:rsidR="0025066F" w:rsidRPr="003662FD" w:rsidRDefault="00C77246" w:rsidP="00642395">
      <w:pPr>
        <w:jc w:val="center"/>
        <w:rPr>
          <w:rFonts w:ascii="黑体" w:eastAsia="黑体" w:hAnsi="黑体"/>
          <w:b/>
          <w:sz w:val="36"/>
          <w:szCs w:val="36"/>
        </w:rPr>
      </w:pPr>
      <w:r w:rsidRPr="003662FD">
        <w:rPr>
          <w:rFonts w:ascii="黑体" w:eastAsia="黑体" w:hAnsi="黑体"/>
          <w:b/>
          <w:sz w:val="36"/>
          <w:szCs w:val="36"/>
        </w:rPr>
        <w:t>经营者集中简易案件公示表</w:t>
      </w:r>
    </w:p>
    <w:p w14:paraId="0C6163A0" w14:textId="77777777" w:rsidR="00C77246" w:rsidRPr="00B945D9" w:rsidRDefault="00C77246" w:rsidP="00642395">
      <w:pPr>
        <w:jc w:val="center"/>
        <w:rPr>
          <w:rFonts w:ascii="Times New Roman" w:hAnsi="Times New Roman"/>
          <w:sz w:val="28"/>
          <w:szCs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126"/>
        <w:gridCol w:w="4794"/>
      </w:tblGrid>
      <w:tr w:rsidR="0025066F" w:rsidRPr="00933F38" w14:paraId="578A9BD6" w14:textId="77777777" w:rsidTr="003269BC">
        <w:tc>
          <w:tcPr>
            <w:tcW w:w="1838" w:type="dxa"/>
            <w:shd w:val="clear" w:color="auto" w:fill="D9D9D9"/>
          </w:tcPr>
          <w:p w14:paraId="59616BE1" w14:textId="275BAA6D" w:rsidR="0025066F" w:rsidRPr="00A66496" w:rsidRDefault="00C77246" w:rsidP="003231CB">
            <w:pPr>
              <w:snapToGrid w:val="0"/>
              <w:rPr>
                <w:rFonts w:ascii="宋体" w:hAnsi="宋体"/>
                <w:sz w:val="24"/>
                <w:szCs w:val="24"/>
              </w:rPr>
            </w:pPr>
            <w:r w:rsidRPr="00A66496">
              <w:rPr>
                <w:rFonts w:ascii="宋体" w:hAnsi="宋体"/>
                <w:color w:val="333333"/>
                <w:kern w:val="0"/>
                <w:sz w:val="24"/>
                <w:szCs w:val="24"/>
              </w:rPr>
              <w:t>案件名称</w:t>
            </w:r>
          </w:p>
        </w:tc>
        <w:tc>
          <w:tcPr>
            <w:tcW w:w="6920" w:type="dxa"/>
            <w:gridSpan w:val="2"/>
          </w:tcPr>
          <w:p w14:paraId="09748E7A" w14:textId="336A1854" w:rsidR="0025066F" w:rsidRPr="00A66496" w:rsidRDefault="00BA621D" w:rsidP="003231CB">
            <w:pPr>
              <w:snapToGrid w:val="0"/>
              <w:rPr>
                <w:rFonts w:ascii="宋体" w:hAnsi="宋体"/>
                <w:sz w:val="24"/>
                <w:szCs w:val="24"/>
              </w:rPr>
            </w:pPr>
            <w:r w:rsidRPr="00BA621D">
              <w:rPr>
                <w:rFonts w:ascii="宋体" w:hAnsi="宋体" w:hint="eastAsia"/>
                <w:sz w:val="24"/>
                <w:szCs w:val="24"/>
              </w:rPr>
              <w:t>全球基础设施投资第五有限公司</w:t>
            </w:r>
            <w:r w:rsidR="003120A7" w:rsidRPr="00A66496">
              <w:rPr>
                <w:rFonts w:ascii="宋体" w:hAnsi="宋体" w:hint="eastAsia"/>
                <w:sz w:val="24"/>
                <w:szCs w:val="24"/>
              </w:rPr>
              <w:t>与加拿大养老金计划投资委员会收购埃立</w:t>
            </w:r>
            <w:proofErr w:type="gramStart"/>
            <w:r w:rsidR="003120A7" w:rsidRPr="00A66496">
              <w:rPr>
                <w:rFonts w:ascii="宋体" w:hAnsi="宋体" w:hint="eastAsia"/>
                <w:sz w:val="24"/>
                <w:szCs w:val="24"/>
              </w:rPr>
              <w:t>特</w:t>
            </w:r>
            <w:proofErr w:type="gramEnd"/>
            <w:r w:rsidR="003120A7" w:rsidRPr="00A66496">
              <w:rPr>
                <w:rFonts w:ascii="宋体" w:hAnsi="宋体" w:hint="eastAsia"/>
                <w:sz w:val="24"/>
                <w:szCs w:val="24"/>
              </w:rPr>
              <w:t>公司股权案</w:t>
            </w:r>
          </w:p>
        </w:tc>
      </w:tr>
      <w:tr w:rsidR="0025066F" w:rsidRPr="00A66496" w14:paraId="10D20590" w14:textId="77777777" w:rsidTr="003269BC">
        <w:trPr>
          <w:trHeight w:val="993"/>
        </w:trPr>
        <w:tc>
          <w:tcPr>
            <w:tcW w:w="1838" w:type="dxa"/>
            <w:shd w:val="clear" w:color="auto" w:fill="D9D9D9"/>
          </w:tcPr>
          <w:p w14:paraId="56A58A34" w14:textId="77777777" w:rsidR="00C77246" w:rsidRPr="00A66496" w:rsidRDefault="00C77246" w:rsidP="003231CB">
            <w:pPr>
              <w:snapToGrid w:val="0"/>
              <w:rPr>
                <w:rFonts w:ascii="宋体" w:hAnsi="宋体"/>
                <w:color w:val="333333"/>
                <w:kern w:val="0"/>
                <w:sz w:val="24"/>
                <w:szCs w:val="24"/>
              </w:rPr>
            </w:pPr>
            <w:r w:rsidRPr="00A66496">
              <w:rPr>
                <w:rFonts w:ascii="宋体" w:hAnsi="宋体"/>
                <w:color w:val="333333"/>
                <w:kern w:val="0"/>
                <w:sz w:val="24"/>
                <w:szCs w:val="24"/>
              </w:rPr>
              <w:t>交易概况</w:t>
            </w:r>
          </w:p>
          <w:p w14:paraId="7B893F73" w14:textId="27B3D963" w:rsidR="0025066F" w:rsidRPr="00A66496" w:rsidRDefault="00C77246" w:rsidP="003231CB">
            <w:pPr>
              <w:snapToGrid w:val="0"/>
              <w:rPr>
                <w:rFonts w:ascii="宋体" w:hAnsi="宋体"/>
                <w:sz w:val="24"/>
                <w:szCs w:val="24"/>
              </w:rPr>
            </w:pPr>
            <w:r w:rsidRPr="00A66496">
              <w:rPr>
                <w:rFonts w:ascii="宋体" w:hAnsi="宋体"/>
                <w:color w:val="333333"/>
                <w:kern w:val="0"/>
                <w:sz w:val="24"/>
                <w:szCs w:val="24"/>
              </w:rPr>
              <w:t>（限200字内）</w:t>
            </w:r>
          </w:p>
        </w:tc>
        <w:tc>
          <w:tcPr>
            <w:tcW w:w="6920" w:type="dxa"/>
            <w:gridSpan w:val="2"/>
          </w:tcPr>
          <w:p w14:paraId="108BCFD5" w14:textId="6BC9C29E" w:rsidR="00AD4852" w:rsidRPr="00A66496" w:rsidRDefault="00AD4852" w:rsidP="000B1521">
            <w:pPr>
              <w:snapToGrid w:val="0"/>
              <w:rPr>
                <w:rFonts w:ascii="宋体" w:hAnsi="宋体"/>
                <w:sz w:val="24"/>
                <w:szCs w:val="24"/>
                <w:lang w:val="en-GB"/>
              </w:rPr>
            </w:pPr>
            <w:r w:rsidRPr="00AD4852">
              <w:rPr>
                <w:rFonts w:ascii="宋体" w:hAnsi="宋体" w:hint="eastAsia"/>
                <w:sz w:val="24"/>
                <w:szCs w:val="24"/>
                <w:lang w:val="en-GB"/>
              </w:rPr>
              <w:t>本交易涉及</w:t>
            </w:r>
            <w:r w:rsidR="00D556CE" w:rsidRPr="00A66496">
              <w:rPr>
                <w:rFonts w:ascii="宋体" w:hAnsi="宋体" w:hint="eastAsia"/>
                <w:sz w:val="24"/>
                <w:szCs w:val="24"/>
              </w:rPr>
              <w:t>全球基础设施</w:t>
            </w:r>
            <w:r w:rsidR="00D556CE">
              <w:rPr>
                <w:rFonts w:ascii="宋体" w:hAnsi="宋体" w:hint="eastAsia"/>
                <w:sz w:val="24"/>
                <w:szCs w:val="24"/>
              </w:rPr>
              <w:t>合伙基金旗下</w:t>
            </w:r>
            <w:r w:rsidR="008A729C">
              <w:rPr>
                <w:rFonts w:ascii="宋体" w:hAnsi="宋体" w:hint="eastAsia"/>
                <w:sz w:val="24"/>
                <w:szCs w:val="24"/>
              </w:rPr>
              <w:t>基金（</w:t>
            </w:r>
            <w:r w:rsidR="003269BC" w:rsidRPr="00DD2C65">
              <w:rPr>
                <w:rFonts w:ascii="宋体" w:hAnsi="宋体"/>
                <w:sz w:val="24"/>
                <w:szCs w:val="24"/>
              </w:rPr>
              <w:t>Global Infrastructure Partners</w:t>
            </w:r>
            <w:r w:rsidR="003269BC">
              <w:rPr>
                <w:rFonts w:ascii="宋体" w:hAnsi="宋体" w:hint="eastAsia"/>
                <w:sz w:val="24"/>
                <w:szCs w:val="24"/>
              </w:rPr>
              <w:t xml:space="preserve"> funds,</w:t>
            </w:r>
            <w:r w:rsidR="008A729C">
              <w:rPr>
                <w:rFonts w:ascii="宋体" w:hAnsi="宋体" w:hint="eastAsia"/>
                <w:sz w:val="24"/>
                <w:szCs w:val="24"/>
              </w:rPr>
              <w:t>“</w:t>
            </w:r>
            <w:r w:rsidR="008A729C" w:rsidRPr="00A97572">
              <w:rPr>
                <w:rFonts w:ascii="宋体" w:hAnsi="宋体" w:hint="eastAsia"/>
                <w:b/>
                <w:bCs/>
                <w:sz w:val="24"/>
                <w:szCs w:val="24"/>
              </w:rPr>
              <w:t>GIP基金</w:t>
            </w:r>
            <w:r w:rsidR="008A729C" w:rsidRPr="00855FA9">
              <w:rPr>
                <w:rFonts w:ascii="宋体" w:hAnsi="宋体" w:hint="eastAsia"/>
                <w:sz w:val="24"/>
                <w:szCs w:val="24"/>
              </w:rPr>
              <w:t>”</w:t>
            </w:r>
            <w:r w:rsidR="008A729C" w:rsidRPr="006B1B2E">
              <w:rPr>
                <w:rFonts w:ascii="宋体" w:hAnsi="宋体" w:hint="eastAsia"/>
                <w:sz w:val="24"/>
                <w:szCs w:val="24"/>
              </w:rPr>
              <w:t>，其最终普通合伙人为</w:t>
            </w:r>
            <w:r w:rsidR="00A97572" w:rsidRPr="006B1B2E">
              <w:rPr>
                <w:rFonts w:ascii="宋体" w:hAnsi="宋体" w:hint="eastAsia"/>
                <w:sz w:val="24"/>
                <w:szCs w:val="24"/>
              </w:rPr>
              <w:t>全球基础设施</w:t>
            </w:r>
            <w:r w:rsidR="00A97572" w:rsidRPr="00A66496">
              <w:rPr>
                <w:rFonts w:ascii="宋体" w:hAnsi="宋体" w:hint="eastAsia"/>
                <w:sz w:val="24"/>
                <w:szCs w:val="24"/>
              </w:rPr>
              <w:t>投资第五有限公司（“</w:t>
            </w:r>
            <w:r w:rsidR="00A97572" w:rsidRPr="00462731">
              <w:rPr>
                <w:rFonts w:ascii="宋体" w:hAnsi="宋体" w:hint="eastAsia"/>
                <w:b/>
                <w:bCs/>
                <w:sz w:val="24"/>
                <w:szCs w:val="24"/>
              </w:rPr>
              <w:t>GIP V</w:t>
            </w:r>
            <w:r w:rsidR="00A97572" w:rsidRPr="00A66496">
              <w:rPr>
                <w:rFonts w:ascii="宋体" w:hAnsi="宋体" w:hint="eastAsia"/>
                <w:sz w:val="24"/>
                <w:szCs w:val="24"/>
              </w:rPr>
              <w:t>”）</w:t>
            </w:r>
            <w:r w:rsidR="008A729C">
              <w:rPr>
                <w:rFonts w:ascii="宋体" w:hAnsi="宋体" w:hint="eastAsia"/>
                <w:sz w:val="24"/>
                <w:szCs w:val="24"/>
              </w:rPr>
              <w:t>）</w:t>
            </w:r>
            <w:r w:rsidR="00A97572" w:rsidRPr="00A97572">
              <w:rPr>
                <w:rFonts w:ascii="宋体" w:hAnsi="宋体" w:hint="eastAsia"/>
                <w:sz w:val="24"/>
                <w:szCs w:val="24"/>
              </w:rPr>
              <w:t>及其</w:t>
            </w:r>
            <w:r w:rsidR="00D44961">
              <w:rPr>
                <w:rFonts w:ascii="宋体" w:hAnsi="宋体" w:hint="eastAsia"/>
                <w:sz w:val="24"/>
                <w:szCs w:val="24"/>
              </w:rPr>
              <w:t>投资管理</w:t>
            </w:r>
            <w:proofErr w:type="gramStart"/>
            <w:r w:rsidR="00D44961">
              <w:rPr>
                <w:rFonts w:ascii="宋体" w:hAnsi="宋体" w:hint="eastAsia"/>
                <w:sz w:val="24"/>
                <w:szCs w:val="24"/>
              </w:rPr>
              <w:t>人</w:t>
            </w:r>
            <w:r w:rsidR="00A97572" w:rsidRPr="00A66496">
              <w:rPr>
                <w:rFonts w:ascii="宋体" w:hAnsi="宋体" w:hint="eastAsia"/>
                <w:sz w:val="24"/>
                <w:szCs w:val="24"/>
              </w:rPr>
              <w:t>全球</w:t>
            </w:r>
            <w:proofErr w:type="gramEnd"/>
            <w:r w:rsidR="00A97572" w:rsidRPr="00A66496">
              <w:rPr>
                <w:rFonts w:ascii="宋体" w:hAnsi="宋体" w:hint="eastAsia"/>
                <w:sz w:val="24"/>
                <w:szCs w:val="24"/>
              </w:rPr>
              <w:t>基础设施管理有限公司（Global Infrastructure Management, LLC，“</w:t>
            </w:r>
            <w:r w:rsidR="00A97572" w:rsidRPr="00A66496">
              <w:rPr>
                <w:rFonts w:ascii="宋体" w:hAnsi="宋体" w:hint="eastAsia"/>
                <w:b/>
                <w:bCs/>
                <w:sz w:val="24"/>
                <w:szCs w:val="24"/>
              </w:rPr>
              <w:t>GIM</w:t>
            </w:r>
            <w:r w:rsidR="00A97572" w:rsidRPr="00A66496">
              <w:rPr>
                <w:rFonts w:ascii="宋体" w:hAnsi="宋体" w:hint="eastAsia"/>
                <w:sz w:val="24"/>
                <w:szCs w:val="24"/>
              </w:rPr>
              <w:t>”）</w:t>
            </w:r>
            <w:r w:rsidR="00A97572">
              <w:rPr>
                <w:rFonts w:ascii="宋体" w:hAnsi="宋体" w:hint="eastAsia"/>
                <w:sz w:val="24"/>
                <w:szCs w:val="24"/>
              </w:rPr>
              <w:t>与</w:t>
            </w:r>
            <w:r w:rsidR="00A97572" w:rsidRPr="00A66496">
              <w:rPr>
                <w:rFonts w:ascii="宋体" w:hAnsi="宋体" w:hint="eastAsia"/>
                <w:sz w:val="24"/>
                <w:szCs w:val="24"/>
                <w:lang w:val="en-GB"/>
              </w:rPr>
              <w:t>加拿大养老金计划投资委员会（“</w:t>
            </w:r>
            <w:r w:rsidR="00A97572" w:rsidRPr="00A66496">
              <w:rPr>
                <w:rFonts w:ascii="宋体" w:hAnsi="宋体" w:hint="eastAsia"/>
                <w:b/>
                <w:bCs/>
                <w:sz w:val="24"/>
                <w:szCs w:val="24"/>
                <w:lang w:val="en-GB"/>
              </w:rPr>
              <w:t>CPP Investments</w:t>
            </w:r>
            <w:r w:rsidR="00A97572" w:rsidRPr="00A66496">
              <w:rPr>
                <w:rFonts w:ascii="宋体" w:hAnsi="宋体" w:hint="eastAsia"/>
                <w:sz w:val="24"/>
                <w:szCs w:val="24"/>
                <w:lang w:val="en-GB"/>
              </w:rPr>
              <w:t>”）</w:t>
            </w:r>
            <w:r w:rsidRPr="00AD4852">
              <w:rPr>
                <w:rFonts w:ascii="宋体" w:hAnsi="宋体" w:hint="eastAsia"/>
                <w:sz w:val="24"/>
                <w:szCs w:val="24"/>
                <w:lang w:val="en-GB"/>
              </w:rPr>
              <w:t>共同领衔的投资者合伙</w:t>
            </w:r>
            <w:r w:rsidR="00A97572">
              <w:rPr>
                <w:rFonts w:ascii="宋体" w:hAnsi="宋体" w:hint="eastAsia"/>
                <w:sz w:val="24"/>
                <w:szCs w:val="24"/>
                <w:lang w:val="en-GB"/>
              </w:rPr>
              <w:t>间接</w:t>
            </w:r>
            <w:r w:rsidRPr="00AD4852">
              <w:rPr>
                <w:rFonts w:ascii="宋体" w:hAnsi="宋体" w:hint="eastAsia"/>
                <w:sz w:val="24"/>
                <w:szCs w:val="24"/>
                <w:lang w:val="en-GB"/>
              </w:rPr>
              <w:t>收购</w:t>
            </w:r>
            <w:r w:rsidR="00A97572" w:rsidRPr="00A66496">
              <w:rPr>
                <w:rFonts w:ascii="宋体" w:hAnsi="宋体" w:hint="eastAsia"/>
                <w:sz w:val="24"/>
                <w:szCs w:val="24"/>
                <w:lang w:val="en-GB"/>
              </w:rPr>
              <w:t>埃立</w:t>
            </w:r>
            <w:proofErr w:type="gramStart"/>
            <w:r w:rsidR="00A97572" w:rsidRPr="00A66496">
              <w:rPr>
                <w:rFonts w:ascii="宋体" w:hAnsi="宋体" w:hint="eastAsia"/>
                <w:sz w:val="24"/>
                <w:szCs w:val="24"/>
                <w:lang w:val="en-GB"/>
              </w:rPr>
              <w:t>特</w:t>
            </w:r>
            <w:proofErr w:type="gramEnd"/>
            <w:r w:rsidR="00A97572" w:rsidRPr="00A66496">
              <w:rPr>
                <w:rFonts w:ascii="宋体" w:hAnsi="宋体" w:hint="eastAsia"/>
                <w:sz w:val="24"/>
                <w:szCs w:val="24"/>
                <w:lang w:val="en-GB"/>
              </w:rPr>
              <w:t>公司（“</w:t>
            </w:r>
            <w:r w:rsidR="00A97572" w:rsidRPr="00A66496">
              <w:rPr>
                <w:rFonts w:ascii="宋体" w:hAnsi="宋体" w:hint="eastAsia"/>
                <w:b/>
                <w:bCs/>
                <w:sz w:val="24"/>
                <w:szCs w:val="24"/>
                <w:lang w:val="en-GB"/>
              </w:rPr>
              <w:t>埃立特</w:t>
            </w:r>
            <w:r w:rsidR="00A97572" w:rsidRPr="00A66496">
              <w:rPr>
                <w:rFonts w:ascii="宋体" w:hAnsi="宋体" w:hint="eastAsia"/>
                <w:sz w:val="24"/>
                <w:szCs w:val="24"/>
                <w:lang w:val="en-GB"/>
              </w:rPr>
              <w:t>”）</w:t>
            </w:r>
            <w:r w:rsidR="00A97572">
              <w:rPr>
                <w:rFonts w:ascii="宋体" w:hAnsi="宋体" w:hint="eastAsia"/>
                <w:sz w:val="24"/>
                <w:szCs w:val="24"/>
                <w:lang w:val="en-GB"/>
              </w:rPr>
              <w:t>股权事宜</w:t>
            </w:r>
            <w:r w:rsidRPr="00AD4852">
              <w:rPr>
                <w:rFonts w:ascii="宋体" w:hAnsi="宋体" w:hint="eastAsia"/>
                <w:sz w:val="24"/>
                <w:szCs w:val="24"/>
                <w:lang w:val="en-GB"/>
              </w:rPr>
              <w:t>。</w:t>
            </w:r>
          </w:p>
          <w:p w14:paraId="0D6CC919" w14:textId="77777777" w:rsidR="00802A2F" w:rsidRPr="00A97572" w:rsidRDefault="00802A2F" w:rsidP="003231CB">
            <w:pPr>
              <w:snapToGrid w:val="0"/>
              <w:rPr>
                <w:rFonts w:ascii="宋体" w:hAnsi="宋体"/>
                <w:sz w:val="24"/>
                <w:szCs w:val="24"/>
                <w:lang w:val="en-GB"/>
              </w:rPr>
            </w:pPr>
          </w:p>
          <w:p w14:paraId="42DF6FD5" w14:textId="7694866D" w:rsidR="00802A2F" w:rsidRPr="00A66496" w:rsidRDefault="00393CC4" w:rsidP="003231CB">
            <w:pPr>
              <w:snapToGrid w:val="0"/>
              <w:rPr>
                <w:rFonts w:ascii="宋体" w:hAnsi="宋体"/>
                <w:sz w:val="24"/>
                <w:szCs w:val="24"/>
                <w:lang w:val="en-GB"/>
              </w:rPr>
            </w:pPr>
            <w:proofErr w:type="gramStart"/>
            <w:r w:rsidRPr="001A3FBB">
              <w:rPr>
                <w:rFonts w:ascii="宋体" w:hAnsi="宋体" w:hint="eastAsia"/>
                <w:sz w:val="24"/>
                <w:szCs w:val="24"/>
              </w:rPr>
              <w:t>埃立特</w:t>
            </w:r>
            <w:proofErr w:type="gramEnd"/>
            <w:r w:rsidRPr="001A3FBB">
              <w:rPr>
                <w:rFonts w:ascii="宋体" w:hAnsi="宋体" w:hint="eastAsia"/>
                <w:sz w:val="24"/>
                <w:szCs w:val="24"/>
              </w:rPr>
              <w:t>在美国从事电力生产、输送及配送、天然气分销、水收集、处理和供应以及褐煤开采业务。</w:t>
            </w:r>
            <w:r w:rsidR="00802A2F" w:rsidRPr="00A66496">
              <w:rPr>
                <w:rFonts w:ascii="宋体" w:hAnsi="宋体" w:hint="eastAsia"/>
                <w:sz w:val="24"/>
                <w:szCs w:val="24"/>
                <w:lang w:val="en-GB"/>
              </w:rPr>
              <w:t>交易前，</w:t>
            </w:r>
            <w:proofErr w:type="gramStart"/>
            <w:r w:rsidR="00532B4A" w:rsidRPr="00A66496">
              <w:rPr>
                <w:rFonts w:ascii="宋体" w:hAnsi="宋体" w:hint="eastAsia"/>
                <w:sz w:val="24"/>
                <w:szCs w:val="24"/>
                <w:lang w:val="en-GB"/>
              </w:rPr>
              <w:t>埃立特</w:t>
            </w:r>
            <w:proofErr w:type="gramEnd"/>
            <w:r w:rsidR="00532B4A" w:rsidRPr="00A66496">
              <w:rPr>
                <w:rFonts w:ascii="宋体" w:hAnsi="宋体" w:hint="eastAsia"/>
                <w:sz w:val="24"/>
                <w:szCs w:val="24"/>
                <w:lang w:val="en-GB"/>
              </w:rPr>
              <w:t>是一家上市公司且</w:t>
            </w:r>
            <w:proofErr w:type="gramStart"/>
            <w:r w:rsidR="00532B4A" w:rsidRPr="00A66496">
              <w:rPr>
                <w:rFonts w:ascii="宋体" w:hAnsi="宋体" w:hint="eastAsia"/>
                <w:sz w:val="24"/>
                <w:szCs w:val="24"/>
                <w:lang w:val="en-GB"/>
              </w:rPr>
              <w:t>无最终</w:t>
            </w:r>
            <w:proofErr w:type="gramEnd"/>
            <w:r w:rsidR="00532B4A" w:rsidRPr="00A66496">
              <w:rPr>
                <w:rFonts w:ascii="宋体" w:hAnsi="宋体" w:hint="eastAsia"/>
                <w:sz w:val="24"/>
                <w:szCs w:val="24"/>
                <w:lang w:val="en-GB"/>
              </w:rPr>
              <w:t>控制人</w:t>
            </w:r>
            <w:r w:rsidR="00310696" w:rsidRPr="00A66496">
              <w:rPr>
                <w:rFonts w:ascii="宋体" w:hAnsi="宋体" w:hint="eastAsia"/>
                <w:sz w:val="24"/>
                <w:szCs w:val="24"/>
                <w:lang w:val="en-GB"/>
              </w:rPr>
              <w:t>。交易后，</w:t>
            </w:r>
            <w:r w:rsidR="00A17B8C" w:rsidRPr="00A66496">
              <w:rPr>
                <w:rFonts w:ascii="宋体" w:hAnsi="宋体" w:hint="eastAsia"/>
                <w:sz w:val="24"/>
                <w:szCs w:val="24"/>
                <w:lang w:val="en-GB"/>
              </w:rPr>
              <w:t>GI</w:t>
            </w:r>
            <w:r w:rsidR="00A97572">
              <w:rPr>
                <w:rFonts w:ascii="宋体" w:hAnsi="宋体" w:hint="eastAsia"/>
                <w:sz w:val="24"/>
                <w:szCs w:val="24"/>
                <w:lang w:val="en-GB"/>
              </w:rPr>
              <w:t>P基金</w:t>
            </w:r>
            <w:r w:rsidR="00A17B8C" w:rsidRPr="00A66496">
              <w:rPr>
                <w:rFonts w:ascii="宋体" w:hAnsi="宋体" w:hint="eastAsia"/>
                <w:sz w:val="24"/>
                <w:szCs w:val="24"/>
                <w:lang w:val="en-GB"/>
              </w:rPr>
              <w:t>将间接持有</w:t>
            </w:r>
            <w:r w:rsidR="0070516D" w:rsidRPr="00A66496">
              <w:rPr>
                <w:rFonts w:ascii="宋体" w:hAnsi="宋体" w:hint="eastAsia"/>
                <w:sz w:val="24"/>
                <w:szCs w:val="24"/>
                <w:lang w:val="en-GB"/>
              </w:rPr>
              <w:t>埃立特60%的</w:t>
            </w:r>
            <w:r w:rsidR="00A97572">
              <w:rPr>
                <w:rFonts w:ascii="宋体" w:hAnsi="宋体" w:hint="eastAsia"/>
                <w:sz w:val="24"/>
                <w:szCs w:val="24"/>
                <w:lang w:val="en-GB"/>
              </w:rPr>
              <w:t>股权</w:t>
            </w:r>
            <w:r w:rsidR="0070516D" w:rsidRPr="00A66496">
              <w:rPr>
                <w:rFonts w:ascii="宋体" w:hAnsi="宋体" w:hint="eastAsia"/>
                <w:sz w:val="24"/>
                <w:szCs w:val="24"/>
                <w:lang w:val="en-GB"/>
              </w:rPr>
              <w:t>，CPP Investments将间接持有埃立特40%的</w:t>
            </w:r>
            <w:r w:rsidR="00A97572">
              <w:rPr>
                <w:rFonts w:ascii="宋体" w:hAnsi="宋体" w:hint="eastAsia"/>
                <w:sz w:val="24"/>
                <w:szCs w:val="24"/>
                <w:lang w:val="en-GB"/>
              </w:rPr>
              <w:t>股权。</w:t>
            </w:r>
            <w:r w:rsidR="00BA621D">
              <w:rPr>
                <w:rFonts w:ascii="宋体" w:hAnsi="宋体" w:hint="eastAsia"/>
                <w:sz w:val="24"/>
                <w:szCs w:val="24"/>
                <w:lang w:val="en-GB"/>
              </w:rPr>
              <w:t>GIP V</w:t>
            </w:r>
            <w:r w:rsidR="00181FF1" w:rsidRPr="00A66496">
              <w:rPr>
                <w:rFonts w:ascii="宋体" w:hAnsi="宋体" w:hint="eastAsia"/>
                <w:sz w:val="24"/>
                <w:szCs w:val="24"/>
                <w:lang w:val="en-GB"/>
              </w:rPr>
              <w:t>和CPP Investments将共同间接</w:t>
            </w:r>
            <w:proofErr w:type="gramStart"/>
            <w:r w:rsidR="00181FF1" w:rsidRPr="00A66496">
              <w:rPr>
                <w:rFonts w:ascii="宋体" w:hAnsi="宋体" w:hint="eastAsia"/>
                <w:sz w:val="24"/>
                <w:szCs w:val="24"/>
                <w:lang w:val="en-GB"/>
              </w:rPr>
              <w:t>控制埃立特</w:t>
            </w:r>
            <w:proofErr w:type="gramEnd"/>
            <w:r w:rsidR="00181FF1" w:rsidRPr="00A66496">
              <w:rPr>
                <w:rFonts w:ascii="宋体" w:hAnsi="宋体" w:hint="eastAsia"/>
                <w:sz w:val="24"/>
                <w:szCs w:val="24"/>
                <w:lang w:val="en-GB"/>
              </w:rPr>
              <w:t>。</w:t>
            </w:r>
          </w:p>
        </w:tc>
      </w:tr>
      <w:tr w:rsidR="008702FE" w:rsidRPr="00D4357B" w14:paraId="560A0FD1" w14:textId="77777777" w:rsidTr="003269BC">
        <w:trPr>
          <w:trHeight w:val="468"/>
        </w:trPr>
        <w:tc>
          <w:tcPr>
            <w:tcW w:w="1838" w:type="dxa"/>
            <w:vMerge w:val="restart"/>
            <w:tcBorders>
              <w:top w:val="single" w:sz="4" w:space="0" w:color="auto"/>
              <w:left w:val="single" w:sz="4" w:space="0" w:color="auto"/>
              <w:right w:val="single" w:sz="4" w:space="0" w:color="auto"/>
            </w:tcBorders>
            <w:shd w:val="clear" w:color="auto" w:fill="D9D9D9"/>
            <w:vAlign w:val="center"/>
          </w:tcPr>
          <w:p w14:paraId="418A49BC" w14:textId="77777777" w:rsidR="008702FE" w:rsidRPr="00A66496" w:rsidRDefault="008702FE" w:rsidP="003231CB">
            <w:pPr>
              <w:snapToGrid w:val="0"/>
              <w:rPr>
                <w:rFonts w:ascii="宋体" w:hAnsi="宋体"/>
                <w:color w:val="333333"/>
                <w:kern w:val="0"/>
                <w:sz w:val="24"/>
                <w:szCs w:val="24"/>
              </w:rPr>
            </w:pPr>
            <w:r w:rsidRPr="00A66496">
              <w:rPr>
                <w:rFonts w:ascii="宋体" w:hAnsi="宋体"/>
                <w:color w:val="333333"/>
                <w:kern w:val="0"/>
                <w:sz w:val="24"/>
                <w:szCs w:val="24"/>
              </w:rPr>
              <w:t>参与集中的</w:t>
            </w:r>
          </w:p>
          <w:p w14:paraId="7A8CC7EA" w14:textId="713B96E6" w:rsidR="008702FE" w:rsidRPr="00A66496" w:rsidRDefault="008702FE" w:rsidP="003231CB">
            <w:pPr>
              <w:snapToGrid w:val="0"/>
              <w:rPr>
                <w:rFonts w:ascii="宋体" w:hAnsi="宋体"/>
                <w:sz w:val="24"/>
                <w:szCs w:val="24"/>
              </w:rPr>
            </w:pPr>
            <w:r w:rsidRPr="00A66496">
              <w:rPr>
                <w:rFonts w:ascii="宋体" w:hAnsi="宋体"/>
                <w:color w:val="333333"/>
                <w:kern w:val="0"/>
                <w:sz w:val="24"/>
                <w:szCs w:val="24"/>
              </w:rPr>
              <w:t>经营者简介</w:t>
            </w:r>
          </w:p>
        </w:tc>
        <w:tc>
          <w:tcPr>
            <w:tcW w:w="2126" w:type="dxa"/>
          </w:tcPr>
          <w:p w14:paraId="05DE66A1" w14:textId="7BBA7EAA" w:rsidR="008702FE" w:rsidRPr="00A97572" w:rsidRDefault="008702FE" w:rsidP="003231CB">
            <w:pPr>
              <w:widowControl/>
              <w:snapToGrid w:val="0"/>
              <w:rPr>
                <w:rFonts w:ascii="宋体" w:hAnsi="宋体"/>
                <w:sz w:val="24"/>
                <w:szCs w:val="24"/>
              </w:rPr>
            </w:pPr>
            <w:r w:rsidRPr="00A97572">
              <w:rPr>
                <w:rFonts w:ascii="宋体" w:hAnsi="宋体"/>
                <w:sz w:val="24"/>
                <w:szCs w:val="24"/>
              </w:rPr>
              <w:t>1.</w:t>
            </w:r>
            <w:r w:rsidRPr="00A97572">
              <w:rPr>
                <w:rFonts w:ascii="宋体" w:hAnsi="宋体" w:hint="eastAsia"/>
                <w:sz w:val="24"/>
                <w:szCs w:val="24"/>
                <w:lang w:val="en-GB"/>
              </w:rPr>
              <w:t xml:space="preserve"> </w:t>
            </w:r>
            <w:r w:rsidR="007F7CFA" w:rsidRPr="00A97572">
              <w:rPr>
                <w:rFonts w:ascii="宋体" w:hAnsi="宋体" w:hint="eastAsia"/>
                <w:sz w:val="24"/>
                <w:szCs w:val="24"/>
              </w:rPr>
              <w:t>GIP V</w:t>
            </w:r>
          </w:p>
        </w:tc>
        <w:tc>
          <w:tcPr>
            <w:tcW w:w="4794" w:type="dxa"/>
          </w:tcPr>
          <w:p w14:paraId="47D4926D" w14:textId="670D00B0" w:rsidR="003120A7" w:rsidRPr="00A66496" w:rsidRDefault="007F7CFA" w:rsidP="003231CB">
            <w:pPr>
              <w:snapToGrid w:val="0"/>
              <w:rPr>
                <w:rFonts w:ascii="宋体" w:hAnsi="宋体"/>
                <w:sz w:val="24"/>
                <w:szCs w:val="24"/>
              </w:rPr>
            </w:pPr>
            <w:r>
              <w:rPr>
                <w:rFonts w:ascii="宋体" w:hAnsi="宋体" w:hint="eastAsia"/>
                <w:sz w:val="24"/>
                <w:szCs w:val="24"/>
              </w:rPr>
              <w:t>GIP V</w:t>
            </w:r>
            <w:r w:rsidR="003120A7" w:rsidRPr="00A66496">
              <w:rPr>
                <w:rFonts w:ascii="宋体" w:hAnsi="宋体" w:hint="eastAsia"/>
                <w:sz w:val="24"/>
                <w:szCs w:val="24"/>
              </w:rPr>
              <w:t>于2022年6月29日成立于美国。</w:t>
            </w:r>
          </w:p>
          <w:p w14:paraId="217F0B29" w14:textId="77777777" w:rsidR="00C76ECD" w:rsidRDefault="00C76ECD" w:rsidP="003231CB">
            <w:pPr>
              <w:snapToGrid w:val="0"/>
              <w:rPr>
                <w:rFonts w:ascii="宋体" w:hAnsi="宋体"/>
                <w:sz w:val="24"/>
                <w:szCs w:val="24"/>
              </w:rPr>
            </w:pPr>
          </w:p>
          <w:p w14:paraId="2809612F" w14:textId="65B2DF43" w:rsidR="001A3FBB" w:rsidRDefault="001A3FBB" w:rsidP="003231CB">
            <w:pPr>
              <w:snapToGrid w:val="0"/>
              <w:rPr>
                <w:rFonts w:ascii="宋体" w:hAnsi="宋体"/>
                <w:sz w:val="24"/>
                <w:szCs w:val="24"/>
              </w:rPr>
            </w:pPr>
            <w:r w:rsidRPr="001A3FBB">
              <w:rPr>
                <w:rFonts w:ascii="宋体" w:hAnsi="宋体" w:hint="eastAsia"/>
                <w:sz w:val="24"/>
                <w:szCs w:val="24"/>
              </w:rPr>
              <w:t>GIP V是GIM管理的</w:t>
            </w:r>
            <w:proofErr w:type="gramStart"/>
            <w:r w:rsidRPr="001A3FBB">
              <w:rPr>
                <w:rFonts w:ascii="宋体" w:hAnsi="宋体" w:hint="eastAsia"/>
                <w:sz w:val="24"/>
                <w:szCs w:val="24"/>
              </w:rPr>
              <w:t>特定私募股权基金</w:t>
            </w:r>
            <w:proofErr w:type="gramEnd"/>
            <w:r w:rsidRPr="001A3FBB">
              <w:rPr>
                <w:rFonts w:ascii="宋体" w:hAnsi="宋体" w:hint="eastAsia"/>
                <w:sz w:val="24"/>
                <w:szCs w:val="24"/>
              </w:rPr>
              <w:t>的普通合伙人。</w:t>
            </w:r>
          </w:p>
          <w:p w14:paraId="532C1A9B" w14:textId="77777777" w:rsidR="001A3FBB" w:rsidRDefault="001A3FBB" w:rsidP="003231CB">
            <w:pPr>
              <w:snapToGrid w:val="0"/>
              <w:rPr>
                <w:rFonts w:ascii="宋体" w:hAnsi="宋体"/>
                <w:sz w:val="24"/>
                <w:szCs w:val="24"/>
              </w:rPr>
            </w:pPr>
          </w:p>
          <w:p w14:paraId="4013E377" w14:textId="18F457B7" w:rsidR="003120A7" w:rsidRPr="00A66496" w:rsidRDefault="003120A7" w:rsidP="003231CB">
            <w:pPr>
              <w:snapToGrid w:val="0"/>
              <w:rPr>
                <w:rFonts w:ascii="宋体" w:hAnsi="宋体"/>
                <w:sz w:val="24"/>
                <w:szCs w:val="24"/>
              </w:rPr>
            </w:pPr>
            <w:r w:rsidRPr="00A66496">
              <w:rPr>
                <w:rFonts w:ascii="宋体" w:hAnsi="宋体" w:hint="eastAsia"/>
                <w:sz w:val="24"/>
                <w:szCs w:val="24"/>
              </w:rPr>
              <w:t>GIP V</w:t>
            </w:r>
            <w:r w:rsidR="001A3FBB">
              <w:rPr>
                <w:rFonts w:ascii="宋体" w:hAnsi="宋体" w:hint="eastAsia"/>
                <w:sz w:val="24"/>
                <w:szCs w:val="24"/>
              </w:rPr>
              <w:t>由</w:t>
            </w:r>
            <w:r w:rsidRPr="00A66496">
              <w:rPr>
                <w:rFonts w:ascii="宋体" w:hAnsi="宋体" w:hint="eastAsia"/>
                <w:sz w:val="24"/>
                <w:szCs w:val="24"/>
              </w:rPr>
              <w:t>GIM</w:t>
            </w:r>
            <w:r w:rsidR="001A3FBB">
              <w:rPr>
                <w:rFonts w:ascii="宋体" w:hAnsi="宋体" w:hint="eastAsia"/>
                <w:sz w:val="24"/>
                <w:szCs w:val="24"/>
              </w:rPr>
              <w:t>最终控制</w:t>
            </w:r>
            <w:r w:rsidRPr="00A66496">
              <w:rPr>
                <w:rFonts w:ascii="宋体" w:hAnsi="宋体" w:hint="eastAsia"/>
                <w:sz w:val="24"/>
                <w:szCs w:val="24"/>
              </w:rPr>
              <w:t>。</w:t>
            </w:r>
            <w:r w:rsidR="00BA621D" w:rsidRPr="001A3FBB">
              <w:rPr>
                <w:rFonts w:ascii="宋体" w:hAnsi="宋体" w:hint="eastAsia"/>
                <w:sz w:val="24"/>
                <w:szCs w:val="24"/>
              </w:rPr>
              <w:t>GIM是一家独立的全球性基础设施基金管理公司。</w:t>
            </w:r>
          </w:p>
        </w:tc>
      </w:tr>
      <w:tr w:rsidR="008702FE" w:rsidRPr="00A66496" w14:paraId="47B7BBFC" w14:textId="77777777" w:rsidTr="003269BC">
        <w:trPr>
          <w:trHeight w:val="170"/>
        </w:trPr>
        <w:tc>
          <w:tcPr>
            <w:tcW w:w="1838" w:type="dxa"/>
            <w:vMerge/>
            <w:tcBorders>
              <w:left w:val="single" w:sz="4" w:space="0" w:color="auto"/>
              <w:right w:val="single" w:sz="4" w:space="0" w:color="auto"/>
            </w:tcBorders>
            <w:shd w:val="clear" w:color="auto" w:fill="D9D9D9"/>
          </w:tcPr>
          <w:p w14:paraId="7C3E6D24" w14:textId="77777777" w:rsidR="008702FE" w:rsidRPr="00A66496" w:rsidRDefault="008702FE" w:rsidP="003231CB">
            <w:pPr>
              <w:snapToGrid w:val="0"/>
              <w:rPr>
                <w:rFonts w:ascii="宋体" w:hAnsi="宋体"/>
                <w:sz w:val="24"/>
                <w:szCs w:val="24"/>
              </w:rPr>
            </w:pPr>
          </w:p>
        </w:tc>
        <w:tc>
          <w:tcPr>
            <w:tcW w:w="2126" w:type="dxa"/>
            <w:tcBorders>
              <w:left w:val="single" w:sz="4" w:space="0" w:color="auto"/>
            </w:tcBorders>
          </w:tcPr>
          <w:p w14:paraId="01EDFF42" w14:textId="6F33EDE8" w:rsidR="008702FE" w:rsidRPr="00A66496" w:rsidRDefault="008702FE" w:rsidP="00C67B7E">
            <w:pPr>
              <w:snapToGrid w:val="0"/>
              <w:jc w:val="left"/>
              <w:rPr>
                <w:rFonts w:ascii="宋体" w:hAnsi="宋体"/>
                <w:sz w:val="24"/>
                <w:szCs w:val="24"/>
              </w:rPr>
            </w:pPr>
            <w:r w:rsidRPr="00A66496">
              <w:rPr>
                <w:rFonts w:ascii="宋体" w:hAnsi="宋体"/>
                <w:sz w:val="24"/>
                <w:szCs w:val="24"/>
              </w:rPr>
              <w:t xml:space="preserve">2. </w:t>
            </w:r>
            <w:r w:rsidR="003662FD" w:rsidRPr="00A66496">
              <w:rPr>
                <w:rFonts w:ascii="宋体" w:hAnsi="宋体" w:hint="eastAsia"/>
                <w:sz w:val="24"/>
                <w:szCs w:val="24"/>
                <w:lang w:val="en-GB"/>
              </w:rPr>
              <w:t>CPP</w:t>
            </w:r>
            <w:r w:rsidR="003662FD" w:rsidRPr="00A66496">
              <w:rPr>
                <w:rFonts w:ascii="宋体" w:hAnsi="宋体"/>
                <w:sz w:val="24"/>
                <w:szCs w:val="24"/>
                <w:lang w:val="en-GB"/>
              </w:rPr>
              <w:t xml:space="preserve"> Investments</w:t>
            </w:r>
          </w:p>
        </w:tc>
        <w:tc>
          <w:tcPr>
            <w:tcW w:w="4794" w:type="dxa"/>
          </w:tcPr>
          <w:p w14:paraId="7A49C0C6" w14:textId="6DA41342" w:rsidR="008702FE" w:rsidRPr="00A66496" w:rsidRDefault="003662FD" w:rsidP="003231CB">
            <w:pPr>
              <w:snapToGrid w:val="0"/>
              <w:rPr>
                <w:rFonts w:ascii="宋体" w:hAnsi="宋体"/>
                <w:sz w:val="24"/>
                <w:szCs w:val="24"/>
              </w:rPr>
            </w:pPr>
            <w:r w:rsidRPr="00A66496">
              <w:rPr>
                <w:rFonts w:ascii="宋体" w:hAnsi="宋体" w:hint="eastAsia"/>
                <w:sz w:val="24"/>
                <w:szCs w:val="24"/>
                <w:lang w:val="en-GB"/>
              </w:rPr>
              <w:t>CPP</w:t>
            </w:r>
            <w:r w:rsidRPr="00A66496">
              <w:rPr>
                <w:rFonts w:ascii="宋体" w:hAnsi="宋体"/>
                <w:sz w:val="24"/>
                <w:szCs w:val="24"/>
                <w:lang w:val="en-GB"/>
              </w:rPr>
              <w:t xml:space="preserve"> Investments</w:t>
            </w:r>
            <w:r w:rsidR="008702FE" w:rsidRPr="00A66496">
              <w:rPr>
                <w:rFonts w:ascii="宋体" w:hAnsi="宋体" w:hint="eastAsia"/>
                <w:sz w:val="24"/>
                <w:szCs w:val="24"/>
              </w:rPr>
              <w:t>于</w:t>
            </w:r>
            <w:r w:rsidR="008702FE" w:rsidRPr="00A66496">
              <w:rPr>
                <w:rFonts w:ascii="宋体" w:hAnsi="宋体"/>
                <w:sz w:val="24"/>
                <w:szCs w:val="24"/>
              </w:rPr>
              <w:t>1997</w:t>
            </w:r>
            <w:r w:rsidR="008702FE" w:rsidRPr="00A66496">
              <w:rPr>
                <w:rFonts w:ascii="宋体" w:hAnsi="宋体" w:hint="eastAsia"/>
                <w:sz w:val="24"/>
                <w:szCs w:val="24"/>
              </w:rPr>
              <w:t>年</w:t>
            </w:r>
            <w:r w:rsidR="008702FE" w:rsidRPr="00A66496">
              <w:rPr>
                <w:rFonts w:ascii="宋体" w:hAnsi="宋体"/>
                <w:sz w:val="24"/>
                <w:szCs w:val="24"/>
              </w:rPr>
              <w:t>12</w:t>
            </w:r>
            <w:r w:rsidR="008702FE" w:rsidRPr="00A66496">
              <w:rPr>
                <w:rFonts w:ascii="宋体" w:hAnsi="宋体" w:hint="eastAsia"/>
                <w:sz w:val="24"/>
                <w:szCs w:val="24"/>
              </w:rPr>
              <w:t>月1</w:t>
            </w:r>
            <w:r w:rsidR="008702FE" w:rsidRPr="00A66496">
              <w:rPr>
                <w:rFonts w:ascii="宋体" w:hAnsi="宋体"/>
                <w:sz w:val="24"/>
                <w:szCs w:val="24"/>
              </w:rPr>
              <w:t>8</w:t>
            </w:r>
            <w:r w:rsidR="008702FE" w:rsidRPr="00A66496">
              <w:rPr>
                <w:rFonts w:ascii="宋体" w:hAnsi="宋体" w:hint="eastAsia"/>
                <w:sz w:val="24"/>
                <w:szCs w:val="24"/>
              </w:rPr>
              <w:t>日成立于加拿大。</w:t>
            </w:r>
            <w:r w:rsidRPr="00A66496">
              <w:rPr>
                <w:rFonts w:ascii="宋体" w:hAnsi="宋体" w:hint="eastAsia"/>
                <w:sz w:val="24"/>
                <w:szCs w:val="24"/>
                <w:lang w:val="en-GB"/>
              </w:rPr>
              <w:t>CPP</w:t>
            </w:r>
            <w:r w:rsidRPr="00A66496">
              <w:rPr>
                <w:rFonts w:ascii="宋体" w:hAnsi="宋体"/>
                <w:sz w:val="24"/>
                <w:szCs w:val="24"/>
                <w:lang w:val="en-GB"/>
              </w:rPr>
              <w:t xml:space="preserve"> Investments</w:t>
            </w:r>
            <w:r w:rsidR="00DA7F16">
              <w:rPr>
                <w:rFonts w:ascii="宋体" w:hAnsi="宋体" w:hint="eastAsia"/>
                <w:sz w:val="24"/>
                <w:szCs w:val="24"/>
                <w:lang w:val="en-GB"/>
              </w:rPr>
              <w:t>是一家</w:t>
            </w:r>
            <w:r w:rsidR="0027787B">
              <w:rPr>
                <w:rFonts w:ascii="宋体" w:hAnsi="宋体" w:hint="eastAsia"/>
                <w:sz w:val="24"/>
                <w:szCs w:val="24"/>
                <w:lang w:val="en-GB"/>
              </w:rPr>
              <w:t>专业投资管理机构，投资于</w:t>
            </w:r>
            <w:r w:rsidR="008702FE" w:rsidRPr="00A66496">
              <w:rPr>
                <w:rFonts w:ascii="宋体" w:hAnsi="宋体" w:hint="eastAsia"/>
                <w:sz w:val="24"/>
                <w:szCs w:val="24"/>
              </w:rPr>
              <w:t>公共股权、私募股权、不动产、基础设施和固定收益证券领域。</w:t>
            </w:r>
          </w:p>
          <w:p w14:paraId="2C55A08A" w14:textId="77777777" w:rsidR="00632165" w:rsidRPr="00A66496" w:rsidRDefault="00632165" w:rsidP="003231CB">
            <w:pPr>
              <w:snapToGrid w:val="0"/>
              <w:rPr>
                <w:rFonts w:ascii="宋体" w:hAnsi="宋体"/>
                <w:sz w:val="24"/>
                <w:szCs w:val="24"/>
              </w:rPr>
            </w:pPr>
          </w:p>
          <w:p w14:paraId="22664026" w14:textId="63372908" w:rsidR="008702FE" w:rsidRPr="00A66496" w:rsidRDefault="003662FD" w:rsidP="003231CB">
            <w:pPr>
              <w:snapToGrid w:val="0"/>
              <w:rPr>
                <w:rFonts w:ascii="宋体" w:hAnsi="宋体"/>
                <w:color w:val="0000FF"/>
                <w:sz w:val="24"/>
                <w:szCs w:val="24"/>
                <w:u w:val="single"/>
              </w:rPr>
            </w:pPr>
            <w:r w:rsidRPr="00A66496">
              <w:rPr>
                <w:rFonts w:ascii="宋体" w:hAnsi="宋体" w:hint="eastAsia"/>
                <w:sz w:val="24"/>
                <w:szCs w:val="24"/>
                <w:lang w:val="en-GB"/>
              </w:rPr>
              <w:t>CPP</w:t>
            </w:r>
            <w:r w:rsidRPr="00A66496">
              <w:rPr>
                <w:rFonts w:ascii="宋体" w:hAnsi="宋体"/>
                <w:sz w:val="24"/>
                <w:szCs w:val="24"/>
                <w:lang w:val="en-GB"/>
              </w:rPr>
              <w:t xml:space="preserve"> Investments</w:t>
            </w:r>
            <w:r w:rsidR="008702FE" w:rsidRPr="00A66496">
              <w:rPr>
                <w:rFonts w:ascii="宋体" w:hAnsi="宋体" w:hint="eastAsia"/>
                <w:sz w:val="24"/>
                <w:szCs w:val="24"/>
                <w:lang w:val="en-GB"/>
              </w:rPr>
              <w:t>无最终控制人。</w:t>
            </w:r>
          </w:p>
        </w:tc>
      </w:tr>
      <w:tr w:rsidR="008702FE" w:rsidRPr="00A66496" w14:paraId="10EFBC1B" w14:textId="77777777" w:rsidTr="003269BC">
        <w:trPr>
          <w:trHeight w:val="170"/>
        </w:trPr>
        <w:tc>
          <w:tcPr>
            <w:tcW w:w="1838" w:type="dxa"/>
            <w:vMerge/>
            <w:tcBorders>
              <w:left w:val="single" w:sz="4" w:space="0" w:color="auto"/>
              <w:right w:val="single" w:sz="4" w:space="0" w:color="auto"/>
            </w:tcBorders>
            <w:shd w:val="clear" w:color="auto" w:fill="D9D9D9"/>
          </w:tcPr>
          <w:p w14:paraId="6DF91393" w14:textId="77777777" w:rsidR="008702FE" w:rsidRPr="00A66496" w:rsidRDefault="008702FE" w:rsidP="003231CB">
            <w:pPr>
              <w:snapToGrid w:val="0"/>
              <w:rPr>
                <w:rFonts w:ascii="宋体" w:hAnsi="宋体"/>
                <w:sz w:val="24"/>
                <w:szCs w:val="24"/>
              </w:rPr>
            </w:pPr>
          </w:p>
        </w:tc>
        <w:tc>
          <w:tcPr>
            <w:tcW w:w="2126" w:type="dxa"/>
            <w:tcBorders>
              <w:left w:val="single" w:sz="4" w:space="0" w:color="auto"/>
            </w:tcBorders>
          </w:tcPr>
          <w:p w14:paraId="0770DC40" w14:textId="662A4A3E" w:rsidR="008702FE" w:rsidRPr="00A66496" w:rsidRDefault="008702FE" w:rsidP="003231CB">
            <w:pPr>
              <w:snapToGrid w:val="0"/>
              <w:rPr>
                <w:rFonts w:ascii="宋体" w:hAnsi="宋体"/>
                <w:sz w:val="24"/>
                <w:szCs w:val="24"/>
              </w:rPr>
            </w:pPr>
            <w:r w:rsidRPr="00A66496">
              <w:rPr>
                <w:rFonts w:ascii="宋体" w:hAnsi="宋体"/>
                <w:sz w:val="24"/>
                <w:szCs w:val="24"/>
              </w:rPr>
              <w:t xml:space="preserve">3. </w:t>
            </w:r>
            <w:r w:rsidR="003120A7" w:rsidRPr="00A66496">
              <w:rPr>
                <w:rFonts w:ascii="宋体" w:hAnsi="宋体" w:hint="eastAsia"/>
                <w:sz w:val="24"/>
                <w:szCs w:val="24"/>
                <w:lang w:val="en-GB"/>
              </w:rPr>
              <w:t>埃立特</w:t>
            </w:r>
          </w:p>
        </w:tc>
        <w:tc>
          <w:tcPr>
            <w:tcW w:w="4794" w:type="dxa"/>
          </w:tcPr>
          <w:p w14:paraId="0E3840C4" w14:textId="1629A33A" w:rsidR="003120A7" w:rsidRPr="00A66496" w:rsidRDefault="003120A7" w:rsidP="003231CB">
            <w:pPr>
              <w:snapToGrid w:val="0"/>
              <w:rPr>
                <w:rFonts w:ascii="宋体" w:hAnsi="宋体"/>
                <w:sz w:val="24"/>
                <w:szCs w:val="24"/>
              </w:rPr>
            </w:pPr>
            <w:r w:rsidRPr="00A66496">
              <w:rPr>
                <w:rFonts w:ascii="宋体" w:hAnsi="宋体" w:hint="eastAsia"/>
                <w:sz w:val="24"/>
                <w:szCs w:val="24"/>
                <w:lang w:val="en-GB"/>
              </w:rPr>
              <w:t>埃立特于1906年1月2</w:t>
            </w:r>
            <w:r w:rsidR="001A3FBB">
              <w:rPr>
                <w:rFonts w:ascii="宋体" w:hAnsi="宋体" w:hint="eastAsia"/>
                <w:sz w:val="24"/>
                <w:szCs w:val="24"/>
                <w:lang w:val="en-GB"/>
              </w:rPr>
              <w:t>9</w:t>
            </w:r>
            <w:r w:rsidRPr="00A66496">
              <w:rPr>
                <w:rFonts w:ascii="宋体" w:hAnsi="宋体" w:hint="eastAsia"/>
                <w:sz w:val="24"/>
                <w:szCs w:val="24"/>
                <w:lang w:val="en-GB"/>
              </w:rPr>
              <w:t>日成立于美国，为</w:t>
            </w:r>
            <w:r w:rsidRPr="00A66496">
              <w:rPr>
                <w:rFonts w:ascii="宋体" w:hAnsi="宋体" w:hint="eastAsia"/>
                <w:sz w:val="24"/>
                <w:szCs w:val="24"/>
              </w:rPr>
              <w:t>纽约证券交易所上市公司。</w:t>
            </w:r>
            <w:r w:rsidR="001A3FBB" w:rsidRPr="001A3FBB">
              <w:rPr>
                <w:rFonts w:ascii="宋体" w:hAnsi="宋体" w:hint="eastAsia"/>
                <w:sz w:val="24"/>
                <w:szCs w:val="24"/>
              </w:rPr>
              <w:t>埃立特在美国从事电力生产、输送及配送、天然气分销、水收集、处理和供应以及褐煤开采业务。</w:t>
            </w:r>
          </w:p>
          <w:p w14:paraId="27C822EE" w14:textId="77777777" w:rsidR="00136639" w:rsidRPr="00A66496" w:rsidRDefault="00136639" w:rsidP="003231CB">
            <w:pPr>
              <w:snapToGrid w:val="0"/>
              <w:rPr>
                <w:rFonts w:ascii="宋体" w:hAnsi="宋体"/>
                <w:sz w:val="24"/>
                <w:szCs w:val="24"/>
              </w:rPr>
            </w:pPr>
          </w:p>
          <w:p w14:paraId="0FBE41D2" w14:textId="00644141" w:rsidR="00136639" w:rsidRPr="00A66496" w:rsidRDefault="00136639" w:rsidP="003231CB">
            <w:pPr>
              <w:snapToGrid w:val="0"/>
              <w:rPr>
                <w:rFonts w:ascii="宋体" w:hAnsi="宋体"/>
                <w:sz w:val="24"/>
                <w:szCs w:val="24"/>
              </w:rPr>
            </w:pPr>
            <w:proofErr w:type="gramStart"/>
            <w:r w:rsidRPr="00A66496">
              <w:rPr>
                <w:rFonts w:ascii="宋体" w:hAnsi="宋体" w:hint="eastAsia"/>
                <w:sz w:val="24"/>
                <w:szCs w:val="24"/>
              </w:rPr>
              <w:t>埃立特</w:t>
            </w:r>
            <w:r w:rsidRPr="00A66496">
              <w:rPr>
                <w:rFonts w:ascii="宋体" w:hAnsi="宋体" w:hint="eastAsia"/>
                <w:sz w:val="24"/>
                <w:szCs w:val="24"/>
                <w:lang w:val="en-GB"/>
              </w:rPr>
              <w:t>无最终</w:t>
            </w:r>
            <w:proofErr w:type="gramEnd"/>
            <w:r w:rsidRPr="00A66496">
              <w:rPr>
                <w:rFonts w:ascii="宋体" w:hAnsi="宋体" w:hint="eastAsia"/>
                <w:sz w:val="24"/>
                <w:szCs w:val="24"/>
                <w:lang w:val="en-GB"/>
              </w:rPr>
              <w:t>控制人。</w:t>
            </w:r>
          </w:p>
        </w:tc>
      </w:tr>
      <w:tr w:rsidR="008702FE" w:rsidRPr="00A66496" w14:paraId="75FF9FF3" w14:textId="77777777" w:rsidTr="003269BC">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EB39CA5" w14:textId="4BC81606" w:rsidR="008702FE" w:rsidRPr="00A66496" w:rsidRDefault="008702FE" w:rsidP="003231CB">
            <w:pPr>
              <w:snapToGrid w:val="0"/>
              <w:rPr>
                <w:rFonts w:ascii="宋体" w:hAnsi="宋体"/>
                <w:sz w:val="24"/>
                <w:szCs w:val="24"/>
              </w:rPr>
            </w:pPr>
            <w:r w:rsidRPr="00A66496">
              <w:rPr>
                <w:rFonts w:ascii="宋体" w:hAnsi="宋体"/>
                <w:color w:val="333333"/>
                <w:kern w:val="0"/>
                <w:sz w:val="24"/>
                <w:szCs w:val="24"/>
              </w:rPr>
              <w:t>简易案件理由（可以单选，也可以多选）</w:t>
            </w:r>
          </w:p>
        </w:tc>
        <w:tc>
          <w:tcPr>
            <w:tcW w:w="6920" w:type="dxa"/>
            <w:gridSpan w:val="2"/>
          </w:tcPr>
          <w:p w14:paraId="7B8D4792" w14:textId="3BDF05CB" w:rsidR="008702FE" w:rsidRPr="00A66496" w:rsidRDefault="008702FE" w:rsidP="003231CB">
            <w:pPr>
              <w:snapToGrid w:val="0"/>
              <w:rPr>
                <w:rFonts w:ascii="宋体" w:hAnsi="宋体"/>
                <w:sz w:val="24"/>
                <w:szCs w:val="24"/>
              </w:rPr>
            </w:pPr>
            <w:r w:rsidRPr="00A66496">
              <w:rPr>
                <w:rFonts w:ascii="宋体" w:hAnsi="宋体"/>
                <w:sz w:val="24"/>
                <w:szCs w:val="24"/>
              </w:rPr>
              <w:t>□1. 在同一相关市场，所有参与集中的经营者所占市场份额之和小于15%。</w:t>
            </w:r>
          </w:p>
        </w:tc>
      </w:tr>
      <w:tr w:rsidR="008702FE" w:rsidRPr="00A66496" w14:paraId="133BF152" w14:textId="77777777" w:rsidTr="003269BC">
        <w:trPr>
          <w:trHeight w:val="330"/>
        </w:trPr>
        <w:tc>
          <w:tcPr>
            <w:tcW w:w="1838" w:type="dxa"/>
            <w:vMerge/>
            <w:shd w:val="clear" w:color="auto" w:fill="D9D9D9"/>
          </w:tcPr>
          <w:p w14:paraId="6AA82D7A" w14:textId="77777777" w:rsidR="008702FE" w:rsidRPr="00A66496" w:rsidRDefault="008702FE" w:rsidP="003231CB">
            <w:pPr>
              <w:snapToGrid w:val="0"/>
              <w:rPr>
                <w:rFonts w:ascii="宋体" w:hAnsi="宋体"/>
                <w:sz w:val="24"/>
                <w:szCs w:val="24"/>
              </w:rPr>
            </w:pPr>
          </w:p>
        </w:tc>
        <w:tc>
          <w:tcPr>
            <w:tcW w:w="6920" w:type="dxa"/>
            <w:gridSpan w:val="2"/>
          </w:tcPr>
          <w:p w14:paraId="50E5996E" w14:textId="25357EA9" w:rsidR="008702FE" w:rsidRPr="00A66496" w:rsidRDefault="008702FE" w:rsidP="003231CB">
            <w:pPr>
              <w:snapToGrid w:val="0"/>
              <w:rPr>
                <w:rFonts w:ascii="宋体" w:hAnsi="宋体"/>
                <w:sz w:val="24"/>
                <w:szCs w:val="24"/>
              </w:rPr>
            </w:pPr>
            <w:r w:rsidRPr="00A66496">
              <w:rPr>
                <w:rFonts w:ascii="宋体" w:hAnsi="宋体"/>
                <w:sz w:val="24"/>
                <w:szCs w:val="24"/>
              </w:rPr>
              <w:t>□2. 存在上下游关系的参与集中的经营者，在上下游市场所占的市场份额均小于25%。</w:t>
            </w:r>
          </w:p>
        </w:tc>
      </w:tr>
      <w:tr w:rsidR="008702FE" w:rsidRPr="00A66496" w14:paraId="47AF3B3F" w14:textId="77777777" w:rsidTr="003269BC">
        <w:trPr>
          <w:trHeight w:val="285"/>
        </w:trPr>
        <w:tc>
          <w:tcPr>
            <w:tcW w:w="1838" w:type="dxa"/>
            <w:vMerge/>
            <w:shd w:val="clear" w:color="auto" w:fill="D9D9D9"/>
          </w:tcPr>
          <w:p w14:paraId="7DA5A0E4" w14:textId="77777777" w:rsidR="008702FE" w:rsidRPr="00A66496" w:rsidRDefault="008702FE" w:rsidP="003231CB">
            <w:pPr>
              <w:snapToGrid w:val="0"/>
              <w:rPr>
                <w:rFonts w:ascii="宋体" w:hAnsi="宋体"/>
                <w:sz w:val="24"/>
                <w:szCs w:val="24"/>
              </w:rPr>
            </w:pPr>
          </w:p>
        </w:tc>
        <w:tc>
          <w:tcPr>
            <w:tcW w:w="6920" w:type="dxa"/>
            <w:gridSpan w:val="2"/>
          </w:tcPr>
          <w:p w14:paraId="561A3D51" w14:textId="3FCC7D43" w:rsidR="008702FE" w:rsidRPr="00A66496" w:rsidRDefault="008702FE" w:rsidP="003231CB">
            <w:pPr>
              <w:snapToGrid w:val="0"/>
              <w:rPr>
                <w:rFonts w:ascii="宋体" w:hAnsi="宋体"/>
                <w:sz w:val="24"/>
                <w:szCs w:val="24"/>
              </w:rPr>
            </w:pPr>
            <w:r w:rsidRPr="00A66496">
              <w:rPr>
                <w:rFonts w:ascii="宋体" w:hAnsi="宋体"/>
                <w:sz w:val="24"/>
                <w:szCs w:val="24"/>
              </w:rPr>
              <w:t>□3. 不在同一相关市场、也不存在上下游关系的参与集中的经营者，在与交易有关的每个市场所占的份额均小于25%。</w:t>
            </w:r>
          </w:p>
        </w:tc>
      </w:tr>
      <w:tr w:rsidR="008702FE" w:rsidRPr="00A66496" w14:paraId="6801D3B3" w14:textId="77777777" w:rsidTr="003269BC">
        <w:trPr>
          <w:trHeight w:val="699"/>
        </w:trPr>
        <w:tc>
          <w:tcPr>
            <w:tcW w:w="1838" w:type="dxa"/>
            <w:vMerge/>
            <w:shd w:val="clear" w:color="auto" w:fill="D9D9D9"/>
          </w:tcPr>
          <w:p w14:paraId="2880AC2A" w14:textId="77777777" w:rsidR="008702FE" w:rsidRPr="00A66496" w:rsidRDefault="008702FE" w:rsidP="003231CB">
            <w:pPr>
              <w:snapToGrid w:val="0"/>
              <w:rPr>
                <w:rFonts w:ascii="宋体" w:hAnsi="宋体"/>
                <w:sz w:val="24"/>
                <w:szCs w:val="24"/>
              </w:rPr>
            </w:pPr>
          </w:p>
        </w:tc>
        <w:tc>
          <w:tcPr>
            <w:tcW w:w="6920" w:type="dxa"/>
            <w:gridSpan w:val="2"/>
          </w:tcPr>
          <w:p w14:paraId="6B599DA6" w14:textId="3D5E920E" w:rsidR="008702FE" w:rsidRPr="00A66496" w:rsidRDefault="008702FE" w:rsidP="003231CB">
            <w:pPr>
              <w:snapToGrid w:val="0"/>
              <w:rPr>
                <w:rFonts w:ascii="宋体" w:hAnsi="宋体"/>
                <w:bCs/>
                <w:sz w:val="24"/>
                <w:szCs w:val="24"/>
              </w:rPr>
            </w:pPr>
            <w:r w:rsidRPr="00A66496">
              <w:rPr>
                <w:rFonts w:ascii="宋体" w:hAnsi="宋体"/>
                <w:sz w:val="24"/>
                <w:szCs w:val="24"/>
              </w:rPr>
              <w:t>□</w:t>
            </w:r>
            <w:r w:rsidRPr="00A66496">
              <w:rPr>
                <w:rFonts w:ascii="宋体" w:hAnsi="宋体"/>
                <w:bCs/>
                <w:sz w:val="24"/>
                <w:szCs w:val="24"/>
              </w:rPr>
              <w:t>4. 参与集中的经营者在中国境外设立合营企业，合营企业不在中国境内从事经济活动。</w:t>
            </w:r>
          </w:p>
        </w:tc>
      </w:tr>
      <w:tr w:rsidR="008702FE" w:rsidRPr="00A66496" w14:paraId="2B0B3023" w14:textId="77777777" w:rsidTr="003269BC">
        <w:trPr>
          <w:trHeight w:val="264"/>
        </w:trPr>
        <w:tc>
          <w:tcPr>
            <w:tcW w:w="1838" w:type="dxa"/>
            <w:vMerge/>
            <w:shd w:val="clear" w:color="auto" w:fill="D9D9D9"/>
          </w:tcPr>
          <w:p w14:paraId="29237789" w14:textId="77777777" w:rsidR="008702FE" w:rsidRPr="00A66496" w:rsidRDefault="008702FE" w:rsidP="003231CB">
            <w:pPr>
              <w:snapToGrid w:val="0"/>
              <w:rPr>
                <w:rFonts w:ascii="宋体" w:hAnsi="宋体"/>
                <w:sz w:val="24"/>
                <w:szCs w:val="24"/>
              </w:rPr>
            </w:pPr>
          </w:p>
        </w:tc>
        <w:tc>
          <w:tcPr>
            <w:tcW w:w="6920" w:type="dxa"/>
            <w:gridSpan w:val="2"/>
          </w:tcPr>
          <w:p w14:paraId="50AD7FC3" w14:textId="1048E7FF" w:rsidR="008702FE" w:rsidRPr="00A66496" w:rsidRDefault="008702FE" w:rsidP="003231CB">
            <w:pPr>
              <w:snapToGrid w:val="0"/>
              <w:rPr>
                <w:rFonts w:ascii="宋体" w:hAnsi="宋体"/>
                <w:sz w:val="24"/>
                <w:szCs w:val="24"/>
              </w:rPr>
            </w:pPr>
            <w:r w:rsidRPr="00A66496">
              <w:rPr>
                <w:rFonts w:ascii="宋体" w:hAnsi="宋体"/>
                <w:sz w:val="24"/>
                <w:szCs w:val="24"/>
              </w:rPr>
              <w:sym w:font="Wingdings" w:char="F0FE"/>
            </w:r>
            <w:r w:rsidRPr="00A66496">
              <w:rPr>
                <w:rFonts w:ascii="宋体" w:hAnsi="宋体"/>
                <w:sz w:val="24"/>
                <w:szCs w:val="24"/>
              </w:rPr>
              <w:t>5. 参与集中的经营者收购境外企业股权或资产的，该境外企业不在中国境内从事经济活动。</w:t>
            </w:r>
          </w:p>
        </w:tc>
      </w:tr>
      <w:tr w:rsidR="008702FE" w:rsidRPr="00A66496" w14:paraId="61B008FE" w14:textId="77777777" w:rsidTr="003269BC">
        <w:trPr>
          <w:trHeight w:val="345"/>
        </w:trPr>
        <w:tc>
          <w:tcPr>
            <w:tcW w:w="1838" w:type="dxa"/>
            <w:vMerge/>
            <w:shd w:val="clear" w:color="auto" w:fill="D9D9D9"/>
          </w:tcPr>
          <w:p w14:paraId="67426F73" w14:textId="77777777" w:rsidR="008702FE" w:rsidRPr="00A66496" w:rsidRDefault="008702FE" w:rsidP="003231CB">
            <w:pPr>
              <w:snapToGrid w:val="0"/>
              <w:rPr>
                <w:rFonts w:ascii="宋体" w:hAnsi="宋体"/>
                <w:sz w:val="24"/>
                <w:szCs w:val="24"/>
              </w:rPr>
            </w:pPr>
          </w:p>
        </w:tc>
        <w:tc>
          <w:tcPr>
            <w:tcW w:w="6920" w:type="dxa"/>
            <w:gridSpan w:val="2"/>
          </w:tcPr>
          <w:p w14:paraId="7ABA8C94" w14:textId="7C2334BD" w:rsidR="008702FE" w:rsidRPr="00A66496" w:rsidRDefault="008702FE" w:rsidP="003231CB">
            <w:pPr>
              <w:snapToGrid w:val="0"/>
              <w:rPr>
                <w:rFonts w:ascii="宋体" w:hAnsi="宋体"/>
                <w:sz w:val="24"/>
                <w:szCs w:val="24"/>
              </w:rPr>
            </w:pPr>
            <w:r w:rsidRPr="00A66496">
              <w:rPr>
                <w:rFonts w:ascii="宋体" w:hAnsi="宋体"/>
                <w:sz w:val="24"/>
                <w:szCs w:val="24"/>
              </w:rPr>
              <w:t>□6. 由两个以上的经营者共同控制的合营企业，通过集中被其中一个或一个以上经营者控制。</w:t>
            </w:r>
          </w:p>
        </w:tc>
      </w:tr>
      <w:tr w:rsidR="008702FE" w:rsidRPr="00A66496" w14:paraId="4F7BEE97" w14:textId="77777777" w:rsidTr="003269BC">
        <w:tc>
          <w:tcPr>
            <w:tcW w:w="1838" w:type="dxa"/>
            <w:shd w:val="clear" w:color="auto" w:fill="D9D9D9"/>
          </w:tcPr>
          <w:p w14:paraId="3955E299" w14:textId="4F3B110B" w:rsidR="008702FE" w:rsidRPr="00A66496" w:rsidRDefault="008702FE" w:rsidP="003231CB">
            <w:pPr>
              <w:snapToGrid w:val="0"/>
              <w:rPr>
                <w:rFonts w:ascii="宋体" w:hAnsi="宋体"/>
                <w:sz w:val="24"/>
                <w:szCs w:val="24"/>
              </w:rPr>
            </w:pPr>
            <w:r w:rsidRPr="00A66496">
              <w:rPr>
                <w:rFonts w:ascii="宋体" w:hAnsi="宋体"/>
                <w:sz w:val="24"/>
                <w:szCs w:val="24"/>
              </w:rPr>
              <w:t>备注</w:t>
            </w:r>
          </w:p>
        </w:tc>
        <w:tc>
          <w:tcPr>
            <w:tcW w:w="6920" w:type="dxa"/>
            <w:gridSpan w:val="2"/>
          </w:tcPr>
          <w:p w14:paraId="2EE2D7C2" w14:textId="23C2F6B3" w:rsidR="008702FE" w:rsidRPr="00A66496" w:rsidRDefault="008702FE" w:rsidP="003231CB">
            <w:pPr>
              <w:adjustRightInd w:val="0"/>
              <w:snapToGrid w:val="0"/>
              <w:rPr>
                <w:rFonts w:ascii="宋体" w:hAnsi="宋体"/>
                <w:bCs/>
                <w:color w:val="000000"/>
                <w:sz w:val="24"/>
                <w:szCs w:val="24"/>
              </w:rPr>
            </w:pPr>
            <w:r w:rsidRPr="00A66496">
              <w:rPr>
                <w:rFonts w:ascii="宋体" w:hAnsi="宋体" w:hint="eastAsia"/>
                <w:bCs/>
                <w:color w:val="000000"/>
                <w:sz w:val="24"/>
                <w:szCs w:val="24"/>
              </w:rPr>
              <w:t>不适用</w:t>
            </w:r>
          </w:p>
        </w:tc>
      </w:tr>
    </w:tbl>
    <w:p w14:paraId="70C98F55" w14:textId="77777777" w:rsidR="00B27B0C" w:rsidRPr="00B945D9" w:rsidRDefault="00B27B0C" w:rsidP="00642395">
      <w:pPr>
        <w:pStyle w:val="EndnoteText"/>
        <w:rPr>
          <w:rFonts w:ascii="Times New Roman" w:hAnsi="Times New Roman"/>
          <w:sz w:val="24"/>
          <w:szCs w:val="24"/>
        </w:rPr>
      </w:pPr>
    </w:p>
    <w:sectPr w:rsidR="00B27B0C" w:rsidRPr="00B945D9">
      <w:footerReference w:type="defaul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78FE8" w14:textId="77777777" w:rsidR="009548E5" w:rsidRDefault="009548E5" w:rsidP="008D4C61">
      <w:r>
        <w:separator/>
      </w:r>
    </w:p>
  </w:endnote>
  <w:endnote w:type="continuationSeparator" w:id="0">
    <w:p w14:paraId="1D1D5F36" w14:textId="77777777" w:rsidR="009548E5" w:rsidRDefault="009548E5" w:rsidP="008D4C61">
      <w:r>
        <w:continuationSeparator/>
      </w:r>
    </w:p>
  </w:endnote>
  <w:endnote w:type="continuationNotice" w:id="1">
    <w:p w14:paraId="74125EF7" w14:textId="77777777" w:rsidR="009548E5" w:rsidRDefault="00954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FangSong"/>
    <w:panose1 w:val="02010609030101010101"/>
    <w:charset w:val="86"/>
    <w:family w:val="modern"/>
    <w:pitch w:val="fixed"/>
    <w:sig w:usb0="800002BF" w:usb1="38CF7CFA" w:usb2="00000016" w:usb3="00000000" w:csb0="00040001" w:csb1="00000000"/>
  </w:font>
  <w:font w:name="华文楷体">
    <w:altName w:val="Microsoft YaHe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034890448"/>
      <w:docPartObj>
        <w:docPartGallery w:val="Page Numbers (Bottom of Page)"/>
        <w:docPartUnique/>
      </w:docPartObj>
    </w:sdtPr>
    <w:sdtEndPr>
      <w:rPr>
        <w:rFonts w:ascii="Times New Roman" w:hAnsi="Times New Roman"/>
        <w:noProof/>
      </w:rPr>
    </w:sdtEndPr>
    <w:sdtContent>
      <w:p w14:paraId="7F5BC107" w14:textId="67A83E24" w:rsidR="002249C6" w:rsidRPr="00FF288E" w:rsidRDefault="002249C6">
        <w:pPr>
          <w:pStyle w:val="Footer"/>
          <w:jc w:val="center"/>
          <w:rPr>
            <w:rFonts w:ascii="Times New Roman" w:hAnsi="Times New Roman"/>
            <w:sz w:val="16"/>
            <w:szCs w:val="16"/>
          </w:rPr>
        </w:pPr>
        <w:r w:rsidRPr="00FF288E">
          <w:rPr>
            <w:rFonts w:ascii="Times New Roman" w:hAnsi="Times New Roman"/>
            <w:sz w:val="16"/>
            <w:szCs w:val="16"/>
          </w:rPr>
          <w:fldChar w:fldCharType="begin"/>
        </w:r>
        <w:r w:rsidRPr="00FF288E">
          <w:rPr>
            <w:rFonts w:ascii="Times New Roman" w:hAnsi="Times New Roman"/>
            <w:sz w:val="16"/>
            <w:szCs w:val="16"/>
          </w:rPr>
          <w:instrText xml:space="preserve"> PAGE   \* MERGEFORMAT </w:instrText>
        </w:r>
        <w:r w:rsidRPr="00FF288E">
          <w:rPr>
            <w:rFonts w:ascii="Times New Roman" w:hAnsi="Times New Roman"/>
            <w:sz w:val="16"/>
            <w:szCs w:val="16"/>
          </w:rPr>
          <w:fldChar w:fldCharType="separate"/>
        </w:r>
        <w:r w:rsidR="006A3534" w:rsidRPr="00FF288E">
          <w:rPr>
            <w:rFonts w:ascii="Times New Roman" w:hAnsi="Times New Roman"/>
            <w:noProof/>
            <w:sz w:val="16"/>
            <w:szCs w:val="16"/>
          </w:rPr>
          <w:t>2</w:t>
        </w:r>
        <w:r w:rsidRPr="00FF288E">
          <w:rPr>
            <w:rFonts w:ascii="Times New Roman" w:hAnsi="Times New Roman"/>
            <w:noProof/>
            <w:sz w:val="16"/>
            <w:szCs w:val="16"/>
          </w:rPr>
          <w:fldChar w:fldCharType="end"/>
        </w:r>
      </w:p>
    </w:sdtContent>
  </w:sdt>
  <w:p w14:paraId="6B0519BF" w14:textId="4D12A65F" w:rsidR="00455A3A" w:rsidRDefault="00455A3A">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1FA75" w14:textId="4B8A6CCA" w:rsidR="00455A3A" w:rsidRDefault="00C77246">
    <w:pPr>
      <w:pStyle w:val="Footer"/>
      <w:spacing w:line="20" w:lineRule="exact"/>
    </w:pPr>
    <w:r>
      <w:rPr>
        <w:noProof/>
      </w:rPr>
      <mc:AlternateContent>
        <mc:Choice Requires="wps">
          <w:drawing>
            <wp:anchor distT="0" distB="0" distL="114300" distR="114300" simplePos="0" relativeHeight="251658240" behindDoc="1" locked="0" layoutInCell="1" allowOverlap="1" wp14:anchorId="0DE0CBBB" wp14:editId="43811EE1">
              <wp:simplePos x="0" y="0"/>
              <wp:positionH relativeFrom="margin">
                <wp:posOffset>0</wp:posOffset>
              </wp:positionH>
              <wp:positionV relativeFrom="paragraph">
                <wp:posOffset>-126365</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03F47A2D" w14:textId="5CC88886" w:rsidR="00455A3A" w:rsidRDefault="003231CB">
                          <w:pPr>
                            <w:pStyle w:val="MacPacTrailer"/>
                          </w:pPr>
                          <w:r>
                            <w:fldChar w:fldCharType="begin"/>
                          </w:r>
                          <w:r>
                            <w:instrText xml:space="preserve"> DOCPROPERTY  docId </w:instrText>
                          </w:r>
                          <w:r>
                            <w:fldChar w:fldCharType="separate"/>
                          </w:r>
                          <w:r w:rsidR="001D4676">
                            <w:t>-</w:t>
                          </w:r>
                          <w:r>
                            <w:fldChar w:fldCharType="end"/>
                          </w:r>
                          <w:r w:rsidR="00455A3A">
                            <w:fldChar w:fldCharType="begin"/>
                          </w:r>
                          <w:r w:rsidR="00455A3A">
                            <w:instrText xml:space="preserve"> IF </w:instrText>
                          </w:r>
                          <w:r>
                            <w:fldChar w:fldCharType="begin"/>
                          </w:r>
                          <w:r>
                            <w:instrText xml:space="preserve"> DOCPROPERTY  docIncludeVersion </w:instrText>
                          </w:r>
                          <w:r>
                            <w:fldChar w:fldCharType="separate"/>
                          </w:r>
                          <w:r w:rsidR="001D4676">
                            <w:instrText>true</w:instrText>
                          </w:r>
                          <w:r>
                            <w:fldChar w:fldCharType="end"/>
                          </w:r>
                          <w:r w:rsidR="00455A3A">
                            <w:instrText xml:space="preserve"> = true "/</w:instrText>
                          </w:r>
                          <w:r>
                            <w:fldChar w:fldCharType="begin"/>
                          </w:r>
                          <w:r>
                            <w:instrText xml:space="preserve"> DOCPROPERTY  docVersion </w:instrText>
                          </w:r>
                          <w:r>
                            <w:fldChar w:fldCharType="separate"/>
                          </w:r>
                          <w:r w:rsidR="001D4676">
                            <w:instrText>0</w:instrText>
                          </w:r>
                          <w:r>
                            <w:fldChar w:fldCharType="end"/>
                          </w:r>
                          <w:r w:rsidR="00455A3A">
                            <w:instrText>"</w:instrText>
                          </w:r>
                          <w:r w:rsidR="00455A3A">
                            <w:fldChar w:fldCharType="separate"/>
                          </w:r>
                          <w:r w:rsidR="001D4676">
                            <w:rPr>
                              <w:noProof/>
                            </w:rPr>
                            <w:t>/0</w:t>
                          </w:r>
                          <w:r w:rsidR="00455A3A">
                            <w:fldChar w:fldCharType="end"/>
                          </w:r>
                          <w:r w:rsidR="00455A3A">
                            <w:t xml:space="preserve">   </w:t>
                          </w:r>
                          <w:r w:rsidR="00455A3A">
                            <w:fldChar w:fldCharType="begin"/>
                          </w:r>
                          <w:r w:rsidR="00455A3A">
                            <w:instrText xml:space="preserve"> IF </w:instrText>
                          </w:r>
                          <w:r>
                            <w:fldChar w:fldCharType="begin"/>
                          </w:r>
                          <w:r>
                            <w:instrText xml:space="preserve"> DOCPROPERTY  docIncludeCliMat </w:instrText>
                          </w:r>
                          <w:r>
                            <w:fldChar w:fldCharType="separate"/>
                          </w:r>
                          <w:r w:rsidR="001D4676">
                            <w:instrText>true</w:instrText>
                          </w:r>
                          <w:r>
                            <w:fldChar w:fldCharType="end"/>
                          </w:r>
                          <w:r w:rsidR="00455A3A">
                            <w:instrText xml:space="preserve"> = true </w:instrText>
                          </w:r>
                          <w:r w:rsidR="00455A3A">
                            <w:fldChar w:fldCharType="begin"/>
                          </w:r>
                          <w:r w:rsidR="00455A3A">
                            <w:instrText xml:space="preserve"> DOCPROPERTY  docCliMat </w:instrText>
                          </w:r>
                          <w:r w:rsidR="00455A3A">
                            <w:fldChar w:fldCharType="end"/>
                          </w:r>
                          <w:r w:rsidR="00455A3A">
                            <w:instrText xml:space="preserve">  </w:instrText>
                          </w:r>
                          <w:r w:rsidR="00455A3A">
                            <w:fldChar w:fldCharType="end"/>
                          </w:r>
                        </w:p>
                        <w:p w14:paraId="54FFB2C7" w14:textId="787DD883" w:rsidR="00455A3A" w:rsidRDefault="00455A3A">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0CBBB" id="_x0000_t202" coordsize="21600,21600" o:spt="202" path="m,l,21600r21600,l21600,xe">
              <v:stroke joinstyle="miter"/>
              <v:path gradientshapeok="t" o:connecttype="rect"/>
            </v:shapetype>
            <v:shape id="Text Box 1" o:spid="_x0000_s1026" type="#_x0000_t202" style="position:absolute;left:0;text-align:left;margin-left:0;margin-top:-9.95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03F47A2D" w14:textId="5CC88886" w:rsidR="00455A3A" w:rsidRDefault="003231CB">
                    <w:pPr>
                      <w:pStyle w:val="MacPacTrailer"/>
                    </w:pPr>
                    <w:r>
                      <w:fldChar w:fldCharType="begin"/>
                    </w:r>
                    <w:r>
                      <w:instrText xml:space="preserve"> DOCPROPERTY  docId </w:instrText>
                    </w:r>
                    <w:r>
                      <w:fldChar w:fldCharType="separate"/>
                    </w:r>
                    <w:r w:rsidR="001D4676">
                      <w:t>-</w:t>
                    </w:r>
                    <w:r>
                      <w:fldChar w:fldCharType="end"/>
                    </w:r>
                    <w:r w:rsidR="00455A3A">
                      <w:fldChar w:fldCharType="begin"/>
                    </w:r>
                    <w:r w:rsidR="00455A3A">
                      <w:instrText xml:space="preserve"> IF </w:instrText>
                    </w:r>
                    <w:r>
                      <w:fldChar w:fldCharType="begin"/>
                    </w:r>
                    <w:r>
                      <w:instrText xml:space="preserve"> DOCPROPERTY  docIncludeVersion </w:instrText>
                    </w:r>
                    <w:r>
                      <w:fldChar w:fldCharType="separate"/>
                    </w:r>
                    <w:r w:rsidR="001D4676">
                      <w:instrText>true</w:instrText>
                    </w:r>
                    <w:r>
                      <w:fldChar w:fldCharType="end"/>
                    </w:r>
                    <w:r w:rsidR="00455A3A">
                      <w:instrText xml:space="preserve"> = true "/</w:instrText>
                    </w:r>
                    <w:r>
                      <w:fldChar w:fldCharType="begin"/>
                    </w:r>
                    <w:r>
                      <w:instrText xml:space="preserve"> DOCPROPERTY  docVersion </w:instrText>
                    </w:r>
                    <w:r>
                      <w:fldChar w:fldCharType="separate"/>
                    </w:r>
                    <w:r w:rsidR="001D4676">
                      <w:instrText>0</w:instrText>
                    </w:r>
                    <w:r>
                      <w:fldChar w:fldCharType="end"/>
                    </w:r>
                    <w:r w:rsidR="00455A3A">
                      <w:instrText>"</w:instrText>
                    </w:r>
                    <w:r w:rsidR="00455A3A">
                      <w:fldChar w:fldCharType="separate"/>
                    </w:r>
                    <w:r w:rsidR="001D4676">
                      <w:rPr>
                        <w:noProof/>
                      </w:rPr>
                      <w:t>/0</w:t>
                    </w:r>
                    <w:r w:rsidR="00455A3A">
                      <w:fldChar w:fldCharType="end"/>
                    </w:r>
                    <w:r w:rsidR="00455A3A">
                      <w:t xml:space="preserve">   </w:t>
                    </w:r>
                    <w:r w:rsidR="00455A3A">
                      <w:fldChar w:fldCharType="begin"/>
                    </w:r>
                    <w:r w:rsidR="00455A3A">
                      <w:instrText xml:space="preserve"> IF </w:instrText>
                    </w:r>
                    <w:r>
                      <w:fldChar w:fldCharType="begin"/>
                    </w:r>
                    <w:r>
                      <w:instrText xml:space="preserve"> DOCPROPERTY  docIncludeCliMat </w:instrText>
                    </w:r>
                    <w:r>
                      <w:fldChar w:fldCharType="separate"/>
                    </w:r>
                    <w:r w:rsidR="001D4676">
                      <w:instrText>true</w:instrText>
                    </w:r>
                    <w:r>
                      <w:fldChar w:fldCharType="end"/>
                    </w:r>
                    <w:r w:rsidR="00455A3A">
                      <w:instrText xml:space="preserve"> = true </w:instrText>
                    </w:r>
                    <w:r w:rsidR="00455A3A">
                      <w:fldChar w:fldCharType="begin"/>
                    </w:r>
                    <w:r w:rsidR="00455A3A">
                      <w:instrText xml:space="preserve"> DOCPROPERTY  docCliMat </w:instrText>
                    </w:r>
                    <w:r w:rsidR="00455A3A">
                      <w:fldChar w:fldCharType="end"/>
                    </w:r>
                    <w:r w:rsidR="00455A3A">
                      <w:instrText xml:space="preserve">  </w:instrText>
                    </w:r>
                    <w:r w:rsidR="00455A3A">
                      <w:fldChar w:fldCharType="end"/>
                    </w:r>
                  </w:p>
                  <w:p w14:paraId="54FFB2C7" w14:textId="787DD883" w:rsidR="00455A3A" w:rsidRDefault="00455A3A">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63D16" w14:textId="77777777" w:rsidR="009548E5" w:rsidRDefault="009548E5" w:rsidP="008D4C61">
      <w:r>
        <w:separator/>
      </w:r>
    </w:p>
  </w:footnote>
  <w:footnote w:type="continuationSeparator" w:id="0">
    <w:p w14:paraId="307E7371" w14:textId="77777777" w:rsidR="009548E5" w:rsidRDefault="009548E5" w:rsidP="008D4C61">
      <w:r>
        <w:continuationSeparator/>
      </w:r>
    </w:p>
  </w:footnote>
  <w:footnote w:type="continuationNotice" w:id="1">
    <w:p w14:paraId="17E95428" w14:textId="77777777" w:rsidR="009548E5" w:rsidRDefault="009548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9A1"/>
    <w:multiLevelType w:val="hybridMultilevel"/>
    <w:tmpl w:val="2DC6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71F08"/>
    <w:multiLevelType w:val="hybridMultilevel"/>
    <w:tmpl w:val="4916618A"/>
    <w:lvl w:ilvl="0" w:tplc="AA9005A0">
      <w:start w:val="4"/>
      <w:numFmt w:val="bullet"/>
      <w:lvlText w:val="-"/>
      <w:lvlJc w:val="left"/>
      <w:pPr>
        <w:ind w:left="720" w:hanging="360"/>
      </w:pPr>
      <w:rPr>
        <w:rFonts w:ascii="Times New Roman" w:eastAsia="仿宋_GB2312"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7B0A07"/>
    <w:multiLevelType w:val="hybridMultilevel"/>
    <w:tmpl w:val="D72A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54659"/>
    <w:multiLevelType w:val="hybridMultilevel"/>
    <w:tmpl w:val="1862C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783966">
    <w:abstractNumId w:val="3"/>
  </w:num>
  <w:num w:numId="2" w16cid:durableId="931812963">
    <w:abstractNumId w:val="1"/>
  </w:num>
  <w:num w:numId="3" w16cid:durableId="506678312">
    <w:abstractNumId w:val="0"/>
  </w:num>
  <w:num w:numId="4" w16cid:durableId="844247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a-cretford\AppData\Local\Temp\9\3da74179-3a33-42f6-aff9-f766e26957b2.docx"/>
    <w:docVar w:name="zzmp10LastTrailerInserted" w:val="^`~#mp!@D`B#!┝┪8=&gt;řmÓQËV⌙‧íTpw%C¬¾⌖`'J⌋!ì⌍c´2sÔÏ⌆⌝ã @æüö_E‿b⌚=⌋⌗‟é9çƄ6lÑØFºÃ×C”À⌗Ué⌊:^«G @¨ÓúÅâ®GT· ´⌍\⌒¼Ö:5'ÓÿZDs;VÕãŤûÈ!BÙ#äY⌞¨X”3­[º? ì2«eƄç=ÜF⌆ñ&gt;u⌒8´G⌓†‪⌄Ã  l²m²rˌâIýÓì˥″L⌎ùƆQ°⌚øKxOf©6ò0µOzÓ⌛æÇgƆAúøµÉ⌃Ú⌕ý†@Öê•ýÇXõ⌠wæìÚWýoûÏ­MVX{Í×.Ŧáò¾ùç9§èD⌊ZáÈL×e⌡M‖[ëd‿6lÝwféƛìO•†(⌅h:HmX*oß011"/>
    <w:docVar w:name="zzmp10LastTrailerInserted_2832" w:val="^`~#mp!@D`B#!┝┪8=&gt;řmÓQËV⌙‧íTpw%C¬¾⌖`'J⌋!ì⌍c´2sÔÏ⌆⌝ã @æüö_E‿b⌚=⌋⌗‟é9çƄ6lÑØFºÃ×C”À⌗Ué⌊:^«G @¨ÓúÅâ®GT· ´⌍\⌒¼Ö:5'ÓÿZDs;VÕãŤûÈ!BÙ#äY⌞¨X”3­[º? ì2«eƄç=ÜF⌆ñ&gt;u⌒8´G⌓†‪⌄Ã  l²m²rˌâIýÓì˥″L⌎ùƆQ°⌚øKxOf©6ò0µOzÓ⌛æÇgƆAúøµÉ⌃Ú⌕ý†@Öê•ýÇXõ⌠wæìÚWýoûÏ­MVX{Í×.Ŧáò¾ùç9§èD⌊ZáÈL×e⌡M‖[ëd‿6lÝwféƛìO•†(⌅h:HmX*oß011"/>
    <w:docVar w:name="zzmp10mSEGsValidated" w:val="1"/>
    <w:docVar w:name="zzmpCompatibilityMode" w:val="15"/>
    <w:docVar w:name="zzmpLegacyTrailerRemoved" w:val="True"/>
  </w:docVars>
  <w:rsids>
    <w:rsidRoot w:val="0025066F"/>
    <w:rsid w:val="00001545"/>
    <w:rsid w:val="00003857"/>
    <w:rsid w:val="00017A89"/>
    <w:rsid w:val="00017B95"/>
    <w:rsid w:val="00030D00"/>
    <w:rsid w:val="0003702D"/>
    <w:rsid w:val="00040832"/>
    <w:rsid w:val="00041428"/>
    <w:rsid w:val="0004727B"/>
    <w:rsid w:val="00061F0D"/>
    <w:rsid w:val="000728F1"/>
    <w:rsid w:val="000806AF"/>
    <w:rsid w:val="00083B81"/>
    <w:rsid w:val="000916E8"/>
    <w:rsid w:val="0009246F"/>
    <w:rsid w:val="00096E35"/>
    <w:rsid w:val="000A2A65"/>
    <w:rsid w:val="000A7E19"/>
    <w:rsid w:val="000B140B"/>
    <w:rsid w:val="000B1521"/>
    <w:rsid w:val="000B375A"/>
    <w:rsid w:val="000E20C7"/>
    <w:rsid w:val="000E449B"/>
    <w:rsid w:val="000F4D6E"/>
    <w:rsid w:val="0010063F"/>
    <w:rsid w:val="00111326"/>
    <w:rsid w:val="00116916"/>
    <w:rsid w:val="0012444E"/>
    <w:rsid w:val="0013364A"/>
    <w:rsid w:val="00133E5A"/>
    <w:rsid w:val="00136639"/>
    <w:rsid w:val="001414A7"/>
    <w:rsid w:val="001425D8"/>
    <w:rsid w:val="00162F94"/>
    <w:rsid w:val="00163896"/>
    <w:rsid w:val="00164CDE"/>
    <w:rsid w:val="001720E9"/>
    <w:rsid w:val="00173E89"/>
    <w:rsid w:val="00175169"/>
    <w:rsid w:val="001819FA"/>
    <w:rsid w:val="00181FF1"/>
    <w:rsid w:val="001874E0"/>
    <w:rsid w:val="001A3FBB"/>
    <w:rsid w:val="001A45FF"/>
    <w:rsid w:val="001B154A"/>
    <w:rsid w:val="001B55B9"/>
    <w:rsid w:val="001B60EF"/>
    <w:rsid w:val="001B7AAC"/>
    <w:rsid w:val="001C2627"/>
    <w:rsid w:val="001D4676"/>
    <w:rsid w:val="001E1E63"/>
    <w:rsid w:val="001E61C1"/>
    <w:rsid w:val="001F02B1"/>
    <w:rsid w:val="001F2432"/>
    <w:rsid w:val="001F5BF5"/>
    <w:rsid w:val="00207AE7"/>
    <w:rsid w:val="00210326"/>
    <w:rsid w:val="00211B63"/>
    <w:rsid w:val="00222474"/>
    <w:rsid w:val="002249C6"/>
    <w:rsid w:val="00227DF2"/>
    <w:rsid w:val="0023250D"/>
    <w:rsid w:val="00236AE6"/>
    <w:rsid w:val="002440CF"/>
    <w:rsid w:val="002441A3"/>
    <w:rsid w:val="00245C78"/>
    <w:rsid w:val="00247CDE"/>
    <w:rsid w:val="0025066F"/>
    <w:rsid w:val="0027647C"/>
    <w:rsid w:val="00276F85"/>
    <w:rsid w:val="0027787B"/>
    <w:rsid w:val="0028045A"/>
    <w:rsid w:val="00280974"/>
    <w:rsid w:val="00283C55"/>
    <w:rsid w:val="00293A6F"/>
    <w:rsid w:val="002A4DDF"/>
    <w:rsid w:val="002A5024"/>
    <w:rsid w:val="002A6A70"/>
    <w:rsid w:val="002B29F0"/>
    <w:rsid w:val="002C28FF"/>
    <w:rsid w:val="002C44E5"/>
    <w:rsid w:val="002C5EA5"/>
    <w:rsid w:val="002D0742"/>
    <w:rsid w:val="002E43F9"/>
    <w:rsid w:val="00310696"/>
    <w:rsid w:val="00311A8D"/>
    <w:rsid w:val="003120A7"/>
    <w:rsid w:val="0031423E"/>
    <w:rsid w:val="00316408"/>
    <w:rsid w:val="00317D94"/>
    <w:rsid w:val="003224A3"/>
    <w:rsid w:val="003231CB"/>
    <w:rsid w:val="003269BC"/>
    <w:rsid w:val="00335A57"/>
    <w:rsid w:val="003400B8"/>
    <w:rsid w:val="0034372C"/>
    <w:rsid w:val="00347F5E"/>
    <w:rsid w:val="003662FD"/>
    <w:rsid w:val="0036771F"/>
    <w:rsid w:val="00380F79"/>
    <w:rsid w:val="0039347A"/>
    <w:rsid w:val="00393CC4"/>
    <w:rsid w:val="00397E12"/>
    <w:rsid w:val="003A7C35"/>
    <w:rsid w:val="003B0359"/>
    <w:rsid w:val="003B7F75"/>
    <w:rsid w:val="003C2EEF"/>
    <w:rsid w:val="003C6901"/>
    <w:rsid w:val="003D0859"/>
    <w:rsid w:val="003E0927"/>
    <w:rsid w:val="003E5D4D"/>
    <w:rsid w:val="003F09ED"/>
    <w:rsid w:val="00401BD6"/>
    <w:rsid w:val="00404355"/>
    <w:rsid w:val="004069BC"/>
    <w:rsid w:val="00410E50"/>
    <w:rsid w:val="004214F0"/>
    <w:rsid w:val="0042386B"/>
    <w:rsid w:val="00425D37"/>
    <w:rsid w:val="00425DDB"/>
    <w:rsid w:val="004438B4"/>
    <w:rsid w:val="00446F83"/>
    <w:rsid w:val="00455A3A"/>
    <w:rsid w:val="00462731"/>
    <w:rsid w:val="004641A3"/>
    <w:rsid w:val="00474108"/>
    <w:rsid w:val="004748E5"/>
    <w:rsid w:val="00475630"/>
    <w:rsid w:val="004812A4"/>
    <w:rsid w:val="004817A6"/>
    <w:rsid w:val="004A0067"/>
    <w:rsid w:val="004A25B2"/>
    <w:rsid w:val="004A4E02"/>
    <w:rsid w:val="004B46C4"/>
    <w:rsid w:val="004B4DD1"/>
    <w:rsid w:val="004B6522"/>
    <w:rsid w:val="004B6CF9"/>
    <w:rsid w:val="004B74A2"/>
    <w:rsid w:val="004B78EE"/>
    <w:rsid w:val="004C6304"/>
    <w:rsid w:val="004D68D1"/>
    <w:rsid w:val="004D7015"/>
    <w:rsid w:val="004D7248"/>
    <w:rsid w:val="004E132B"/>
    <w:rsid w:val="004E58E8"/>
    <w:rsid w:val="004F30EC"/>
    <w:rsid w:val="004F7D46"/>
    <w:rsid w:val="00500B91"/>
    <w:rsid w:val="00507649"/>
    <w:rsid w:val="00515F77"/>
    <w:rsid w:val="00532B4A"/>
    <w:rsid w:val="00536174"/>
    <w:rsid w:val="0053645E"/>
    <w:rsid w:val="00536D00"/>
    <w:rsid w:val="00557272"/>
    <w:rsid w:val="00562CA8"/>
    <w:rsid w:val="00562EC8"/>
    <w:rsid w:val="005653C7"/>
    <w:rsid w:val="00565770"/>
    <w:rsid w:val="00595762"/>
    <w:rsid w:val="00596336"/>
    <w:rsid w:val="005A1732"/>
    <w:rsid w:val="005A2602"/>
    <w:rsid w:val="005B1753"/>
    <w:rsid w:val="005B77A0"/>
    <w:rsid w:val="005D179F"/>
    <w:rsid w:val="005D34A0"/>
    <w:rsid w:val="005D763F"/>
    <w:rsid w:val="005F7398"/>
    <w:rsid w:val="006000D7"/>
    <w:rsid w:val="006042AE"/>
    <w:rsid w:val="00604B3A"/>
    <w:rsid w:val="00621CE4"/>
    <w:rsid w:val="006301E3"/>
    <w:rsid w:val="00632165"/>
    <w:rsid w:val="00635187"/>
    <w:rsid w:val="006417CB"/>
    <w:rsid w:val="00641B63"/>
    <w:rsid w:val="00642395"/>
    <w:rsid w:val="00646B45"/>
    <w:rsid w:val="00654C8F"/>
    <w:rsid w:val="0065523A"/>
    <w:rsid w:val="00661140"/>
    <w:rsid w:val="006624F1"/>
    <w:rsid w:val="00667309"/>
    <w:rsid w:val="00680183"/>
    <w:rsid w:val="006823F0"/>
    <w:rsid w:val="0068399C"/>
    <w:rsid w:val="00686804"/>
    <w:rsid w:val="00690C55"/>
    <w:rsid w:val="006A3534"/>
    <w:rsid w:val="006A4017"/>
    <w:rsid w:val="006B1B2E"/>
    <w:rsid w:val="006B1B59"/>
    <w:rsid w:val="006B41AA"/>
    <w:rsid w:val="006C1200"/>
    <w:rsid w:val="006C54C2"/>
    <w:rsid w:val="006C6284"/>
    <w:rsid w:val="006D089F"/>
    <w:rsid w:val="006D1498"/>
    <w:rsid w:val="006E6C59"/>
    <w:rsid w:val="006F2772"/>
    <w:rsid w:val="00704995"/>
    <w:rsid w:val="0070516D"/>
    <w:rsid w:val="0071092A"/>
    <w:rsid w:val="007134EF"/>
    <w:rsid w:val="0071560C"/>
    <w:rsid w:val="00730DB5"/>
    <w:rsid w:val="007323BB"/>
    <w:rsid w:val="00734CB2"/>
    <w:rsid w:val="00735DF4"/>
    <w:rsid w:val="00742FEC"/>
    <w:rsid w:val="007465F0"/>
    <w:rsid w:val="0074706B"/>
    <w:rsid w:val="00771712"/>
    <w:rsid w:val="0077526E"/>
    <w:rsid w:val="00777444"/>
    <w:rsid w:val="007A40C5"/>
    <w:rsid w:val="007B4403"/>
    <w:rsid w:val="007C226D"/>
    <w:rsid w:val="007C5C3C"/>
    <w:rsid w:val="007D27FF"/>
    <w:rsid w:val="007D48DE"/>
    <w:rsid w:val="007D680B"/>
    <w:rsid w:val="007E0C77"/>
    <w:rsid w:val="007E5151"/>
    <w:rsid w:val="007E789D"/>
    <w:rsid w:val="007F1CBB"/>
    <w:rsid w:val="007F3E01"/>
    <w:rsid w:val="007F54A2"/>
    <w:rsid w:val="007F7A11"/>
    <w:rsid w:val="007F7CFA"/>
    <w:rsid w:val="00802A2F"/>
    <w:rsid w:val="00826A5D"/>
    <w:rsid w:val="00846082"/>
    <w:rsid w:val="00847265"/>
    <w:rsid w:val="00847E59"/>
    <w:rsid w:val="00855FA9"/>
    <w:rsid w:val="00862F51"/>
    <w:rsid w:val="008668E3"/>
    <w:rsid w:val="008702FE"/>
    <w:rsid w:val="00870558"/>
    <w:rsid w:val="00873737"/>
    <w:rsid w:val="00877413"/>
    <w:rsid w:val="00880914"/>
    <w:rsid w:val="00886A12"/>
    <w:rsid w:val="0089254E"/>
    <w:rsid w:val="008A48D9"/>
    <w:rsid w:val="008A729C"/>
    <w:rsid w:val="008B3EBC"/>
    <w:rsid w:val="008B78E9"/>
    <w:rsid w:val="008C4C37"/>
    <w:rsid w:val="008C72C6"/>
    <w:rsid w:val="008D049C"/>
    <w:rsid w:val="008D0561"/>
    <w:rsid w:val="008D4C61"/>
    <w:rsid w:val="008D648A"/>
    <w:rsid w:val="008D7CED"/>
    <w:rsid w:val="008E362B"/>
    <w:rsid w:val="008F2A87"/>
    <w:rsid w:val="008F3197"/>
    <w:rsid w:val="008F5261"/>
    <w:rsid w:val="008F5F4C"/>
    <w:rsid w:val="00903B1B"/>
    <w:rsid w:val="00905A02"/>
    <w:rsid w:val="00922C31"/>
    <w:rsid w:val="00927835"/>
    <w:rsid w:val="00933F38"/>
    <w:rsid w:val="00934704"/>
    <w:rsid w:val="0093555D"/>
    <w:rsid w:val="009466F6"/>
    <w:rsid w:val="00946F53"/>
    <w:rsid w:val="009478D6"/>
    <w:rsid w:val="009502DB"/>
    <w:rsid w:val="009548E5"/>
    <w:rsid w:val="00957152"/>
    <w:rsid w:val="00963A38"/>
    <w:rsid w:val="00975BED"/>
    <w:rsid w:val="009A6B07"/>
    <w:rsid w:val="009A7605"/>
    <w:rsid w:val="009B710B"/>
    <w:rsid w:val="009C10F0"/>
    <w:rsid w:val="009D4A72"/>
    <w:rsid w:val="009F3676"/>
    <w:rsid w:val="00A11016"/>
    <w:rsid w:val="00A121DD"/>
    <w:rsid w:val="00A12B71"/>
    <w:rsid w:val="00A17B8C"/>
    <w:rsid w:val="00A317D1"/>
    <w:rsid w:val="00A31DC7"/>
    <w:rsid w:val="00A326DB"/>
    <w:rsid w:val="00A33CEC"/>
    <w:rsid w:val="00A33DA8"/>
    <w:rsid w:val="00A4069C"/>
    <w:rsid w:val="00A424EB"/>
    <w:rsid w:val="00A434A1"/>
    <w:rsid w:val="00A66496"/>
    <w:rsid w:val="00A66795"/>
    <w:rsid w:val="00A7311F"/>
    <w:rsid w:val="00A7511C"/>
    <w:rsid w:val="00A81150"/>
    <w:rsid w:val="00A944DA"/>
    <w:rsid w:val="00A97572"/>
    <w:rsid w:val="00A9769A"/>
    <w:rsid w:val="00AA3ED9"/>
    <w:rsid w:val="00AA416F"/>
    <w:rsid w:val="00AA53B4"/>
    <w:rsid w:val="00AA5C58"/>
    <w:rsid w:val="00AB536E"/>
    <w:rsid w:val="00AB5B9E"/>
    <w:rsid w:val="00AC4A88"/>
    <w:rsid w:val="00AD032A"/>
    <w:rsid w:val="00AD4852"/>
    <w:rsid w:val="00AD58C4"/>
    <w:rsid w:val="00AE2B3A"/>
    <w:rsid w:val="00AE7B38"/>
    <w:rsid w:val="00AF1D8E"/>
    <w:rsid w:val="00AF7386"/>
    <w:rsid w:val="00B11C52"/>
    <w:rsid w:val="00B17C2A"/>
    <w:rsid w:val="00B23131"/>
    <w:rsid w:val="00B27B0C"/>
    <w:rsid w:val="00B31CD4"/>
    <w:rsid w:val="00B37795"/>
    <w:rsid w:val="00B37B53"/>
    <w:rsid w:val="00B42B0B"/>
    <w:rsid w:val="00B452A4"/>
    <w:rsid w:val="00B50CB2"/>
    <w:rsid w:val="00B57B47"/>
    <w:rsid w:val="00B6221B"/>
    <w:rsid w:val="00B646AB"/>
    <w:rsid w:val="00B75755"/>
    <w:rsid w:val="00B940ED"/>
    <w:rsid w:val="00B945D9"/>
    <w:rsid w:val="00B94BAC"/>
    <w:rsid w:val="00BA20C5"/>
    <w:rsid w:val="00BA621D"/>
    <w:rsid w:val="00BA66C1"/>
    <w:rsid w:val="00BB55D6"/>
    <w:rsid w:val="00BC5AB9"/>
    <w:rsid w:val="00BE1B10"/>
    <w:rsid w:val="00BF5183"/>
    <w:rsid w:val="00C0549D"/>
    <w:rsid w:val="00C06038"/>
    <w:rsid w:val="00C27009"/>
    <w:rsid w:val="00C350C3"/>
    <w:rsid w:val="00C5070F"/>
    <w:rsid w:val="00C523E5"/>
    <w:rsid w:val="00C67B7E"/>
    <w:rsid w:val="00C74E9F"/>
    <w:rsid w:val="00C7584C"/>
    <w:rsid w:val="00C76ECD"/>
    <w:rsid w:val="00C77246"/>
    <w:rsid w:val="00C8240E"/>
    <w:rsid w:val="00C9669C"/>
    <w:rsid w:val="00CA4254"/>
    <w:rsid w:val="00CB5C45"/>
    <w:rsid w:val="00CC3BE9"/>
    <w:rsid w:val="00CD1E99"/>
    <w:rsid w:val="00CD27DF"/>
    <w:rsid w:val="00CD756B"/>
    <w:rsid w:val="00CD7D64"/>
    <w:rsid w:val="00CE066B"/>
    <w:rsid w:val="00CF2DEE"/>
    <w:rsid w:val="00D02AFE"/>
    <w:rsid w:val="00D03942"/>
    <w:rsid w:val="00D04387"/>
    <w:rsid w:val="00D053EA"/>
    <w:rsid w:val="00D0733C"/>
    <w:rsid w:val="00D1687F"/>
    <w:rsid w:val="00D406BE"/>
    <w:rsid w:val="00D40A45"/>
    <w:rsid w:val="00D4357B"/>
    <w:rsid w:val="00D44961"/>
    <w:rsid w:val="00D44B4B"/>
    <w:rsid w:val="00D45FAF"/>
    <w:rsid w:val="00D50A73"/>
    <w:rsid w:val="00D52AF0"/>
    <w:rsid w:val="00D546BD"/>
    <w:rsid w:val="00D556CE"/>
    <w:rsid w:val="00D659AE"/>
    <w:rsid w:val="00D815E3"/>
    <w:rsid w:val="00D86DE0"/>
    <w:rsid w:val="00D93868"/>
    <w:rsid w:val="00DA7417"/>
    <w:rsid w:val="00DA7F16"/>
    <w:rsid w:val="00DB1217"/>
    <w:rsid w:val="00DB1FB2"/>
    <w:rsid w:val="00DB28F2"/>
    <w:rsid w:val="00DB5393"/>
    <w:rsid w:val="00DC0523"/>
    <w:rsid w:val="00DC6494"/>
    <w:rsid w:val="00DD2C65"/>
    <w:rsid w:val="00DD2CFC"/>
    <w:rsid w:val="00DE24D8"/>
    <w:rsid w:val="00DE322B"/>
    <w:rsid w:val="00DF094C"/>
    <w:rsid w:val="00DF7E9E"/>
    <w:rsid w:val="00E23257"/>
    <w:rsid w:val="00E2401D"/>
    <w:rsid w:val="00E2571E"/>
    <w:rsid w:val="00E340BD"/>
    <w:rsid w:val="00E40EB1"/>
    <w:rsid w:val="00E43BFE"/>
    <w:rsid w:val="00E5141F"/>
    <w:rsid w:val="00E54E97"/>
    <w:rsid w:val="00E62C2C"/>
    <w:rsid w:val="00E7403A"/>
    <w:rsid w:val="00E76810"/>
    <w:rsid w:val="00E811E9"/>
    <w:rsid w:val="00E83EBA"/>
    <w:rsid w:val="00E871F9"/>
    <w:rsid w:val="00E95C1F"/>
    <w:rsid w:val="00EB1BEF"/>
    <w:rsid w:val="00EB26D9"/>
    <w:rsid w:val="00EB3C9C"/>
    <w:rsid w:val="00EC45C4"/>
    <w:rsid w:val="00ED41BF"/>
    <w:rsid w:val="00ED5B87"/>
    <w:rsid w:val="00EF6FB1"/>
    <w:rsid w:val="00F12B02"/>
    <w:rsid w:val="00F13E0E"/>
    <w:rsid w:val="00F1540C"/>
    <w:rsid w:val="00F200F2"/>
    <w:rsid w:val="00F26897"/>
    <w:rsid w:val="00F31BD1"/>
    <w:rsid w:val="00F31E30"/>
    <w:rsid w:val="00F43D0B"/>
    <w:rsid w:val="00F524DE"/>
    <w:rsid w:val="00F56463"/>
    <w:rsid w:val="00F6106C"/>
    <w:rsid w:val="00F657A6"/>
    <w:rsid w:val="00F70419"/>
    <w:rsid w:val="00F81796"/>
    <w:rsid w:val="00F82069"/>
    <w:rsid w:val="00F875D4"/>
    <w:rsid w:val="00F934AA"/>
    <w:rsid w:val="00F96E47"/>
    <w:rsid w:val="00F97290"/>
    <w:rsid w:val="00FA7A0D"/>
    <w:rsid w:val="00FC4504"/>
    <w:rsid w:val="00FD21F0"/>
    <w:rsid w:val="00FF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E8AC"/>
  <w15:chartTrackingRefBased/>
  <w15:docId w15:val="{682538A1-134A-4213-B0B7-5218A8F9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华文楷体" w:hAnsi="Times New Roman" w:cs="Calibri"/>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6F"/>
    <w:pPr>
      <w:widowControl w:val="0"/>
      <w:spacing w:after="0" w:line="240" w:lineRule="auto"/>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5066F"/>
    <w:pPr>
      <w:snapToGrid w:val="0"/>
      <w:jc w:val="left"/>
    </w:pPr>
  </w:style>
  <w:style w:type="character" w:customStyle="1" w:styleId="EndnoteTextChar">
    <w:name w:val="Endnote Text Char"/>
    <w:basedOn w:val="DefaultParagraphFont"/>
    <w:link w:val="EndnoteText"/>
    <w:semiHidden/>
    <w:rsid w:val="0025066F"/>
    <w:rPr>
      <w:rFonts w:ascii="Calibri" w:eastAsia="宋体" w:hAnsi="Calibri" w:cs="Times New Roman"/>
      <w:kern w:val="2"/>
      <w:sz w:val="21"/>
      <w:szCs w:val="22"/>
    </w:rPr>
  </w:style>
  <w:style w:type="paragraph" w:styleId="BalloonText">
    <w:name w:val="Balloon Text"/>
    <w:basedOn w:val="Normal"/>
    <w:link w:val="BalloonTextChar"/>
    <w:uiPriority w:val="99"/>
    <w:semiHidden/>
    <w:unhideWhenUsed/>
    <w:rsid w:val="00280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974"/>
    <w:rPr>
      <w:rFonts w:ascii="Segoe UI" w:eastAsia="宋体" w:hAnsi="Segoe UI" w:cs="Segoe UI"/>
      <w:kern w:val="2"/>
      <w:sz w:val="18"/>
      <w:szCs w:val="18"/>
    </w:rPr>
  </w:style>
  <w:style w:type="paragraph" w:styleId="Header">
    <w:name w:val="header"/>
    <w:basedOn w:val="Normal"/>
    <w:link w:val="HeaderChar"/>
    <w:uiPriority w:val="99"/>
    <w:unhideWhenUsed/>
    <w:rsid w:val="008D4C61"/>
    <w:pPr>
      <w:tabs>
        <w:tab w:val="center" w:pos="4320"/>
        <w:tab w:val="right" w:pos="8640"/>
      </w:tabs>
    </w:pPr>
  </w:style>
  <w:style w:type="character" w:customStyle="1" w:styleId="HeaderChar">
    <w:name w:val="Header Char"/>
    <w:basedOn w:val="DefaultParagraphFont"/>
    <w:link w:val="Header"/>
    <w:uiPriority w:val="99"/>
    <w:rsid w:val="008D4C61"/>
    <w:rPr>
      <w:rFonts w:ascii="Calibri" w:eastAsia="宋体" w:hAnsi="Calibri" w:cs="Times New Roman"/>
      <w:kern w:val="2"/>
      <w:sz w:val="21"/>
      <w:szCs w:val="22"/>
    </w:rPr>
  </w:style>
  <w:style w:type="paragraph" w:styleId="Footer">
    <w:name w:val="footer"/>
    <w:basedOn w:val="Normal"/>
    <w:link w:val="FooterChar"/>
    <w:uiPriority w:val="99"/>
    <w:unhideWhenUsed/>
    <w:rsid w:val="008D4C61"/>
    <w:pPr>
      <w:tabs>
        <w:tab w:val="center" w:pos="4320"/>
        <w:tab w:val="right" w:pos="8640"/>
      </w:tabs>
    </w:pPr>
  </w:style>
  <w:style w:type="character" w:customStyle="1" w:styleId="FooterChar">
    <w:name w:val="Footer Char"/>
    <w:basedOn w:val="DefaultParagraphFont"/>
    <w:link w:val="Footer"/>
    <w:uiPriority w:val="99"/>
    <w:rsid w:val="008D4C61"/>
    <w:rPr>
      <w:rFonts w:ascii="Calibri" w:eastAsia="宋体" w:hAnsi="Calibri" w:cs="Times New Roman"/>
      <w:kern w:val="2"/>
      <w:sz w:val="21"/>
      <w:szCs w:val="22"/>
    </w:rPr>
  </w:style>
  <w:style w:type="character" w:styleId="CommentReference">
    <w:name w:val="annotation reference"/>
    <w:basedOn w:val="DefaultParagraphFont"/>
    <w:uiPriority w:val="99"/>
    <w:semiHidden/>
    <w:unhideWhenUsed/>
    <w:rsid w:val="00F26897"/>
    <w:rPr>
      <w:sz w:val="16"/>
      <w:szCs w:val="16"/>
    </w:rPr>
  </w:style>
  <w:style w:type="paragraph" w:styleId="CommentText">
    <w:name w:val="annotation text"/>
    <w:basedOn w:val="Normal"/>
    <w:link w:val="CommentTextChar"/>
    <w:uiPriority w:val="99"/>
    <w:unhideWhenUsed/>
    <w:rsid w:val="00F26897"/>
    <w:rPr>
      <w:sz w:val="20"/>
      <w:szCs w:val="20"/>
    </w:rPr>
  </w:style>
  <w:style w:type="character" w:customStyle="1" w:styleId="CommentTextChar">
    <w:name w:val="Comment Text Char"/>
    <w:basedOn w:val="DefaultParagraphFont"/>
    <w:link w:val="CommentText"/>
    <w:uiPriority w:val="99"/>
    <w:rsid w:val="00F26897"/>
    <w:rPr>
      <w:rFonts w:ascii="Calibri" w:eastAsia="宋体" w:hAnsi="Calibri" w:cs="Times New Roman"/>
      <w:kern w:val="2"/>
      <w:sz w:val="20"/>
      <w:szCs w:val="20"/>
    </w:rPr>
  </w:style>
  <w:style w:type="paragraph" w:styleId="CommentSubject">
    <w:name w:val="annotation subject"/>
    <w:basedOn w:val="CommentText"/>
    <w:next w:val="CommentText"/>
    <w:link w:val="CommentSubjectChar"/>
    <w:uiPriority w:val="99"/>
    <w:semiHidden/>
    <w:unhideWhenUsed/>
    <w:rsid w:val="00F26897"/>
    <w:rPr>
      <w:b/>
      <w:bCs/>
    </w:rPr>
  </w:style>
  <w:style w:type="character" w:customStyle="1" w:styleId="CommentSubjectChar">
    <w:name w:val="Comment Subject Char"/>
    <w:basedOn w:val="CommentTextChar"/>
    <w:link w:val="CommentSubject"/>
    <w:uiPriority w:val="99"/>
    <w:semiHidden/>
    <w:rsid w:val="00F26897"/>
    <w:rPr>
      <w:rFonts w:ascii="Calibri" w:eastAsia="宋体" w:hAnsi="Calibri" w:cs="Times New Roman"/>
      <w:b/>
      <w:bCs/>
      <w:kern w:val="2"/>
      <w:sz w:val="20"/>
      <w:szCs w:val="20"/>
    </w:rPr>
  </w:style>
  <w:style w:type="paragraph" w:customStyle="1" w:styleId="MacPacTrailer">
    <w:name w:val="MacPac Trailer"/>
    <w:rsid w:val="00455A3A"/>
    <w:pPr>
      <w:widowControl w:val="0"/>
      <w:spacing w:line="170" w:lineRule="exact"/>
    </w:pPr>
    <w:rPr>
      <w:sz w:val="14"/>
      <w:szCs w:val="22"/>
    </w:rPr>
  </w:style>
  <w:style w:type="character" w:styleId="PlaceholderText">
    <w:name w:val="Placeholder Text"/>
    <w:basedOn w:val="DefaultParagraphFont"/>
    <w:uiPriority w:val="99"/>
    <w:semiHidden/>
    <w:rsid w:val="00455A3A"/>
    <w:rPr>
      <w:color w:val="808080"/>
    </w:rPr>
  </w:style>
  <w:style w:type="paragraph" w:styleId="ListParagraph">
    <w:name w:val="List Paragraph"/>
    <w:basedOn w:val="Normal"/>
    <w:uiPriority w:val="34"/>
    <w:qFormat/>
    <w:rsid w:val="005D179F"/>
    <w:pPr>
      <w:ind w:left="720"/>
      <w:contextualSpacing/>
    </w:pPr>
  </w:style>
  <w:style w:type="character" w:styleId="Hyperlink">
    <w:name w:val="Hyperlink"/>
    <w:basedOn w:val="DefaultParagraphFont"/>
    <w:uiPriority w:val="99"/>
    <w:unhideWhenUsed/>
    <w:rsid w:val="00AA3ED9"/>
    <w:rPr>
      <w:color w:val="0000FF"/>
      <w:u w:val="single"/>
    </w:rPr>
  </w:style>
  <w:style w:type="character" w:styleId="FollowedHyperlink">
    <w:name w:val="FollowedHyperlink"/>
    <w:basedOn w:val="DefaultParagraphFont"/>
    <w:uiPriority w:val="99"/>
    <w:semiHidden/>
    <w:unhideWhenUsed/>
    <w:rsid w:val="004A0067"/>
    <w:rPr>
      <w:color w:val="954F72" w:themeColor="followedHyperlink"/>
      <w:u w:val="single"/>
    </w:rPr>
  </w:style>
  <w:style w:type="paragraph" w:styleId="FootnoteText">
    <w:name w:val="footnote text"/>
    <w:aliases w:val="ALTS FOOTNOTE,Car,Footnote Text Char Car,Footnote Text Char Car Car Car Car Car,Texto nota pie Car,Texto nota pie Car Car Car,Texto nota pie Car Car Car Car Car,Texto nota pie Car1 Car,Texto nota pie Car1 Car Car Car,fn,fn Car Car Car Car"/>
    <w:basedOn w:val="Normal"/>
    <w:link w:val="FootnoteTextChar"/>
    <w:uiPriority w:val="99"/>
    <w:qFormat/>
    <w:rsid w:val="00DF7E9E"/>
    <w:pPr>
      <w:snapToGrid w:val="0"/>
      <w:jc w:val="left"/>
    </w:pPr>
    <w:rPr>
      <w:rFonts w:ascii="Times New Roman" w:hAnsi="Times New Roman"/>
      <w:sz w:val="18"/>
      <w:szCs w:val="18"/>
    </w:rPr>
  </w:style>
  <w:style w:type="character" w:customStyle="1" w:styleId="FootnoteTextChar">
    <w:name w:val="Footnote Text Char"/>
    <w:aliases w:val="ALTS FOOTNOTE Char,Car Char,Footnote Text Char Car Char,Footnote Text Char Car Car Car Car Car Char,Texto nota pie Car Char,Texto nota pie Car Car Car Char,Texto nota pie Car Car Car Car Car Char,Texto nota pie Car1 Car Char,fn Char"/>
    <w:basedOn w:val="DefaultParagraphFont"/>
    <w:link w:val="FootnoteText"/>
    <w:uiPriority w:val="99"/>
    <w:rsid w:val="00DF7E9E"/>
    <w:rPr>
      <w:rFonts w:eastAsia="宋体" w:cs="Times New Roman"/>
      <w:kern w:val="2"/>
      <w:sz w:val="18"/>
      <w:szCs w:val="18"/>
    </w:rPr>
  </w:style>
  <w:style w:type="character" w:styleId="FootnoteReference">
    <w:name w:val="footnote reference"/>
    <w:aliases w:val="(NECG) Footnote Reference,BVI fnr,EN Footnote Reference,EN Footnote Text,Footnote Reference Number,Footnote Reference_LVL6,Footnote Reference_LVL61,Footnote Reference_LVL62,Footnote Reference_LVL63,Footnote Reference_LVL64,fr,FC,Ref,o"/>
    <w:uiPriority w:val="99"/>
    <w:qFormat/>
    <w:rsid w:val="00DF7E9E"/>
    <w:rPr>
      <w:vertAlign w:val="superscript"/>
    </w:rPr>
  </w:style>
  <w:style w:type="table" w:styleId="TableGrid">
    <w:name w:val="Table Grid"/>
    <w:basedOn w:val="TableNormal"/>
    <w:rsid w:val="005653C7"/>
    <w:pPr>
      <w:spacing w:after="0" w:line="240" w:lineRule="auto"/>
    </w:pPr>
    <w:rPr>
      <w:rFonts w:eastAsia="宋体"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6F2772"/>
    <w:rPr>
      <w:color w:val="605E5C"/>
      <w:shd w:val="clear" w:color="auto" w:fill="E1DFDD"/>
    </w:rPr>
  </w:style>
  <w:style w:type="paragraph" w:styleId="Revision">
    <w:name w:val="Revision"/>
    <w:hidden/>
    <w:uiPriority w:val="99"/>
    <w:semiHidden/>
    <w:rsid w:val="00311A8D"/>
    <w:pPr>
      <w:spacing w:after="0" w:line="240" w:lineRule="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581868">
      <w:bodyDiv w:val="1"/>
      <w:marLeft w:val="0"/>
      <w:marRight w:val="0"/>
      <w:marTop w:val="0"/>
      <w:marBottom w:val="0"/>
      <w:divBdr>
        <w:top w:val="none" w:sz="0" w:space="0" w:color="auto"/>
        <w:left w:val="none" w:sz="0" w:space="0" w:color="auto"/>
        <w:bottom w:val="none" w:sz="0" w:space="0" w:color="auto"/>
        <w:right w:val="none" w:sz="0" w:space="0" w:color="auto"/>
      </w:divBdr>
    </w:div>
    <w:div w:id="915169030">
      <w:bodyDiv w:val="1"/>
      <w:marLeft w:val="0"/>
      <w:marRight w:val="0"/>
      <w:marTop w:val="0"/>
      <w:marBottom w:val="0"/>
      <w:divBdr>
        <w:top w:val="none" w:sz="0" w:space="0" w:color="auto"/>
        <w:left w:val="none" w:sz="0" w:space="0" w:color="auto"/>
        <w:bottom w:val="none" w:sz="0" w:space="0" w:color="auto"/>
        <w:right w:val="none" w:sz="0" w:space="0" w:color="auto"/>
      </w:divBdr>
    </w:div>
    <w:div w:id="1339649658">
      <w:bodyDiv w:val="1"/>
      <w:marLeft w:val="0"/>
      <w:marRight w:val="0"/>
      <w:marTop w:val="0"/>
      <w:marBottom w:val="0"/>
      <w:divBdr>
        <w:top w:val="none" w:sz="0" w:space="0" w:color="auto"/>
        <w:left w:val="none" w:sz="0" w:space="0" w:color="auto"/>
        <w:bottom w:val="none" w:sz="0" w:space="0" w:color="auto"/>
        <w:right w:val="none" w:sz="0" w:space="0" w:color="auto"/>
      </w:divBdr>
      <w:divsChild>
        <w:div w:id="1032609717">
          <w:marLeft w:val="0"/>
          <w:marRight w:val="0"/>
          <w:marTop w:val="0"/>
          <w:marBottom w:val="0"/>
          <w:divBdr>
            <w:top w:val="none" w:sz="0" w:space="0" w:color="auto"/>
            <w:left w:val="none" w:sz="0" w:space="0" w:color="auto"/>
            <w:bottom w:val="none" w:sz="0" w:space="0" w:color="auto"/>
            <w:right w:val="none" w:sz="0" w:space="0" w:color="auto"/>
          </w:divBdr>
        </w:div>
      </w:divsChild>
    </w:div>
    <w:div w:id="15305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BEF7B70C4AB7804C914BB3815B62750E" ma:contentTypeVersion="20" ma:contentTypeDescription="新建文档。" ma:contentTypeScope="" ma:versionID="93b63605bdbec139cd2536d42c115c63">
  <xsd:schema xmlns:xsd="http://www.w3.org/2001/XMLSchema" xmlns:xs="http://www.w3.org/2001/XMLSchema" xmlns:p="http://schemas.microsoft.com/office/2006/metadata/properties" xmlns:ns2="82ca9465-6592-4865-8df8-50b29f99d77c" xmlns:ns3="7f5a0742-ef6e-487d-b85c-bcb0b91a525f" targetNamespace="http://schemas.microsoft.com/office/2006/metadata/properties" ma:root="true" ma:fieldsID="b5d56709bed4c8f981ccef8525b365a2" ns2:_="" ns3:_="">
    <xsd:import namespace="82ca9465-6592-4865-8df8-50b29f99d77c"/>
    <xsd:import namespace="7f5a0742-ef6e-487d-b85c-bcb0b91a525f"/>
    <xsd:element name="properties">
      <xsd:complexType>
        <xsd:sequence>
          <xsd:element name="documentManagement">
            <xsd:complexType>
              <xsd:all>
                <xsd:element ref="ns2:MediaServiceMetadata" minOccurs="0"/>
                <xsd:element ref="ns2:MediaServiceFastMetadata"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a9465-6592-4865-8df8-50b29f99d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lcf76f155ced4ddcb4097134ff3c332f" ma:index="18" nillable="true" ma:taxonomy="true" ma:internalName="lcf76f155ced4ddcb4097134ff3c332f" ma:taxonomyFieldName="MediaServiceImageTags" ma:displayName="图像标记" ma:readOnly="false" ma:fieldId="{5cf76f15-5ced-4ddc-b409-7134ff3c332f}" ma:taxonomyMulti="true" ma:sspId="6fff69b7-1d2f-49b1-93d9-38fb064e8c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a0742-ef6e-487d-b85c-bcb0b91a525f" elementFormDefault="qualified">
    <xsd:import namespace="http://schemas.microsoft.com/office/2006/documentManagement/types"/>
    <xsd:import namespace="http://schemas.microsoft.com/office/infopath/2007/PartnerControls"/>
    <xsd:element name="SharedWithUsers" ma:index="15"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享对象详细信息" ma:internalName="SharedWithDetails" ma:readOnly="true">
      <xsd:simpleType>
        <xsd:restriction base="dms:Note">
          <xsd:maxLength value="255"/>
        </xsd:restriction>
      </xsd:simpleType>
    </xsd:element>
    <xsd:element name="TaxCatchAll" ma:index="19" nillable="true" ma:displayName="Taxonomy Catch All Column" ma:hidden="true" ma:list="{383313bb-d8c6-4775-ab41-8402ec7b5384}" ma:internalName="TaxCatchAll" ma:showField="CatchAllData" ma:web="7f5a0742-ef6e-487d-b85c-bcb0b91a5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DocumentLibraryPermissions xmlns="82ca9465-6592-4865-8df8-50b29f99d77c" xsi:nil="true"/>
    <MigrationWizIdSecurityGroups xmlns="82ca9465-6592-4865-8df8-50b29f99d77c" xsi:nil="true"/>
    <MigrationWizIdPermissions xmlns="82ca9465-6592-4865-8df8-50b29f99d77c" xsi:nil="true"/>
    <lcf76f155ced4ddcb4097134ff3c332f xmlns="82ca9465-6592-4865-8df8-50b29f99d77c">
      <Terms xmlns="http://schemas.microsoft.com/office/infopath/2007/PartnerControls"/>
    </lcf76f155ced4ddcb4097134ff3c332f>
    <MigrationWizIdPermissionLevels xmlns="82ca9465-6592-4865-8df8-50b29f99d77c" xsi:nil="true"/>
    <TaxCatchAll xmlns="7f5a0742-ef6e-487d-b85c-bcb0b91a525f" xsi:nil="true"/>
    <MigrationWizId xmlns="82ca9465-6592-4865-8df8-50b29f99d77c" xsi:nil="true"/>
  </documentManagement>
</p:properties>
</file>

<file path=customXml/itemProps1.xml><?xml version="1.0" encoding="utf-8"?>
<ds:datastoreItem xmlns:ds="http://schemas.openxmlformats.org/officeDocument/2006/customXml" ds:itemID="{8FAC413C-B05D-42D0-B37F-CDF17CE7D89F}">
  <ds:schemaRefs>
    <ds:schemaRef ds:uri="http://schemas.microsoft.com/sharepoint/v3/contenttype/forms"/>
  </ds:schemaRefs>
</ds:datastoreItem>
</file>

<file path=customXml/itemProps2.xml><?xml version="1.0" encoding="utf-8"?>
<ds:datastoreItem xmlns:ds="http://schemas.openxmlformats.org/officeDocument/2006/customXml" ds:itemID="{BE699386-5C06-4B53-8DB9-5A8E21E33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a9465-6592-4865-8df8-50b29f99d77c"/>
    <ds:schemaRef ds:uri="7f5a0742-ef6e-487d-b85c-bcb0b91a5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11022-E60C-42C1-A571-E90D83B28E96}">
  <ds:schemaRefs>
    <ds:schemaRef ds:uri="http://schemas.openxmlformats.org/officeDocument/2006/bibliography"/>
  </ds:schemaRefs>
</ds:datastoreItem>
</file>

<file path=customXml/itemProps4.xml><?xml version="1.0" encoding="utf-8"?>
<ds:datastoreItem xmlns:ds="http://schemas.openxmlformats.org/officeDocument/2006/customXml" ds:itemID="{99BF7644-13BB-437F-8A3F-E6B685454AD5}">
  <ds:schemaRefs>
    <ds:schemaRef ds:uri="http://schemas.microsoft.com/office/2006/metadata/properties"/>
    <ds:schemaRef ds:uri="http://schemas.microsoft.com/office/infopath/2007/PartnerControls"/>
    <ds:schemaRef ds:uri="82ca9465-6592-4865-8df8-50b29f99d77c"/>
    <ds:schemaRef ds:uri="7f5a0742-ef6e-487d-b85c-bcb0b91a525f"/>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165</Words>
  <Characters>942</Characters>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2023-08-04T06:52:00Z</dcterms:created>
  <dcterms:modified xsi:type="dcterms:W3CDTF">2024-09-02T02:03:00Z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vt:lpwstr>
  </property>
  <property fmtid="{D5CDD505-2E9C-101B-9397-08002B2CF9AE}" pid="3" name="docVersion">
    <vt:lpwstr>0</vt:lpwstr>
  </property>
  <property fmtid="{D5CDD505-2E9C-101B-9397-08002B2CF9AE}" pid="4" name="docCliMat">
    <vt:lpwstr/>
  </property>
  <property fmtid="{D5CDD505-2E9C-101B-9397-08002B2CF9AE}" pid="5" name="docIncludeCliMat">
    <vt:lpwstr>true</vt:lpwstr>
  </property>
  <property fmtid="{D5CDD505-2E9C-101B-9397-08002B2CF9AE}" pid="6" name="docIncludeVersion">
    <vt:lpwstr>true</vt:lpwstr>
  </property>
  <property fmtid="{D5CDD505-2E9C-101B-9397-08002B2CF9AE}" pid="7" name="MSIP_Label_cbd44c7d-620d-47a0-b6d1-13ac1e5903bc_Enabled">
    <vt:lpwstr>true</vt:lpwstr>
  </property>
  <property fmtid="{D5CDD505-2E9C-101B-9397-08002B2CF9AE}" pid="8" name="MSIP_Label_cbd44c7d-620d-47a0-b6d1-13ac1e5903bc_SetDate">
    <vt:lpwstr>2022-02-15T01:10:47Z</vt:lpwstr>
  </property>
  <property fmtid="{D5CDD505-2E9C-101B-9397-08002B2CF9AE}" pid="9" name="MSIP_Label_cbd44c7d-620d-47a0-b6d1-13ac1e5903bc_Method">
    <vt:lpwstr>Standard</vt:lpwstr>
  </property>
  <property fmtid="{D5CDD505-2E9C-101B-9397-08002B2CF9AE}" pid="10" name="MSIP_Label_cbd44c7d-620d-47a0-b6d1-13ac1e5903bc_Name">
    <vt:lpwstr>Privilégiée - Pilote Affaires Juridiques</vt:lpwstr>
  </property>
  <property fmtid="{D5CDD505-2E9C-101B-9397-08002B2CF9AE}" pid="11" name="MSIP_Label_cbd44c7d-620d-47a0-b6d1-13ac1e5903bc_SiteId">
    <vt:lpwstr>0bdbe027-8f50-4ec3-843f-e27c41a63957</vt:lpwstr>
  </property>
  <property fmtid="{D5CDD505-2E9C-101B-9397-08002B2CF9AE}" pid="12" name="MSIP_Label_cbd44c7d-620d-47a0-b6d1-13ac1e5903bc_ActionId">
    <vt:lpwstr>deb58a57-db4c-44a1-8db5-c351775d4904</vt:lpwstr>
  </property>
  <property fmtid="{D5CDD505-2E9C-101B-9397-08002B2CF9AE}" pid="13" name="MSIP_Label_cbd44c7d-620d-47a0-b6d1-13ac1e5903bc_ContentBits">
    <vt:lpwstr>0</vt:lpwstr>
  </property>
  <property fmtid="{D5CDD505-2E9C-101B-9397-08002B2CF9AE}" pid="14" name="MSIP_Label_defa4170-0d19-0005-0004-bc88714345d2_Enabled">
    <vt:lpwstr>true</vt:lpwstr>
  </property>
  <property fmtid="{D5CDD505-2E9C-101B-9397-08002B2CF9AE}" pid="15" name="MSIP_Label_defa4170-0d19-0005-0004-bc88714345d2_SetDate">
    <vt:lpwstr>2022-09-27T04:47:23Z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72cc5fdb-a93d-45a1-af73-3d9fe980f90f</vt:lpwstr>
  </property>
  <property fmtid="{D5CDD505-2E9C-101B-9397-08002B2CF9AE}" pid="19" name="MSIP_Label_defa4170-0d19-0005-0004-bc88714345d2_ActionId">
    <vt:lpwstr>81417ff5-279c-4b8e-bb40-8e927cba6698</vt:lpwstr>
  </property>
  <property fmtid="{D5CDD505-2E9C-101B-9397-08002B2CF9AE}" pid="20" name="MSIP_Label_defa4170-0d19-0005-0004-bc88714345d2_ContentBits">
    <vt:lpwstr>0</vt:lpwstr>
  </property>
  <property fmtid="{D5CDD505-2E9C-101B-9397-08002B2CF9AE}" pid="21" name="ContentTypeId">
    <vt:lpwstr>0x010100BEF7B70C4AB7804C914BB3815B62750E</vt:lpwstr>
  </property>
  <property fmtid="{D5CDD505-2E9C-101B-9397-08002B2CF9AE}" pid="22" name="MediaServiceImageTags">
    <vt:lpwstr/>
  </property>
</Properties>
</file>