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43E10" w14:textId="629F2E42" w:rsidR="005563A6" w:rsidRPr="00A510BF" w:rsidRDefault="00A510BF" w:rsidP="000C4CAD">
      <w:pPr>
        <w:jc w:val="center"/>
        <w:rPr>
          <w:rFonts w:ascii="Times New Roman" w:eastAsia="黑体" w:hAnsi="Times New Roman"/>
          <w:b/>
          <w:sz w:val="36"/>
          <w:szCs w:val="32"/>
        </w:rPr>
      </w:pPr>
      <w:r w:rsidRPr="00A510BF">
        <w:rPr>
          <w:rFonts w:ascii="Times New Roman" w:eastAsia="黑体" w:hAnsi="Times New Roman" w:hint="eastAsia"/>
          <w:b/>
          <w:sz w:val="36"/>
          <w:szCs w:val="32"/>
        </w:rPr>
        <w:t>经营者集中简易案件公示表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889"/>
        <w:gridCol w:w="4955"/>
      </w:tblGrid>
      <w:tr w:rsidR="00AA161F" w:rsidRPr="000C4CAD" w14:paraId="0DEC096B" w14:textId="77777777" w:rsidTr="008307A5">
        <w:tc>
          <w:tcPr>
            <w:tcW w:w="1914" w:type="dxa"/>
            <w:shd w:val="clear" w:color="auto" w:fill="D9D9D9"/>
            <w:vAlign w:val="center"/>
          </w:tcPr>
          <w:p w14:paraId="4709658C" w14:textId="09F3921B" w:rsidR="00AA161F" w:rsidRPr="000C4CAD" w:rsidRDefault="008307A5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案件名称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4E898CD1" w14:textId="34F014FE" w:rsidR="00901341" w:rsidRPr="000C4CAD" w:rsidRDefault="00C71611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71611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阿波罗资本管理有限合伙企业收购</w:t>
            </w:r>
            <w:r w:rsidRPr="00C71611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Tosca HoldCo, LLC</w:t>
            </w:r>
            <w:r w:rsidRPr="00C71611">
              <w:rPr>
                <w:rFonts w:ascii="Times New Roman" w:eastAsiaTheme="minorEastAsia" w:hAnsi="Times New Roman" w:hint="eastAsia"/>
                <w:bCs/>
                <w:sz w:val="24"/>
                <w:szCs w:val="24"/>
              </w:rPr>
              <w:t>股权案</w:t>
            </w:r>
          </w:p>
        </w:tc>
      </w:tr>
      <w:tr w:rsidR="005563A6" w:rsidRPr="000C4CAD" w14:paraId="5D28C63E" w14:textId="77777777" w:rsidTr="00C71611">
        <w:trPr>
          <w:trHeight w:val="2857"/>
        </w:trPr>
        <w:tc>
          <w:tcPr>
            <w:tcW w:w="1914" w:type="dxa"/>
            <w:shd w:val="clear" w:color="auto" w:fill="D9D9D9"/>
            <w:vAlign w:val="center"/>
          </w:tcPr>
          <w:p w14:paraId="1F2B735D" w14:textId="51A7DC9A" w:rsidR="005563A6" w:rsidRPr="000C4CAD" w:rsidRDefault="008307A5" w:rsidP="008307A5">
            <w:pPr>
              <w:ind w:left="120" w:hangingChars="50" w:hanging="120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交易概况（限</w:t>
            </w: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200</w:t>
            </w: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字内）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2D2B254E" w14:textId="3443D3EA" w:rsidR="00901341" w:rsidRDefault="001F77B8" w:rsidP="00DC2B86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本次交易涉及阿波罗资本管理有限合伙企业关联公司</w:t>
            </w:r>
            <w:r w:rsidR="00005DE6">
              <w:rPr>
                <w:rFonts w:ascii="Times New Roman" w:eastAsiaTheme="minorEastAsia" w:hAnsi="Times New Roman" w:hint="eastAsia"/>
                <w:sz w:val="24"/>
                <w:szCs w:val="24"/>
              </w:rPr>
              <w:t>管理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的投资实体（“</w:t>
            </w:r>
            <w:r w:rsidRPr="00A91E26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阿波罗投资者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”）间接收购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Tosca HoldCo, LLC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（“</w:t>
            </w:r>
            <w:r w:rsidRPr="00A91E26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目标公司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”）的共同控制权。根据《股权购买协议》，阿波罗投资者将间接收购目标公司的</w:t>
            </w:r>
            <w:r w:rsidR="008C36B9">
              <w:rPr>
                <w:rFonts w:ascii="Times New Roman" w:eastAsiaTheme="minorEastAsia" w:hAnsi="Times New Roman" w:hint="eastAsia"/>
                <w:sz w:val="24"/>
                <w:szCs w:val="24"/>
              </w:rPr>
              <w:t>表决权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。目标公司的主营业务</w:t>
            </w:r>
            <w:r w:rsidR="002E242E">
              <w:rPr>
                <w:rFonts w:ascii="Times New Roman" w:eastAsiaTheme="minorEastAsia" w:hAnsi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通过其在美国境内的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个太阳能光</w:t>
            </w:r>
            <w:proofErr w:type="gramStart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伏项目</w:t>
            </w:r>
            <w:proofErr w:type="gramEnd"/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个电池储能系统</w:t>
            </w:r>
            <w:r w:rsidR="00ED1260">
              <w:rPr>
                <w:rFonts w:ascii="Times New Roman" w:eastAsiaTheme="minorEastAsia" w:hAnsi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美国境内</w:t>
            </w:r>
            <w:r w:rsidR="00ED1260">
              <w:rPr>
                <w:rFonts w:ascii="Times New Roman" w:eastAsiaTheme="minorEastAsia" w:hAnsi="Times New Roman" w:hint="eastAsia"/>
                <w:sz w:val="24"/>
                <w:szCs w:val="24"/>
              </w:rPr>
              <w:t>开展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电力生产和供应业务。</w:t>
            </w:r>
          </w:p>
          <w:p w14:paraId="798E1A90" w14:textId="77777777" w:rsidR="000C6349" w:rsidRDefault="000C6349" w:rsidP="00DC2B86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E0B28CC" w14:textId="550C9200" w:rsidR="000C6349" w:rsidRPr="000C4CAD" w:rsidRDefault="000C6349" w:rsidP="00DC2B86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在本次交易前，目标公司由道达尔能源股份公司（“</w:t>
            </w:r>
            <w:r w:rsidRPr="000C6349">
              <w:rPr>
                <w:rFonts w:ascii="Times New Roman" w:eastAsiaTheme="minorEastAsia" w:hAnsi="Times New Roman" w:hint="eastAsia"/>
                <w:b/>
                <w:bCs/>
                <w:sz w:val="24"/>
                <w:szCs w:val="24"/>
              </w:rPr>
              <w:t>道达尔能源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”）单独控制。在本次交易后，目标公司将由阿波罗投资者和道达尔能源共同控制。</w:t>
            </w:r>
          </w:p>
        </w:tc>
      </w:tr>
      <w:tr w:rsidR="00AA161F" w:rsidRPr="000C4CAD" w14:paraId="59A4D7C3" w14:textId="77777777" w:rsidTr="008307A5">
        <w:trPr>
          <w:trHeight w:val="1556"/>
        </w:trPr>
        <w:tc>
          <w:tcPr>
            <w:tcW w:w="1914" w:type="dxa"/>
            <w:vMerge w:val="restart"/>
            <w:shd w:val="clear" w:color="auto" w:fill="D9D9D9"/>
            <w:vAlign w:val="center"/>
          </w:tcPr>
          <w:p w14:paraId="004A11D8" w14:textId="58B5EAD4" w:rsidR="00AA161F" w:rsidRPr="000C4CAD" w:rsidRDefault="008307A5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参与集中的经营者简介（每个限</w:t>
            </w: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100</w:t>
            </w: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字以内）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49B2C5D" w14:textId="093767FD" w:rsidR="00AA161F" w:rsidRPr="000C4CAD" w:rsidRDefault="00621229" w:rsidP="00AA161F">
            <w:pPr>
              <w:numPr>
                <w:ilvl w:val="0"/>
                <w:numId w:val="1"/>
              </w:num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阿波罗资本管理有限合伙企业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1EDF154B" w14:textId="77777777" w:rsidR="009F5F09" w:rsidRPr="009F5F09" w:rsidRDefault="009F5F09" w:rsidP="009F5F09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阿波罗资本管理有限合伙企业于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2004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年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1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月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30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日在美国特拉华州成立。阿波罗资本管理有限合伙企业，及其合并关联实体主要从事包括资产管理、退休服务和资本投资等全球另类资产管理业务。</w:t>
            </w:r>
          </w:p>
          <w:p w14:paraId="6F40B2C3" w14:textId="77777777" w:rsidR="009F5F09" w:rsidRPr="009F5F09" w:rsidRDefault="009F5F09" w:rsidP="009F5F09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12BB36" w14:textId="1BB5AD66" w:rsidR="003C3FF3" w:rsidRPr="000C4CAD" w:rsidRDefault="009F5F09" w:rsidP="009F5F09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  <w:lang w:val="en-GB"/>
              </w:rPr>
            </w:pP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阿波罗资本管理有限合伙企业的最终控制人为阿波罗全球管理公司，其为一家</w:t>
            </w:r>
            <w:r w:rsidR="0066398F">
              <w:rPr>
                <w:rFonts w:ascii="Times New Roman" w:eastAsiaTheme="minorEastAsia" w:hAnsi="Times New Roman" w:hint="eastAsia"/>
                <w:sz w:val="24"/>
                <w:szCs w:val="24"/>
              </w:rPr>
              <w:t>总部位于美国的</w:t>
            </w:r>
            <w:r w:rsidRPr="009F5F09">
              <w:rPr>
                <w:rFonts w:ascii="Times New Roman" w:eastAsiaTheme="minorEastAsia" w:hAnsi="Times New Roman" w:hint="eastAsia"/>
                <w:sz w:val="24"/>
                <w:szCs w:val="24"/>
              </w:rPr>
              <w:t>高增长全球另类资产管理经理人及退休服务提供者。</w:t>
            </w:r>
          </w:p>
        </w:tc>
      </w:tr>
      <w:tr w:rsidR="005563A6" w:rsidRPr="000C4CAD" w14:paraId="76ADF1C0" w14:textId="77777777" w:rsidTr="008307A5">
        <w:trPr>
          <w:trHeight w:val="1696"/>
        </w:trPr>
        <w:tc>
          <w:tcPr>
            <w:tcW w:w="1914" w:type="dxa"/>
            <w:vMerge/>
            <w:shd w:val="clear" w:color="auto" w:fill="D9D9D9"/>
            <w:vAlign w:val="center"/>
          </w:tcPr>
          <w:p w14:paraId="23F6492E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A622E6C" w14:textId="083D3C59" w:rsidR="005563A6" w:rsidRPr="000C4CAD" w:rsidRDefault="00621229" w:rsidP="00EF5399">
            <w:pPr>
              <w:numPr>
                <w:ilvl w:val="0"/>
                <w:numId w:val="1"/>
              </w:num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道达尔能源</w:t>
            </w:r>
          </w:p>
        </w:tc>
        <w:tc>
          <w:tcPr>
            <w:tcW w:w="4955" w:type="dxa"/>
            <w:shd w:val="clear" w:color="auto" w:fill="auto"/>
            <w:vAlign w:val="center"/>
          </w:tcPr>
          <w:p w14:paraId="7584F1B2" w14:textId="77777777" w:rsidR="00486FC7" w:rsidRDefault="00984470" w:rsidP="00746E6B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道达尔能源于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1924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年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3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月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28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日在法国成立。</w:t>
            </w:r>
            <w:r w:rsidRPr="00984470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道达尔能源是一家全球综合能源公司，主要从事燃料、天然气和电力的生产和销售。道达尔能源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不仅</w:t>
            </w:r>
            <w:r w:rsidRPr="00984470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活跃于石油和天然气行业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，还</w:t>
            </w:r>
            <w:r w:rsidRPr="00984470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从事可再生能源、发电和碳中和业务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。</w:t>
            </w:r>
          </w:p>
          <w:p w14:paraId="142EE543" w14:textId="77777777" w:rsidR="00E977DB" w:rsidRDefault="00E977DB" w:rsidP="00746E6B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 w:val="24"/>
                <w:szCs w:val="24"/>
                <w:lang w:val="en-GB"/>
              </w:rPr>
            </w:pPr>
          </w:p>
          <w:p w14:paraId="66055C2C" w14:textId="4655A748" w:rsidR="00E977DB" w:rsidRPr="000C4CAD" w:rsidRDefault="00E977DB" w:rsidP="00746E6B">
            <w:pPr>
              <w:widowControl/>
              <w:snapToGrid w:val="0"/>
              <w:rPr>
                <w:rFonts w:ascii="Times New Roman" w:eastAsiaTheme="minorEastAsia" w:hAnsi="Times New Roman"/>
                <w:kern w:val="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道达尔能源</w:t>
            </w:r>
            <w:r w:rsidR="00CD25F4"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无</w:t>
            </w:r>
            <w:r>
              <w:rPr>
                <w:rFonts w:ascii="Times New Roman" w:eastAsiaTheme="minorEastAsia" w:hAnsi="Times New Roman" w:hint="eastAsia"/>
                <w:kern w:val="0"/>
                <w:sz w:val="24"/>
                <w:szCs w:val="24"/>
                <w:lang w:val="en-GB"/>
              </w:rPr>
              <w:t>最终控制人。</w:t>
            </w:r>
          </w:p>
        </w:tc>
      </w:tr>
      <w:tr w:rsidR="005563A6" w:rsidRPr="000C4CAD" w14:paraId="2313BEA9" w14:textId="77777777" w:rsidTr="008307A5">
        <w:trPr>
          <w:trHeight w:val="279"/>
        </w:trPr>
        <w:tc>
          <w:tcPr>
            <w:tcW w:w="1914" w:type="dxa"/>
            <w:vMerge w:val="restart"/>
            <w:shd w:val="clear" w:color="auto" w:fill="D9D9D9"/>
            <w:vAlign w:val="center"/>
          </w:tcPr>
          <w:p w14:paraId="0A2056ED" w14:textId="7CFD0BF9" w:rsidR="005563A6" w:rsidRPr="000C4CAD" w:rsidRDefault="008307A5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15B38576" w14:textId="06E97DC1" w:rsidR="005563A6" w:rsidRPr="000C4CAD" w:rsidRDefault="005563A6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 1. 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在同一相关市场，所有参与集中的经营者所占市场份额之和小于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15%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5563A6" w:rsidRPr="000C4CAD" w14:paraId="4D37CAF0" w14:textId="77777777" w:rsidTr="008307A5">
        <w:trPr>
          <w:trHeight w:val="330"/>
        </w:trPr>
        <w:tc>
          <w:tcPr>
            <w:tcW w:w="1914" w:type="dxa"/>
            <w:vMerge/>
            <w:shd w:val="clear" w:color="auto" w:fill="D9D9D9"/>
            <w:vAlign w:val="center"/>
          </w:tcPr>
          <w:p w14:paraId="4786151D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7DE4CA74" w14:textId="486D04C0" w:rsidR="005563A6" w:rsidRPr="000C4CAD" w:rsidRDefault="005563A6" w:rsidP="000C545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 2. 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存在上下游关系的参与集中的经营者，在上下游市场所占的市场份额均小于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25%</w:t>
            </w:r>
            <w:r w:rsidR="00746E6B" w:rsidRPr="000C4CAD">
              <w:rPr>
                <w:rFonts w:ascii="Times New Roman" w:eastAsiaTheme="minorEastAsia" w:hAnsi="Times New Roman"/>
                <w:sz w:val="24"/>
                <w:szCs w:val="24"/>
              </w:rPr>
              <w:t>。</w:t>
            </w:r>
          </w:p>
        </w:tc>
      </w:tr>
      <w:tr w:rsidR="005563A6" w:rsidRPr="000C4CAD" w14:paraId="6EB2CD33" w14:textId="77777777" w:rsidTr="008307A5">
        <w:trPr>
          <w:trHeight w:val="285"/>
        </w:trPr>
        <w:tc>
          <w:tcPr>
            <w:tcW w:w="1914" w:type="dxa"/>
            <w:vMerge/>
            <w:shd w:val="clear" w:color="auto" w:fill="D9D9D9"/>
            <w:vAlign w:val="center"/>
          </w:tcPr>
          <w:p w14:paraId="70712A55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4071F438" w14:textId="4E4FC2F8" w:rsidR="005563A6" w:rsidRPr="000C4CAD" w:rsidRDefault="005E542C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></w:t>
            </w:r>
            <w:r w:rsidR="005563A6"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 3. 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不在同一相关市场、也不存在上下游关系的参与集中的经营者，在与交易有关的每个市场所占的份额均小于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25%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。</w:t>
            </w:r>
          </w:p>
        </w:tc>
      </w:tr>
      <w:tr w:rsidR="005563A6" w:rsidRPr="000C4CAD" w14:paraId="45AB657C" w14:textId="77777777" w:rsidTr="008307A5">
        <w:trPr>
          <w:trHeight w:val="870"/>
        </w:trPr>
        <w:tc>
          <w:tcPr>
            <w:tcW w:w="1914" w:type="dxa"/>
            <w:vMerge/>
            <w:shd w:val="clear" w:color="auto" w:fill="D9D9D9"/>
            <w:vAlign w:val="center"/>
          </w:tcPr>
          <w:p w14:paraId="5C771AF5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6052058A" w14:textId="1BE3B0AC" w:rsidR="005563A6" w:rsidRPr="000C4CAD" w:rsidRDefault="00621229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></w:t>
            </w:r>
            <w:r w:rsidR="005563A6"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 4. 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参与集中的经营者在中国境外设立合营企业，合营企业不在中国境内从事经济活动。</w:t>
            </w:r>
          </w:p>
        </w:tc>
      </w:tr>
      <w:tr w:rsidR="005563A6" w:rsidRPr="000C4CAD" w14:paraId="380BD254" w14:textId="77777777" w:rsidTr="008307A5">
        <w:trPr>
          <w:trHeight w:val="264"/>
        </w:trPr>
        <w:tc>
          <w:tcPr>
            <w:tcW w:w="1914" w:type="dxa"/>
            <w:vMerge/>
            <w:shd w:val="clear" w:color="auto" w:fill="D9D9D9"/>
            <w:vAlign w:val="center"/>
          </w:tcPr>
          <w:p w14:paraId="5B612488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38C3511F" w14:textId="20D5F41A" w:rsidR="005563A6" w:rsidRPr="000C4CAD" w:rsidRDefault="00621229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sym w:font="Wingdings" w:char="F0FE"/>
            </w:r>
            <w:r w:rsidR="005563A6"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 5. 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参与集中的经营者收购境外企业股权或资产的，该境外企业不在中国境内从事经济活动。</w:t>
            </w:r>
          </w:p>
        </w:tc>
      </w:tr>
      <w:tr w:rsidR="005563A6" w:rsidRPr="000C4CAD" w14:paraId="21BF625C" w14:textId="77777777" w:rsidTr="008307A5">
        <w:trPr>
          <w:trHeight w:val="345"/>
        </w:trPr>
        <w:tc>
          <w:tcPr>
            <w:tcW w:w="1914" w:type="dxa"/>
            <w:vMerge/>
            <w:shd w:val="clear" w:color="auto" w:fill="D9D9D9"/>
            <w:vAlign w:val="center"/>
          </w:tcPr>
          <w:p w14:paraId="38909F9B" w14:textId="77777777" w:rsidR="005563A6" w:rsidRPr="000C4CAD" w:rsidRDefault="005563A6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6844" w:type="dxa"/>
            <w:gridSpan w:val="2"/>
            <w:shd w:val="clear" w:color="auto" w:fill="auto"/>
            <w:vAlign w:val="center"/>
          </w:tcPr>
          <w:p w14:paraId="1F47D4E7" w14:textId="1792521C" w:rsidR="005563A6" w:rsidRPr="000C4CAD" w:rsidRDefault="005563A6" w:rsidP="000C5451">
            <w:pPr>
              <w:widowControl/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 xml:space="preserve"> 6. </w:t>
            </w:r>
            <w:r w:rsidR="00746E6B" w:rsidRPr="000C4CAD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val="en-GB"/>
              </w:rPr>
              <w:t>由两个以上的经营者共同控制的合营企业，通过集中被其中一个或一个以上经营者控制。</w:t>
            </w:r>
          </w:p>
        </w:tc>
      </w:tr>
      <w:tr w:rsidR="005563A6" w:rsidRPr="000C4CAD" w14:paraId="7AB633FD" w14:textId="77777777" w:rsidTr="008307A5">
        <w:trPr>
          <w:trHeight w:val="983"/>
        </w:trPr>
        <w:tc>
          <w:tcPr>
            <w:tcW w:w="1914" w:type="dxa"/>
            <w:shd w:val="clear" w:color="auto" w:fill="D9D9D9"/>
            <w:vAlign w:val="center"/>
          </w:tcPr>
          <w:p w14:paraId="462D1EFD" w14:textId="3543B7E2" w:rsidR="005563A6" w:rsidRPr="000C4CAD" w:rsidRDefault="008307A5" w:rsidP="008307A5">
            <w:pPr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844" w:type="dxa"/>
            <w:gridSpan w:val="2"/>
            <w:shd w:val="clear" w:color="auto" w:fill="auto"/>
          </w:tcPr>
          <w:p w14:paraId="527201A7" w14:textId="514C51E3" w:rsidR="009A2650" w:rsidRPr="000C4CAD" w:rsidRDefault="00DC2B86" w:rsidP="009A2650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4CAD">
              <w:rPr>
                <w:rFonts w:ascii="Times New Roman" w:eastAsiaTheme="minorEastAsia" w:hAnsi="Times New Roman"/>
                <w:sz w:val="24"/>
                <w:szCs w:val="24"/>
              </w:rPr>
              <w:t>不适用</w:t>
            </w:r>
          </w:p>
        </w:tc>
      </w:tr>
    </w:tbl>
    <w:p w14:paraId="43171542" w14:textId="77777777" w:rsidR="003F4833" w:rsidRDefault="003F4833"/>
    <w:sectPr w:rsidR="003F4833"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ED8A" w14:textId="77777777" w:rsidR="001D582C" w:rsidRDefault="001D582C">
      <w:r>
        <w:separator/>
      </w:r>
    </w:p>
  </w:endnote>
  <w:endnote w:type="continuationSeparator" w:id="0">
    <w:p w14:paraId="576EB438" w14:textId="77777777" w:rsidR="001D582C" w:rsidRDefault="001D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52FD" w14:textId="30C6C5D4" w:rsidR="00407293" w:rsidRDefault="00870434">
    <w:pPr>
      <w:pStyle w:val="a3"/>
    </w:pPr>
    <w:fldSimple w:instr=" DOCPROPERTY DOCXDOCID DMS=InterwovenIManage Format=&lt;&lt;NUM&gt;&gt;_&lt;&lt;VER&gt;&gt; PRESERVELOCATION \* MERGEFORMAT ">
      <w:r>
        <w:t>138169774_3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A0E2" w14:textId="77777777" w:rsidR="000D0487" w:rsidRDefault="000D0487">
    <w:pPr>
      <w:pStyle w:val="a3"/>
      <w:rPr>
        <w:noProof/>
      </w:rPr>
    </w:pPr>
  </w:p>
  <w:p w14:paraId="55ACFED4" w14:textId="18771DA3" w:rsidR="000D0487" w:rsidRPr="00FA58CB" w:rsidRDefault="000D0487" w:rsidP="00FA58CB">
    <w:pPr>
      <w:pStyle w:val="a3"/>
      <w:rPr>
        <w:noProof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46C18" w14:textId="11259F63" w:rsidR="00407293" w:rsidRDefault="00870434">
    <w:pPr>
      <w:pStyle w:val="a3"/>
    </w:pPr>
    <w:fldSimple w:instr=" DOCPROPERTY DOCXDOCID DMS=InterwovenIManage Format=&lt;&lt;NUM&gt;&gt;_&lt;&lt;VER&gt;&gt; PRESERVELOCATION \* MERGEFORMAT ">
      <w:r>
        <w:t>138169774_3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FEDC8" w14:textId="77777777" w:rsidR="001D582C" w:rsidRDefault="001D582C">
      <w:r>
        <w:separator/>
      </w:r>
    </w:p>
  </w:footnote>
  <w:footnote w:type="continuationSeparator" w:id="0">
    <w:p w14:paraId="3AF339E6" w14:textId="77777777" w:rsidR="001D582C" w:rsidRDefault="001D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75D0B"/>
    <w:multiLevelType w:val="hybridMultilevel"/>
    <w:tmpl w:val="390877BC"/>
    <w:lvl w:ilvl="0" w:tplc="3FC24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7E2482" w:tentative="1">
      <w:start w:val="1"/>
      <w:numFmt w:val="lowerLetter"/>
      <w:lvlText w:val="%2)"/>
      <w:lvlJc w:val="left"/>
      <w:pPr>
        <w:ind w:left="840" w:hanging="420"/>
      </w:pPr>
    </w:lvl>
    <w:lvl w:ilvl="2" w:tplc="E8F4623C" w:tentative="1">
      <w:start w:val="1"/>
      <w:numFmt w:val="lowerRoman"/>
      <w:lvlText w:val="%3."/>
      <w:lvlJc w:val="right"/>
      <w:pPr>
        <w:ind w:left="1260" w:hanging="420"/>
      </w:pPr>
    </w:lvl>
    <w:lvl w:ilvl="3" w:tplc="F9B2C462" w:tentative="1">
      <w:start w:val="1"/>
      <w:numFmt w:val="decimal"/>
      <w:lvlText w:val="%4."/>
      <w:lvlJc w:val="left"/>
      <w:pPr>
        <w:ind w:left="1680" w:hanging="420"/>
      </w:pPr>
    </w:lvl>
    <w:lvl w:ilvl="4" w:tplc="78CED9E6" w:tentative="1">
      <w:start w:val="1"/>
      <w:numFmt w:val="lowerLetter"/>
      <w:lvlText w:val="%5)"/>
      <w:lvlJc w:val="left"/>
      <w:pPr>
        <w:ind w:left="2100" w:hanging="420"/>
      </w:pPr>
    </w:lvl>
    <w:lvl w:ilvl="5" w:tplc="FA5A19CA" w:tentative="1">
      <w:start w:val="1"/>
      <w:numFmt w:val="lowerRoman"/>
      <w:lvlText w:val="%6."/>
      <w:lvlJc w:val="right"/>
      <w:pPr>
        <w:ind w:left="2520" w:hanging="420"/>
      </w:pPr>
    </w:lvl>
    <w:lvl w:ilvl="6" w:tplc="B9B262E6" w:tentative="1">
      <w:start w:val="1"/>
      <w:numFmt w:val="decimal"/>
      <w:lvlText w:val="%7."/>
      <w:lvlJc w:val="left"/>
      <w:pPr>
        <w:ind w:left="2940" w:hanging="420"/>
      </w:pPr>
    </w:lvl>
    <w:lvl w:ilvl="7" w:tplc="71A654FA" w:tentative="1">
      <w:start w:val="1"/>
      <w:numFmt w:val="lowerLetter"/>
      <w:lvlText w:val="%8)"/>
      <w:lvlJc w:val="left"/>
      <w:pPr>
        <w:ind w:left="3360" w:hanging="420"/>
      </w:pPr>
    </w:lvl>
    <w:lvl w:ilvl="8" w:tplc="92924F3C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858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MbMwsDQzNTQBMpR0lIJTi4sz8/NACgxrAdUWougsAAAA"/>
  </w:docVars>
  <w:rsids>
    <w:rsidRoot w:val="009111BF"/>
    <w:rsid w:val="00005DE6"/>
    <w:rsid w:val="00011498"/>
    <w:rsid w:val="0002073F"/>
    <w:rsid w:val="00050D25"/>
    <w:rsid w:val="000540C4"/>
    <w:rsid w:val="000552A7"/>
    <w:rsid w:val="0008036C"/>
    <w:rsid w:val="000914EF"/>
    <w:rsid w:val="000A1600"/>
    <w:rsid w:val="000C3F68"/>
    <w:rsid w:val="000C4CAD"/>
    <w:rsid w:val="000C5451"/>
    <w:rsid w:val="000C6349"/>
    <w:rsid w:val="000D0487"/>
    <w:rsid w:val="000D3A98"/>
    <w:rsid w:val="000D4D22"/>
    <w:rsid w:val="00127CD3"/>
    <w:rsid w:val="0013319E"/>
    <w:rsid w:val="00143111"/>
    <w:rsid w:val="00191335"/>
    <w:rsid w:val="0019198B"/>
    <w:rsid w:val="001A03E0"/>
    <w:rsid w:val="001D582C"/>
    <w:rsid w:val="001E66F5"/>
    <w:rsid w:val="001F1F6A"/>
    <w:rsid w:val="001F77B8"/>
    <w:rsid w:val="00206842"/>
    <w:rsid w:val="002267A8"/>
    <w:rsid w:val="002344E8"/>
    <w:rsid w:val="002511F1"/>
    <w:rsid w:val="00254A69"/>
    <w:rsid w:val="002650FC"/>
    <w:rsid w:val="002B0ED1"/>
    <w:rsid w:val="002E242E"/>
    <w:rsid w:val="0035350C"/>
    <w:rsid w:val="00364419"/>
    <w:rsid w:val="00396E5B"/>
    <w:rsid w:val="003C3FF3"/>
    <w:rsid w:val="003D3BB5"/>
    <w:rsid w:val="003E614A"/>
    <w:rsid w:val="003E6BE6"/>
    <w:rsid w:val="003F4833"/>
    <w:rsid w:val="003F4FD6"/>
    <w:rsid w:val="00401D77"/>
    <w:rsid w:val="00407293"/>
    <w:rsid w:val="00425D8F"/>
    <w:rsid w:val="00426F22"/>
    <w:rsid w:val="00436145"/>
    <w:rsid w:val="0044603C"/>
    <w:rsid w:val="00461AB7"/>
    <w:rsid w:val="00486FC7"/>
    <w:rsid w:val="005563A6"/>
    <w:rsid w:val="005759C0"/>
    <w:rsid w:val="005918F4"/>
    <w:rsid w:val="005E542C"/>
    <w:rsid w:val="00621229"/>
    <w:rsid w:val="0066398F"/>
    <w:rsid w:val="0067561B"/>
    <w:rsid w:val="006758E2"/>
    <w:rsid w:val="00696A3D"/>
    <w:rsid w:val="006A569C"/>
    <w:rsid w:val="006D03D2"/>
    <w:rsid w:val="00713BA3"/>
    <w:rsid w:val="007217BE"/>
    <w:rsid w:val="007246DB"/>
    <w:rsid w:val="00730E4E"/>
    <w:rsid w:val="00746E6B"/>
    <w:rsid w:val="00790AFA"/>
    <w:rsid w:val="00796737"/>
    <w:rsid w:val="007A5B51"/>
    <w:rsid w:val="007B26B7"/>
    <w:rsid w:val="007E6360"/>
    <w:rsid w:val="00815193"/>
    <w:rsid w:val="008307A5"/>
    <w:rsid w:val="00844D27"/>
    <w:rsid w:val="00870434"/>
    <w:rsid w:val="008775DA"/>
    <w:rsid w:val="008911ED"/>
    <w:rsid w:val="008933C3"/>
    <w:rsid w:val="008B407D"/>
    <w:rsid w:val="008B5763"/>
    <w:rsid w:val="008C36B9"/>
    <w:rsid w:val="008D1B65"/>
    <w:rsid w:val="00901341"/>
    <w:rsid w:val="009111BF"/>
    <w:rsid w:val="00984470"/>
    <w:rsid w:val="009A2650"/>
    <w:rsid w:val="009C001E"/>
    <w:rsid w:val="009D1DD3"/>
    <w:rsid w:val="009D3CF8"/>
    <w:rsid w:val="009F3C19"/>
    <w:rsid w:val="009F5F09"/>
    <w:rsid w:val="009F5F5B"/>
    <w:rsid w:val="00A04CE0"/>
    <w:rsid w:val="00A173A7"/>
    <w:rsid w:val="00A35EBD"/>
    <w:rsid w:val="00A510BF"/>
    <w:rsid w:val="00A83808"/>
    <w:rsid w:val="00A91E26"/>
    <w:rsid w:val="00A96BCE"/>
    <w:rsid w:val="00AA161F"/>
    <w:rsid w:val="00AC40DD"/>
    <w:rsid w:val="00AD1D99"/>
    <w:rsid w:val="00B1488F"/>
    <w:rsid w:val="00B30BF8"/>
    <w:rsid w:val="00B33359"/>
    <w:rsid w:val="00B40FE0"/>
    <w:rsid w:val="00B42023"/>
    <w:rsid w:val="00B64087"/>
    <w:rsid w:val="00B76F15"/>
    <w:rsid w:val="00BB57F2"/>
    <w:rsid w:val="00BD198B"/>
    <w:rsid w:val="00BE53BD"/>
    <w:rsid w:val="00C564EE"/>
    <w:rsid w:val="00C71611"/>
    <w:rsid w:val="00C95B57"/>
    <w:rsid w:val="00CB461C"/>
    <w:rsid w:val="00CC7F37"/>
    <w:rsid w:val="00CD25F4"/>
    <w:rsid w:val="00CD7A87"/>
    <w:rsid w:val="00CF1B4F"/>
    <w:rsid w:val="00D00853"/>
    <w:rsid w:val="00D02353"/>
    <w:rsid w:val="00D6603C"/>
    <w:rsid w:val="00DC2B86"/>
    <w:rsid w:val="00DD13A1"/>
    <w:rsid w:val="00DD4122"/>
    <w:rsid w:val="00DE2463"/>
    <w:rsid w:val="00DE3869"/>
    <w:rsid w:val="00E061A1"/>
    <w:rsid w:val="00E27B1A"/>
    <w:rsid w:val="00E9395A"/>
    <w:rsid w:val="00E977DB"/>
    <w:rsid w:val="00EC6996"/>
    <w:rsid w:val="00ED1260"/>
    <w:rsid w:val="00ED4603"/>
    <w:rsid w:val="00EE1178"/>
    <w:rsid w:val="00EF5399"/>
    <w:rsid w:val="00F16E3B"/>
    <w:rsid w:val="00F31EFD"/>
    <w:rsid w:val="00F80B7F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FD25E"/>
  <w15:chartTrackingRefBased/>
  <w15:docId w15:val="{CF45AC22-E555-4462-B64A-EC512E0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2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56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563A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7A8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2267A8"/>
    <w:rPr>
      <w:rFonts w:ascii="Calibri" w:eastAsia="宋体" w:hAnsi="Calibri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90AF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0AF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C95B57"/>
    <w:pPr>
      <w:spacing w:after="0" w:line="240" w:lineRule="auto"/>
    </w:pPr>
    <w:rPr>
      <w:rFonts w:ascii="Calibri" w:eastAsia="宋体" w:hAnsi="Calibri" w:cs="Times New Roman"/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5E542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E542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E542C"/>
    <w:rPr>
      <w:rFonts w:ascii="Calibri" w:eastAsia="宋体" w:hAnsi="Calibri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542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E542C"/>
    <w:rPr>
      <w:rFonts w:ascii="Calibri" w:eastAsia="宋体" w:hAnsi="Calibri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 A c t i v e ! 1 3 8 1 6 9 7 7 4 . 3 < / d o c u m e n t i d >  
     < s e n d e r i d > A E P U G H < / s e n d e r i d >  
     < s e n d e r e m a i l > a n n a . p u g h @ r o p e s g r a y . c o m < / s e n d e r e m a i l >  
     < l a s t m o d i f i e d > 2 0 2 3 - 0 9 - 0 1 T 1 8 : 0 2 : 0 0 . 0 0 0 0 0 0 0 + 0 1 : 0 0 < / l a s t m o d i f i e d >  
     < d a t a b a s e > A c t i v e < / d a t a b a s e >  
 < / p r o p e r t i e s > 
</file>

<file path=customXml/item3.xml>��< ? x m l   v e r s i o n = " 1 . 0 "   e n c o d i n g = " u t f - 1 6 " ? > < p r o p e r t i e s   x m l n s = " h t t p : / / w w w . i m a n a g e . c o m / w o r k / x m l s c h e m a " >  
     < d o c u m e n t i d > U S 1 ! 1 8 1 8 5 8 5 6 . 1 < / d o c u m e n t i d >  
     < s e n d e r i d > 0 7 6 6 7 < / s e n d e r i d >  
     < s e n d e r e m a i l > C D E S O U Z A @ P A U L W E I S S . C O M < / s e n d e r e m a i l >  
     < l a s t m o d i f i e d > 2 0 2 3 - 0 5 - 2 4 T 1 6 : 1 8 : 0 0 . 0 0 0 0 0 0 0 - 0 4 : 0 0 < / l a s t m o d i f i e d >  
     < d a t a b a s e > U S 1 < / d a t a b a s e >  
 < / p r o p e r t i e s > 
</file>

<file path=customXml/itemProps1.xml><?xml version="1.0" encoding="utf-8"?>
<ds:datastoreItem xmlns:ds="http://schemas.openxmlformats.org/officeDocument/2006/customXml" ds:itemID="{0F72DEC0-E74C-4BC9-8AD0-4B34808711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BD7FA-E0C6-4D9A-A329-633408F76742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BB5DD4A-754E-4501-8CDE-92650EDEC48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Fangda</dc:creator>
  <cp:keywords>    </cp:keywords>
  <dc:description/>
  <cp:lastModifiedBy>Keyimu, Kadria</cp:lastModifiedBy>
  <cp:revision>23</cp:revision>
  <dcterms:created xsi:type="dcterms:W3CDTF">2023-09-05T04:47:00Z</dcterms:created>
  <dcterms:modified xsi:type="dcterms:W3CDTF">2024-11-12T05:46:00Z</dcterms:modified>
  <cp:category>New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138169774_3</vt:lpwstr>
  </property>
  <property fmtid="{D5CDD505-2E9C-101B-9397-08002B2CF9AE}" pid="3" name="DocXLocation">
    <vt:lpwstr>Every Page</vt:lpwstr>
  </property>
  <property fmtid="{D5CDD505-2E9C-101B-9397-08002B2CF9AE}" pid="4" name="DocXFormat">
    <vt:lpwstr>DefaultFormat</vt:lpwstr>
  </property>
</Properties>
</file>