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DCC27" w14:textId="77777777" w:rsidR="00A658BB" w:rsidRPr="009E4E29" w:rsidRDefault="00A658BB" w:rsidP="00A658BB">
      <w:pPr>
        <w:jc w:val="center"/>
        <w:rPr>
          <w:rFonts w:ascii="黑体" w:eastAsia="黑体" w:hAnsi="黑体" w:cs="黑体"/>
          <w:bCs/>
          <w:sz w:val="36"/>
          <w:szCs w:val="36"/>
        </w:rPr>
      </w:pPr>
      <w:r w:rsidRPr="009E4E29">
        <w:rPr>
          <w:rFonts w:ascii="黑体" w:eastAsia="黑体" w:hAnsi="黑体" w:cs="黑体" w:hint="eastAsia"/>
          <w:bCs/>
          <w:sz w:val="36"/>
          <w:szCs w:val="36"/>
        </w:rPr>
        <w:t>经营者集中简易案件公示表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1384"/>
        <w:gridCol w:w="5243"/>
      </w:tblGrid>
      <w:tr w:rsidR="009E4E29" w:rsidRPr="009E4E29" w14:paraId="1EDC989F" w14:textId="77777777" w:rsidTr="009E6460">
        <w:trPr>
          <w:trHeight w:val="926"/>
        </w:trPr>
        <w:tc>
          <w:tcPr>
            <w:tcW w:w="1006" w:type="pct"/>
            <w:shd w:val="clear" w:color="auto" w:fill="D9D9D9"/>
            <w:vAlign w:val="center"/>
          </w:tcPr>
          <w:p w14:paraId="745D5F89" w14:textId="77777777" w:rsidR="009E4E29" w:rsidRPr="009E4E29" w:rsidRDefault="009E4E29" w:rsidP="009E6460">
            <w:pPr>
              <w:pStyle w:val="BodyText"/>
              <w:adjustRightInd w:val="0"/>
              <w:snapToGrid w:val="0"/>
              <w:spacing w:after="0"/>
              <w:rPr>
                <w:bCs/>
              </w:rPr>
            </w:pPr>
            <w:r w:rsidRPr="009E4E29">
              <w:rPr>
                <w:bCs/>
              </w:rPr>
              <w:t>案件名称</w:t>
            </w:r>
          </w:p>
        </w:tc>
        <w:tc>
          <w:tcPr>
            <w:tcW w:w="3994" w:type="pct"/>
            <w:gridSpan w:val="2"/>
            <w:vAlign w:val="center"/>
          </w:tcPr>
          <w:p w14:paraId="3D2711A4" w14:textId="77777777" w:rsidR="009E4E29" w:rsidRPr="009E4E29" w:rsidRDefault="009E4E29" w:rsidP="009E6460">
            <w:pPr>
              <w:adjustRightInd w:val="0"/>
              <w:snapToGrid w:val="0"/>
              <w:rPr>
                <w:bCs/>
              </w:rPr>
            </w:pPr>
            <w:r w:rsidRPr="009E4E29">
              <w:rPr>
                <w:bCs/>
              </w:rPr>
              <w:t>三井住友融资租赁未来伙伴株式会社收购戴蒙德</w:t>
            </w:r>
            <w:r w:rsidRPr="009E4E29">
              <w:rPr>
                <w:bCs/>
              </w:rPr>
              <w:t>LNG</w:t>
            </w:r>
            <w:r w:rsidRPr="009E4E29">
              <w:rPr>
                <w:bCs/>
              </w:rPr>
              <w:t>船务</w:t>
            </w:r>
            <w:r w:rsidRPr="009E4E29">
              <w:rPr>
                <w:bCs/>
              </w:rPr>
              <w:t>1</w:t>
            </w:r>
            <w:r w:rsidRPr="009E4E29">
              <w:rPr>
                <w:bCs/>
              </w:rPr>
              <w:t>公司等两家公司股权案</w:t>
            </w:r>
          </w:p>
        </w:tc>
      </w:tr>
      <w:tr w:rsidR="009E4E29" w:rsidRPr="009E4E29" w14:paraId="442952D3" w14:textId="77777777" w:rsidTr="009E6460">
        <w:trPr>
          <w:trHeight w:val="1391"/>
        </w:trPr>
        <w:tc>
          <w:tcPr>
            <w:tcW w:w="1006" w:type="pct"/>
            <w:shd w:val="clear" w:color="auto" w:fill="D9D9D9"/>
            <w:vAlign w:val="center"/>
          </w:tcPr>
          <w:p w14:paraId="0FD7CFA6" w14:textId="77777777" w:rsidR="009E4E29" w:rsidRPr="009E4E29" w:rsidRDefault="009E4E29" w:rsidP="009E6460">
            <w:pPr>
              <w:pStyle w:val="BodyText"/>
              <w:adjustRightInd w:val="0"/>
              <w:snapToGrid w:val="0"/>
              <w:spacing w:after="0"/>
              <w:rPr>
                <w:bCs/>
              </w:rPr>
            </w:pPr>
            <w:r w:rsidRPr="009E4E29">
              <w:rPr>
                <w:bCs/>
              </w:rPr>
              <w:t>交易概况（限</w:t>
            </w:r>
            <w:r w:rsidRPr="009E4E29">
              <w:rPr>
                <w:bCs/>
              </w:rPr>
              <w:t>200</w:t>
            </w:r>
            <w:r w:rsidRPr="009E4E29">
              <w:rPr>
                <w:bCs/>
              </w:rPr>
              <w:t>字内）</w:t>
            </w:r>
          </w:p>
        </w:tc>
        <w:tc>
          <w:tcPr>
            <w:tcW w:w="3994" w:type="pct"/>
            <w:gridSpan w:val="2"/>
            <w:vAlign w:val="center"/>
          </w:tcPr>
          <w:p w14:paraId="6545DC82" w14:textId="4C280564" w:rsidR="009E4E29" w:rsidRPr="009E4E29" w:rsidRDefault="009E4E29" w:rsidP="009E6460">
            <w:pPr>
              <w:adjustRightInd w:val="0"/>
              <w:snapToGrid w:val="0"/>
            </w:pPr>
            <w:r w:rsidRPr="009E4E29">
              <w:rPr>
                <w:bCs/>
              </w:rPr>
              <w:t>三井住友融资租赁未来伙伴株式会社</w:t>
            </w:r>
            <w:r w:rsidRPr="009E4E29">
              <w:t>（</w:t>
            </w:r>
            <w:r w:rsidRPr="009E4E29">
              <w:t>“</w:t>
            </w:r>
            <w:r w:rsidRPr="009E4E29">
              <w:rPr>
                <w:b/>
              </w:rPr>
              <w:t>三井住友未来</w:t>
            </w:r>
            <w:r w:rsidRPr="009E4E29">
              <w:t>”</w:t>
            </w:r>
            <w:r w:rsidRPr="009E4E29">
              <w:t>）与三菱商事株式会社（</w:t>
            </w:r>
            <w:r w:rsidRPr="009E4E29">
              <w:t>“</w:t>
            </w:r>
            <w:r w:rsidRPr="009E4E29">
              <w:rPr>
                <w:b/>
              </w:rPr>
              <w:t>三菱商事</w:t>
            </w:r>
            <w:r w:rsidRPr="009E4E29">
              <w:t>”</w:t>
            </w:r>
            <w:r w:rsidRPr="009E4E29">
              <w:t>）签署协议，由三井住友未来收购三菱商事持有的戴蒙德</w:t>
            </w:r>
            <w:r w:rsidRPr="009E4E29">
              <w:t>LNG</w:t>
            </w:r>
            <w:r w:rsidRPr="009E4E29">
              <w:t>船务</w:t>
            </w:r>
            <w:r w:rsidRPr="009E4E29">
              <w:t>1</w:t>
            </w:r>
            <w:r w:rsidRPr="009E4E29">
              <w:t>公司（</w:t>
            </w:r>
            <w:r w:rsidRPr="009E4E29">
              <w:t>“</w:t>
            </w:r>
            <w:r w:rsidRPr="009E4E29">
              <w:rPr>
                <w:b/>
              </w:rPr>
              <w:t>戴蒙德</w:t>
            </w:r>
            <w:r w:rsidRPr="009E4E29">
              <w:rPr>
                <w:b/>
              </w:rPr>
              <w:t>-1</w:t>
            </w:r>
            <w:r w:rsidRPr="009E4E29">
              <w:t>”</w:t>
            </w:r>
            <w:r w:rsidRPr="009E4E29">
              <w:t>）和戴蒙德</w:t>
            </w:r>
            <w:r w:rsidRPr="009E4E29">
              <w:t>LNG</w:t>
            </w:r>
            <w:r w:rsidRPr="009E4E29">
              <w:t>船务</w:t>
            </w:r>
            <w:r w:rsidRPr="009E4E29">
              <w:t>2</w:t>
            </w:r>
            <w:r w:rsidRPr="009E4E29">
              <w:t>公司（</w:t>
            </w:r>
            <w:r w:rsidRPr="009E4E29">
              <w:t>“</w:t>
            </w:r>
            <w:r w:rsidRPr="009E4E29">
              <w:rPr>
                <w:b/>
              </w:rPr>
              <w:t>戴蒙德</w:t>
            </w:r>
            <w:r w:rsidRPr="009E4E29">
              <w:rPr>
                <w:b/>
              </w:rPr>
              <w:t>-2</w:t>
            </w:r>
            <w:r w:rsidRPr="009E4E29">
              <w:t>”</w:t>
            </w:r>
            <w:r w:rsidRPr="009E4E29">
              <w:t>）各</w:t>
            </w:r>
            <w:r w:rsidRPr="009E4E29">
              <w:t>31%</w:t>
            </w:r>
            <w:r w:rsidRPr="009E4E29">
              <w:t>的股份。戴蒙德</w:t>
            </w:r>
            <w:r w:rsidRPr="009E4E29">
              <w:t>-1</w:t>
            </w:r>
            <w:r w:rsidRPr="009E4E29">
              <w:t>和戴蒙德</w:t>
            </w:r>
            <w:r w:rsidRPr="009E4E29">
              <w:t>-2</w:t>
            </w:r>
            <w:r w:rsidRPr="009E4E29">
              <w:t>均持有、运营、维护和长期出租液化天然气船。交易前，三菱商事和日本邮船株式会社（</w:t>
            </w:r>
            <w:r w:rsidRPr="009E4E29">
              <w:t>“</w:t>
            </w:r>
            <w:r w:rsidRPr="009E4E29">
              <w:rPr>
                <w:b/>
              </w:rPr>
              <w:t>日本邮船</w:t>
            </w:r>
            <w:r w:rsidRPr="009E4E29">
              <w:t>”</w:t>
            </w:r>
            <w:r w:rsidRPr="009E4E29">
              <w:t>）分别持有戴蒙德</w:t>
            </w:r>
            <w:r w:rsidRPr="009E4E29">
              <w:t>-1</w:t>
            </w:r>
            <w:r w:rsidRPr="009E4E29">
              <w:t>和戴蒙德</w:t>
            </w:r>
            <w:r w:rsidRPr="009E4E29">
              <w:t>-2</w:t>
            </w:r>
            <w:r w:rsidRPr="009E4E29">
              <w:t>各</w:t>
            </w:r>
            <w:r w:rsidRPr="009E4E29">
              <w:t>50%</w:t>
            </w:r>
            <w:r w:rsidRPr="009E4E29">
              <w:t>的股份，共同控制戴蒙德</w:t>
            </w:r>
            <w:r w:rsidRPr="009E4E29">
              <w:t>-1</w:t>
            </w:r>
            <w:r w:rsidRPr="009E4E29">
              <w:t>和戴蒙德</w:t>
            </w:r>
            <w:r w:rsidRPr="009E4E29">
              <w:t>-2</w:t>
            </w:r>
            <w:r w:rsidRPr="009E4E29">
              <w:t>。交易后，</w:t>
            </w:r>
            <w:r w:rsidRPr="009E4E29">
              <w:rPr>
                <w:bCs/>
              </w:rPr>
              <w:t>三井住友未来</w:t>
            </w:r>
            <w:r w:rsidRPr="009E4E29">
              <w:t>、三菱商事和日本邮船将分别持有戴蒙德</w:t>
            </w:r>
            <w:r w:rsidRPr="009E4E29">
              <w:t>-1</w:t>
            </w:r>
            <w:r w:rsidRPr="009E4E29">
              <w:t>和戴蒙德</w:t>
            </w:r>
            <w:r w:rsidRPr="009E4E29">
              <w:t>-2</w:t>
            </w:r>
            <w:r w:rsidRPr="009E4E29">
              <w:t>各</w:t>
            </w:r>
            <w:r w:rsidRPr="009E4E29">
              <w:t>31%</w:t>
            </w:r>
            <w:r w:rsidRPr="009E4E29">
              <w:t>、</w:t>
            </w:r>
            <w:r w:rsidRPr="009E4E29">
              <w:t>19%</w:t>
            </w:r>
            <w:r w:rsidRPr="009E4E29">
              <w:t>和</w:t>
            </w:r>
            <w:r w:rsidRPr="009E4E29">
              <w:t>50%</w:t>
            </w:r>
            <w:r w:rsidRPr="009E4E29">
              <w:t>的股份，并共同控制戴蒙德</w:t>
            </w:r>
            <w:r w:rsidRPr="009E4E29">
              <w:t>-1</w:t>
            </w:r>
            <w:r w:rsidRPr="009E4E29">
              <w:t>和戴蒙德</w:t>
            </w:r>
            <w:r w:rsidRPr="009E4E29">
              <w:t>-2</w:t>
            </w:r>
            <w:r w:rsidRPr="009E4E29">
              <w:t>。</w:t>
            </w:r>
          </w:p>
        </w:tc>
      </w:tr>
      <w:tr w:rsidR="009E4E29" w:rsidRPr="009E4E29" w14:paraId="56B785BD" w14:textId="77777777" w:rsidTr="009E6460">
        <w:trPr>
          <w:trHeight w:val="942"/>
        </w:trPr>
        <w:tc>
          <w:tcPr>
            <w:tcW w:w="1006" w:type="pct"/>
            <w:vMerge w:val="restart"/>
            <w:shd w:val="clear" w:color="auto" w:fill="D9D9D9"/>
            <w:vAlign w:val="center"/>
          </w:tcPr>
          <w:p w14:paraId="005B3C34" w14:textId="77777777" w:rsidR="009E4E29" w:rsidRPr="009E4E29" w:rsidRDefault="009E4E29" w:rsidP="009E6460">
            <w:pPr>
              <w:pStyle w:val="BodyText"/>
              <w:adjustRightInd w:val="0"/>
              <w:snapToGrid w:val="0"/>
              <w:spacing w:after="0"/>
              <w:rPr>
                <w:bCs/>
              </w:rPr>
            </w:pPr>
            <w:r w:rsidRPr="009E4E29">
              <w:rPr>
                <w:bCs/>
              </w:rPr>
              <w:t>参与集中的经营者简介（每个限</w:t>
            </w:r>
            <w:r w:rsidRPr="009E4E29">
              <w:rPr>
                <w:bCs/>
              </w:rPr>
              <w:t>100</w:t>
            </w:r>
            <w:r w:rsidRPr="009E4E29">
              <w:rPr>
                <w:bCs/>
              </w:rPr>
              <w:t>字以内）</w:t>
            </w:r>
          </w:p>
        </w:tc>
        <w:tc>
          <w:tcPr>
            <w:tcW w:w="834" w:type="pct"/>
            <w:vAlign w:val="center"/>
          </w:tcPr>
          <w:p w14:paraId="4721384F" w14:textId="77777777" w:rsidR="009E4E29" w:rsidRPr="009E4E29" w:rsidRDefault="009E4E29" w:rsidP="009E4E29">
            <w:pPr>
              <w:pStyle w:val="BodyText"/>
              <w:numPr>
                <w:ilvl w:val="0"/>
                <w:numId w:val="5"/>
              </w:numPr>
              <w:adjustRightInd w:val="0"/>
              <w:snapToGrid w:val="0"/>
              <w:spacing w:after="0"/>
              <w:ind w:left="343" w:right="95" w:hanging="283"/>
              <w:rPr>
                <w:bCs/>
              </w:rPr>
            </w:pPr>
            <w:r w:rsidRPr="009E4E29">
              <w:rPr>
                <w:bCs/>
              </w:rPr>
              <w:t>三井住友未来</w:t>
            </w:r>
          </w:p>
        </w:tc>
        <w:tc>
          <w:tcPr>
            <w:tcW w:w="3160" w:type="pct"/>
            <w:vAlign w:val="center"/>
          </w:tcPr>
          <w:p w14:paraId="607A08FD" w14:textId="77777777" w:rsidR="009E4E29" w:rsidRPr="009E4E29" w:rsidRDefault="009E4E29" w:rsidP="009E6460">
            <w:pPr>
              <w:adjustRightInd w:val="0"/>
              <w:snapToGrid w:val="0"/>
              <w:rPr>
                <w:bCs/>
              </w:rPr>
            </w:pPr>
            <w:r w:rsidRPr="009E4E29">
              <w:rPr>
                <w:bCs/>
              </w:rPr>
              <w:t>三井住友未来于</w:t>
            </w:r>
            <w:r w:rsidRPr="009E4E29">
              <w:rPr>
                <w:bCs/>
              </w:rPr>
              <w:t>2018</w:t>
            </w:r>
            <w:r w:rsidRPr="009E4E29">
              <w:rPr>
                <w:bCs/>
              </w:rPr>
              <w:t>年</w:t>
            </w:r>
            <w:r w:rsidRPr="009E4E29">
              <w:rPr>
                <w:bCs/>
              </w:rPr>
              <w:t>10</w:t>
            </w:r>
            <w:r w:rsidRPr="009E4E29">
              <w:rPr>
                <w:bCs/>
              </w:rPr>
              <w:t>月</w:t>
            </w:r>
            <w:r w:rsidRPr="009E4E29">
              <w:rPr>
                <w:bCs/>
              </w:rPr>
              <w:t>1</w:t>
            </w:r>
            <w:r w:rsidRPr="009E4E29">
              <w:rPr>
                <w:bCs/>
              </w:rPr>
              <w:t>日成立于日本。三井住友未来的主要业务为房地产、环境和能源、船舶定期租赁等。</w:t>
            </w:r>
          </w:p>
          <w:p w14:paraId="44B7B56A" w14:textId="77777777" w:rsidR="009E4E29" w:rsidRPr="009E4E29" w:rsidRDefault="009E4E29" w:rsidP="009E6460">
            <w:pPr>
              <w:adjustRightInd w:val="0"/>
              <w:snapToGrid w:val="0"/>
              <w:rPr>
                <w:bCs/>
              </w:rPr>
            </w:pPr>
            <w:r w:rsidRPr="009E4E29">
              <w:rPr>
                <w:bCs/>
              </w:rPr>
              <w:t>三井住友未来的最终控制人为株式会社三井住友金融集团和住友商事株式会社。株式会社三井住友金融集团的主要业务为商业银行业务，住友商事株式会社的主要业务为贸易业务。</w:t>
            </w:r>
          </w:p>
        </w:tc>
      </w:tr>
      <w:tr w:rsidR="009E4E29" w:rsidRPr="009E4E29" w14:paraId="5D83A1EB" w14:textId="77777777" w:rsidTr="009E6460">
        <w:trPr>
          <w:trHeight w:val="984"/>
        </w:trPr>
        <w:tc>
          <w:tcPr>
            <w:tcW w:w="1006" w:type="pct"/>
            <w:vMerge/>
            <w:shd w:val="clear" w:color="auto" w:fill="D9D9D9"/>
            <w:vAlign w:val="center"/>
          </w:tcPr>
          <w:p w14:paraId="59928285" w14:textId="77777777" w:rsidR="009E4E29" w:rsidRPr="009E4E29" w:rsidRDefault="009E4E29" w:rsidP="009E6460">
            <w:pPr>
              <w:pStyle w:val="BodyText"/>
              <w:adjustRightInd w:val="0"/>
              <w:snapToGrid w:val="0"/>
              <w:spacing w:after="0"/>
              <w:rPr>
                <w:bCs/>
              </w:rPr>
            </w:pPr>
          </w:p>
        </w:tc>
        <w:tc>
          <w:tcPr>
            <w:tcW w:w="834" w:type="pct"/>
            <w:vAlign w:val="center"/>
          </w:tcPr>
          <w:p w14:paraId="64A60081" w14:textId="77777777" w:rsidR="009E4E29" w:rsidRPr="009E4E29" w:rsidRDefault="009E4E29" w:rsidP="009E4E29">
            <w:pPr>
              <w:pStyle w:val="BodyText"/>
              <w:numPr>
                <w:ilvl w:val="0"/>
                <w:numId w:val="5"/>
              </w:numPr>
              <w:adjustRightInd w:val="0"/>
              <w:snapToGrid w:val="0"/>
              <w:spacing w:after="0"/>
              <w:ind w:left="343" w:right="95" w:hanging="283"/>
              <w:rPr>
                <w:bCs/>
              </w:rPr>
            </w:pPr>
            <w:r w:rsidRPr="009E4E29">
              <w:rPr>
                <w:bCs/>
              </w:rPr>
              <w:t>三菱商事</w:t>
            </w:r>
          </w:p>
        </w:tc>
        <w:tc>
          <w:tcPr>
            <w:tcW w:w="3160" w:type="pct"/>
            <w:vAlign w:val="center"/>
          </w:tcPr>
          <w:p w14:paraId="4F6E4D0C" w14:textId="77777777" w:rsidR="009E4E29" w:rsidRPr="009E4E29" w:rsidRDefault="009E4E29" w:rsidP="009E6460">
            <w:pPr>
              <w:adjustRightInd w:val="0"/>
              <w:snapToGrid w:val="0"/>
              <w:rPr>
                <w:bCs/>
              </w:rPr>
            </w:pPr>
            <w:r w:rsidRPr="009E4E29">
              <w:t>三菱商事</w:t>
            </w:r>
            <w:r w:rsidRPr="009E4E29">
              <w:rPr>
                <w:bCs/>
              </w:rPr>
              <w:t>于</w:t>
            </w:r>
            <w:r w:rsidRPr="009E4E29">
              <w:rPr>
                <w:bCs/>
              </w:rPr>
              <w:t>1950</w:t>
            </w:r>
            <w:r w:rsidRPr="009E4E29">
              <w:rPr>
                <w:bCs/>
              </w:rPr>
              <w:t>年</w:t>
            </w:r>
            <w:r w:rsidRPr="009E4E29">
              <w:rPr>
                <w:bCs/>
              </w:rPr>
              <w:t>4</w:t>
            </w:r>
            <w:r w:rsidRPr="009E4E29">
              <w:rPr>
                <w:bCs/>
              </w:rPr>
              <w:t>月</w:t>
            </w:r>
            <w:r w:rsidRPr="009E4E29">
              <w:rPr>
                <w:bCs/>
              </w:rPr>
              <w:t>1</w:t>
            </w:r>
            <w:r w:rsidRPr="009E4E29">
              <w:rPr>
                <w:bCs/>
              </w:rPr>
              <w:t>日成立于日本，为东京证券交易所上市公司。</w:t>
            </w:r>
            <w:r w:rsidRPr="009E4E29">
              <w:t>三菱商事</w:t>
            </w:r>
            <w:r w:rsidRPr="009E4E29">
              <w:rPr>
                <w:bCs/>
              </w:rPr>
              <w:t>的主要业务为环境能源、材料解决方案、矿产资源、城市发展与基础设施、移动出行、食品工业、智能生活创造和电力解决方案等。</w:t>
            </w:r>
          </w:p>
          <w:p w14:paraId="558EACAF" w14:textId="77777777" w:rsidR="009E4E29" w:rsidRPr="009E4E29" w:rsidRDefault="009E4E29" w:rsidP="009E6460">
            <w:pPr>
              <w:adjustRightInd w:val="0"/>
              <w:snapToGrid w:val="0"/>
              <w:rPr>
                <w:bCs/>
              </w:rPr>
            </w:pPr>
            <w:r w:rsidRPr="009E4E29">
              <w:rPr>
                <w:bCs/>
              </w:rPr>
              <w:t>三菱商事没有最终控制人。</w:t>
            </w:r>
          </w:p>
        </w:tc>
      </w:tr>
      <w:tr w:rsidR="009E4E29" w:rsidRPr="009E4E29" w14:paraId="4C302007" w14:textId="77777777" w:rsidTr="009E6460">
        <w:trPr>
          <w:trHeight w:val="984"/>
        </w:trPr>
        <w:tc>
          <w:tcPr>
            <w:tcW w:w="1006" w:type="pct"/>
            <w:vMerge/>
            <w:shd w:val="clear" w:color="auto" w:fill="D9D9D9"/>
            <w:vAlign w:val="center"/>
          </w:tcPr>
          <w:p w14:paraId="1DE7A73D" w14:textId="77777777" w:rsidR="009E4E29" w:rsidRPr="009E4E29" w:rsidRDefault="009E4E29" w:rsidP="009E6460">
            <w:pPr>
              <w:pStyle w:val="BodyText"/>
              <w:adjustRightInd w:val="0"/>
              <w:snapToGrid w:val="0"/>
              <w:spacing w:after="0"/>
              <w:rPr>
                <w:bCs/>
              </w:rPr>
            </w:pPr>
          </w:p>
        </w:tc>
        <w:tc>
          <w:tcPr>
            <w:tcW w:w="834" w:type="pct"/>
            <w:vAlign w:val="center"/>
          </w:tcPr>
          <w:p w14:paraId="5B079418" w14:textId="77777777" w:rsidR="009E4E29" w:rsidRPr="009E4E29" w:rsidRDefault="009E4E29" w:rsidP="009E4E29">
            <w:pPr>
              <w:pStyle w:val="BodyText"/>
              <w:numPr>
                <w:ilvl w:val="0"/>
                <w:numId w:val="5"/>
              </w:numPr>
              <w:adjustRightInd w:val="0"/>
              <w:snapToGrid w:val="0"/>
              <w:spacing w:after="0"/>
              <w:ind w:left="343" w:right="95" w:hanging="283"/>
              <w:rPr>
                <w:bCs/>
              </w:rPr>
            </w:pPr>
            <w:r w:rsidRPr="009E4E29">
              <w:rPr>
                <w:bCs/>
              </w:rPr>
              <w:t>日本邮船</w:t>
            </w:r>
          </w:p>
        </w:tc>
        <w:tc>
          <w:tcPr>
            <w:tcW w:w="3160" w:type="pct"/>
            <w:vAlign w:val="center"/>
          </w:tcPr>
          <w:p w14:paraId="4CC93AC1" w14:textId="77777777" w:rsidR="009E4E29" w:rsidRPr="009E4E29" w:rsidRDefault="009E4E29" w:rsidP="009E6460">
            <w:pPr>
              <w:adjustRightInd w:val="0"/>
              <w:snapToGrid w:val="0"/>
              <w:rPr>
                <w:bCs/>
              </w:rPr>
            </w:pPr>
            <w:r w:rsidRPr="009E4E29">
              <w:rPr>
                <w:bCs/>
              </w:rPr>
              <w:t>日本邮船于</w:t>
            </w:r>
            <w:r w:rsidRPr="009E4E29">
              <w:rPr>
                <w:bCs/>
              </w:rPr>
              <w:t>1885</w:t>
            </w:r>
            <w:r w:rsidRPr="009E4E29">
              <w:rPr>
                <w:bCs/>
              </w:rPr>
              <w:t>年</w:t>
            </w:r>
            <w:r w:rsidRPr="009E4E29">
              <w:rPr>
                <w:bCs/>
              </w:rPr>
              <w:t>9</w:t>
            </w:r>
            <w:r w:rsidRPr="009E4E29">
              <w:rPr>
                <w:bCs/>
              </w:rPr>
              <w:t>月</w:t>
            </w:r>
            <w:r w:rsidRPr="009E4E29">
              <w:rPr>
                <w:bCs/>
              </w:rPr>
              <w:t>29</w:t>
            </w:r>
            <w:r w:rsidRPr="009E4E29">
              <w:rPr>
                <w:bCs/>
              </w:rPr>
              <w:t>日成立于日本，为东京证券交易所上市公司，主要业务为运营一支由集装箱船、散货船和木材运输船、汽车滚装船、液化天然气船和游轮组成的船队。</w:t>
            </w:r>
          </w:p>
          <w:p w14:paraId="5EDFD661" w14:textId="77777777" w:rsidR="009E4E29" w:rsidRPr="009E4E29" w:rsidRDefault="009E4E29" w:rsidP="009E6460">
            <w:pPr>
              <w:adjustRightInd w:val="0"/>
              <w:snapToGrid w:val="0"/>
              <w:rPr>
                <w:bCs/>
              </w:rPr>
            </w:pPr>
            <w:r w:rsidRPr="009E4E29">
              <w:rPr>
                <w:bCs/>
              </w:rPr>
              <w:t>日本邮船没有最终控制人。</w:t>
            </w:r>
          </w:p>
        </w:tc>
      </w:tr>
      <w:tr w:rsidR="009E4E29" w:rsidRPr="009E4E29" w14:paraId="467C05DF" w14:textId="77777777" w:rsidTr="009E6460">
        <w:trPr>
          <w:trHeight w:val="984"/>
        </w:trPr>
        <w:tc>
          <w:tcPr>
            <w:tcW w:w="1006" w:type="pct"/>
            <w:vMerge/>
            <w:shd w:val="clear" w:color="auto" w:fill="D9D9D9"/>
            <w:vAlign w:val="center"/>
          </w:tcPr>
          <w:p w14:paraId="6D498FBF" w14:textId="77777777" w:rsidR="009E4E29" w:rsidRPr="009E4E29" w:rsidRDefault="009E4E29" w:rsidP="009E6460">
            <w:pPr>
              <w:pStyle w:val="BodyText"/>
              <w:adjustRightInd w:val="0"/>
              <w:snapToGrid w:val="0"/>
              <w:spacing w:after="0"/>
              <w:rPr>
                <w:bCs/>
              </w:rPr>
            </w:pPr>
          </w:p>
        </w:tc>
        <w:tc>
          <w:tcPr>
            <w:tcW w:w="834" w:type="pct"/>
            <w:vAlign w:val="center"/>
          </w:tcPr>
          <w:p w14:paraId="3A1C7F1C" w14:textId="77777777" w:rsidR="009E4E29" w:rsidRPr="009E4E29" w:rsidRDefault="009E4E29" w:rsidP="009E4E29">
            <w:pPr>
              <w:pStyle w:val="BodyText"/>
              <w:numPr>
                <w:ilvl w:val="0"/>
                <w:numId w:val="5"/>
              </w:numPr>
              <w:adjustRightInd w:val="0"/>
              <w:snapToGrid w:val="0"/>
              <w:spacing w:after="0"/>
              <w:ind w:left="343" w:right="95" w:hanging="283"/>
              <w:rPr>
                <w:bCs/>
              </w:rPr>
            </w:pPr>
            <w:r w:rsidRPr="009E4E29">
              <w:rPr>
                <w:bCs/>
              </w:rPr>
              <w:t>戴蒙德</w:t>
            </w:r>
            <w:r w:rsidRPr="009E4E29">
              <w:rPr>
                <w:bCs/>
              </w:rPr>
              <w:t>-1</w:t>
            </w:r>
          </w:p>
        </w:tc>
        <w:tc>
          <w:tcPr>
            <w:tcW w:w="3160" w:type="pct"/>
            <w:vAlign w:val="center"/>
          </w:tcPr>
          <w:p w14:paraId="72451E39" w14:textId="77777777" w:rsidR="009E4E29" w:rsidRPr="009E4E29" w:rsidRDefault="009E4E29" w:rsidP="009E6460">
            <w:pPr>
              <w:adjustRightInd w:val="0"/>
              <w:snapToGrid w:val="0"/>
            </w:pPr>
            <w:r w:rsidRPr="009E4E29">
              <w:rPr>
                <w:bCs/>
              </w:rPr>
              <w:t>戴蒙德</w:t>
            </w:r>
            <w:r w:rsidRPr="009E4E29">
              <w:rPr>
                <w:bCs/>
              </w:rPr>
              <w:t>-1</w:t>
            </w:r>
            <w:r w:rsidRPr="009E4E29">
              <w:rPr>
                <w:bCs/>
              </w:rPr>
              <w:t>于</w:t>
            </w:r>
            <w:r w:rsidRPr="009E4E29">
              <w:rPr>
                <w:bCs/>
              </w:rPr>
              <w:t>2015</w:t>
            </w:r>
            <w:r w:rsidRPr="009E4E29">
              <w:rPr>
                <w:bCs/>
              </w:rPr>
              <w:t>年</w:t>
            </w:r>
            <w:r w:rsidRPr="009E4E29">
              <w:rPr>
                <w:bCs/>
              </w:rPr>
              <w:t>4</w:t>
            </w:r>
            <w:r w:rsidRPr="009E4E29">
              <w:rPr>
                <w:bCs/>
              </w:rPr>
              <w:t>月</w:t>
            </w:r>
            <w:r w:rsidRPr="009E4E29">
              <w:rPr>
                <w:bCs/>
              </w:rPr>
              <w:t>16</w:t>
            </w:r>
            <w:r w:rsidRPr="009E4E29">
              <w:rPr>
                <w:bCs/>
              </w:rPr>
              <w:t>日成立于新加坡。戴蒙德</w:t>
            </w:r>
            <w:r w:rsidRPr="009E4E29">
              <w:rPr>
                <w:bCs/>
              </w:rPr>
              <w:t>-1</w:t>
            </w:r>
            <w:r w:rsidRPr="009E4E29">
              <w:rPr>
                <w:bCs/>
              </w:rPr>
              <w:t>持</w:t>
            </w:r>
            <w:r w:rsidRPr="009E4E29">
              <w:t>有、运营、维护和长期出租一艘液化天然气船。</w:t>
            </w:r>
          </w:p>
          <w:p w14:paraId="60A574BB" w14:textId="77777777" w:rsidR="009E4E29" w:rsidRPr="009E4E29" w:rsidRDefault="009E4E29" w:rsidP="009E6460">
            <w:pPr>
              <w:adjustRightInd w:val="0"/>
              <w:snapToGrid w:val="0"/>
              <w:rPr>
                <w:bCs/>
              </w:rPr>
            </w:pPr>
            <w:r w:rsidRPr="009E4E29">
              <w:rPr>
                <w:bCs/>
              </w:rPr>
              <w:t>戴蒙德</w:t>
            </w:r>
            <w:r w:rsidRPr="009E4E29">
              <w:rPr>
                <w:bCs/>
              </w:rPr>
              <w:t>-1</w:t>
            </w:r>
            <w:r w:rsidRPr="009E4E29">
              <w:rPr>
                <w:bCs/>
              </w:rPr>
              <w:t>的最终控制人为三菱商事和日本邮船。三菱商事和日本邮船的主要业务如上所述。</w:t>
            </w:r>
          </w:p>
        </w:tc>
      </w:tr>
      <w:tr w:rsidR="009E4E29" w:rsidRPr="009E4E29" w14:paraId="72B42CB0" w14:textId="77777777" w:rsidTr="009E6460">
        <w:trPr>
          <w:trHeight w:val="984"/>
        </w:trPr>
        <w:tc>
          <w:tcPr>
            <w:tcW w:w="1006" w:type="pct"/>
            <w:vMerge/>
            <w:shd w:val="clear" w:color="auto" w:fill="D9D9D9"/>
            <w:vAlign w:val="center"/>
          </w:tcPr>
          <w:p w14:paraId="1EFA10FC" w14:textId="77777777" w:rsidR="009E4E29" w:rsidRPr="009E4E29" w:rsidRDefault="009E4E29" w:rsidP="009E6460">
            <w:pPr>
              <w:pStyle w:val="BodyText"/>
              <w:adjustRightInd w:val="0"/>
              <w:snapToGrid w:val="0"/>
              <w:spacing w:after="0"/>
              <w:rPr>
                <w:bCs/>
              </w:rPr>
            </w:pPr>
          </w:p>
        </w:tc>
        <w:tc>
          <w:tcPr>
            <w:tcW w:w="834" w:type="pct"/>
            <w:vAlign w:val="center"/>
          </w:tcPr>
          <w:p w14:paraId="7A6A4645" w14:textId="77777777" w:rsidR="009E4E29" w:rsidRPr="009E4E29" w:rsidRDefault="009E4E29" w:rsidP="009E4E29">
            <w:pPr>
              <w:pStyle w:val="BodyText"/>
              <w:numPr>
                <w:ilvl w:val="0"/>
                <w:numId w:val="5"/>
              </w:numPr>
              <w:adjustRightInd w:val="0"/>
              <w:snapToGrid w:val="0"/>
              <w:spacing w:after="0"/>
              <w:ind w:left="343" w:right="95" w:hanging="283"/>
              <w:rPr>
                <w:bCs/>
              </w:rPr>
            </w:pPr>
            <w:r w:rsidRPr="009E4E29">
              <w:rPr>
                <w:bCs/>
              </w:rPr>
              <w:t>戴蒙德</w:t>
            </w:r>
            <w:r w:rsidRPr="009E4E29">
              <w:rPr>
                <w:bCs/>
              </w:rPr>
              <w:t>-2</w:t>
            </w:r>
          </w:p>
        </w:tc>
        <w:tc>
          <w:tcPr>
            <w:tcW w:w="3160" w:type="pct"/>
            <w:vAlign w:val="center"/>
          </w:tcPr>
          <w:p w14:paraId="5A16C425" w14:textId="77777777" w:rsidR="009E4E29" w:rsidRPr="009E4E29" w:rsidRDefault="009E4E29" w:rsidP="009E6460">
            <w:pPr>
              <w:adjustRightInd w:val="0"/>
              <w:snapToGrid w:val="0"/>
            </w:pPr>
            <w:r w:rsidRPr="009E4E29">
              <w:rPr>
                <w:bCs/>
              </w:rPr>
              <w:t>戴蒙德</w:t>
            </w:r>
            <w:r w:rsidRPr="009E4E29">
              <w:rPr>
                <w:bCs/>
              </w:rPr>
              <w:t>-2</w:t>
            </w:r>
            <w:r w:rsidRPr="009E4E29">
              <w:rPr>
                <w:bCs/>
              </w:rPr>
              <w:t>于</w:t>
            </w:r>
            <w:r w:rsidRPr="009E4E29">
              <w:rPr>
                <w:bCs/>
              </w:rPr>
              <w:t>2015</w:t>
            </w:r>
            <w:r w:rsidRPr="009E4E29">
              <w:rPr>
                <w:bCs/>
              </w:rPr>
              <w:t>年</w:t>
            </w:r>
            <w:r w:rsidRPr="009E4E29">
              <w:rPr>
                <w:bCs/>
              </w:rPr>
              <w:t>4</w:t>
            </w:r>
            <w:r w:rsidRPr="009E4E29">
              <w:rPr>
                <w:bCs/>
              </w:rPr>
              <w:t>月</w:t>
            </w:r>
            <w:r w:rsidRPr="009E4E29">
              <w:rPr>
                <w:bCs/>
              </w:rPr>
              <w:t>16</w:t>
            </w:r>
            <w:r w:rsidRPr="009E4E29">
              <w:rPr>
                <w:bCs/>
              </w:rPr>
              <w:t>日成立于新加坡。戴蒙德</w:t>
            </w:r>
            <w:r w:rsidRPr="009E4E29">
              <w:rPr>
                <w:bCs/>
              </w:rPr>
              <w:t>-2</w:t>
            </w:r>
            <w:r w:rsidRPr="009E4E29">
              <w:rPr>
                <w:bCs/>
              </w:rPr>
              <w:t>持</w:t>
            </w:r>
            <w:r w:rsidRPr="009E4E29">
              <w:t>有、运营、维护和长期出租一艘液化天然气船。</w:t>
            </w:r>
          </w:p>
          <w:p w14:paraId="366F9BAE" w14:textId="77777777" w:rsidR="009E4E29" w:rsidRPr="009E4E29" w:rsidRDefault="009E4E29" w:rsidP="009E6460">
            <w:pPr>
              <w:adjustRightInd w:val="0"/>
              <w:snapToGrid w:val="0"/>
              <w:rPr>
                <w:bCs/>
              </w:rPr>
            </w:pPr>
            <w:r w:rsidRPr="009E4E29">
              <w:rPr>
                <w:bCs/>
              </w:rPr>
              <w:t>戴蒙德</w:t>
            </w:r>
            <w:r w:rsidRPr="009E4E29">
              <w:rPr>
                <w:bCs/>
              </w:rPr>
              <w:t>-2</w:t>
            </w:r>
            <w:r w:rsidRPr="009E4E29">
              <w:rPr>
                <w:bCs/>
              </w:rPr>
              <w:t>的最终控制人为三菱商事和日本邮船。三菱商事和日本邮船的主要业务如上所述。</w:t>
            </w:r>
          </w:p>
        </w:tc>
      </w:tr>
      <w:tr w:rsidR="009E4E29" w:rsidRPr="009E4E29" w14:paraId="593A3628" w14:textId="77777777" w:rsidTr="009E6460">
        <w:trPr>
          <w:trHeight w:val="279"/>
        </w:trPr>
        <w:tc>
          <w:tcPr>
            <w:tcW w:w="1006" w:type="pct"/>
            <w:vMerge w:val="restart"/>
            <w:shd w:val="clear" w:color="auto" w:fill="D9D9D9"/>
            <w:vAlign w:val="center"/>
          </w:tcPr>
          <w:p w14:paraId="05234AE9" w14:textId="77777777" w:rsidR="009E4E29" w:rsidRPr="009E4E29" w:rsidRDefault="009E4E29" w:rsidP="009E6460">
            <w:pPr>
              <w:pStyle w:val="BodyText"/>
              <w:adjustRightInd w:val="0"/>
              <w:snapToGrid w:val="0"/>
              <w:spacing w:after="0"/>
              <w:rPr>
                <w:bCs/>
              </w:rPr>
            </w:pPr>
            <w:r w:rsidRPr="009E4E29">
              <w:rPr>
                <w:bCs/>
              </w:rPr>
              <w:t>简易案件理由（可以单选，也可以多选）</w:t>
            </w:r>
          </w:p>
        </w:tc>
        <w:tc>
          <w:tcPr>
            <w:tcW w:w="3994" w:type="pct"/>
            <w:gridSpan w:val="2"/>
            <w:vAlign w:val="center"/>
          </w:tcPr>
          <w:p w14:paraId="35FD8092" w14:textId="77777777" w:rsidR="009E4E29" w:rsidRPr="009E4E29" w:rsidRDefault="009E4E29" w:rsidP="009E6460">
            <w:pPr>
              <w:pStyle w:val="BodyText"/>
              <w:adjustRightInd w:val="0"/>
              <w:snapToGrid w:val="0"/>
              <w:spacing w:after="0"/>
              <w:rPr>
                <w:bCs/>
              </w:rPr>
            </w:pPr>
            <w:r w:rsidRPr="009E4E29">
              <w:rPr>
                <w:bCs/>
              </w:rPr>
              <w:sym w:font="Wingdings" w:char="00A8"/>
            </w:r>
            <w:r w:rsidRPr="009E4E29">
              <w:rPr>
                <w:bCs/>
              </w:rPr>
              <w:t xml:space="preserve"> 1.</w:t>
            </w:r>
            <w:r w:rsidRPr="009E4E29">
              <w:rPr>
                <w:bCs/>
              </w:rPr>
              <w:t>在同一相关市场，参与集中的经营者所占的市场份额之和小于</w:t>
            </w:r>
            <w:r w:rsidRPr="009E4E29">
              <w:rPr>
                <w:bCs/>
              </w:rPr>
              <w:t>15%</w:t>
            </w:r>
            <w:r w:rsidRPr="009E4E29">
              <w:rPr>
                <w:bCs/>
              </w:rPr>
              <w:t>。</w:t>
            </w:r>
          </w:p>
        </w:tc>
      </w:tr>
      <w:tr w:rsidR="009E4E29" w:rsidRPr="009E4E29" w14:paraId="55FB6D38" w14:textId="77777777" w:rsidTr="009E6460">
        <w:trPr>
          <w:trHeight w:val="330"/>
        </w:trPr>
        <w:tc>
          <w:tcPr>
            <w:tcW w:w="1006" w:type="pct"/>
            <w:vMerge/>
            <w:shd w:val="clear" w:color="auto" w:fill="D9D9D9"/>
            <w:vAlign w:val="center"/>
          </w:tcPr>
          <w:p w14:paraId="293C838F" w14:textId="77777777" w:rsidR="009E4E29" w:rsidRPr="009E4E29" w:rsidRDefault="009E4E29" w:rsidP="009E6460">
            <w:pPr>
              <w:pStyle w:val="BodyText"/>
              <w:adjustRightInd w:val="0"/>
              <w:snapToGrid w:val="0"/>
              <w:spacing w:after="0"/>
              <w:rPr>
                <w:bCs/>
              </w:rPr>
            </w:pPr>
          </w:p>
        </w:tc>
        <w:tc>
          <w:tcPr>
            <w:tcW w:w="3994" w:type="pct"/>
            <w:gridSpan w:val="2"/>
            <w:vAlign w:val="center"/>
          </w:tcPr>
          <w:p w14:paraId="118FD56D" w14:textId="77777777" w:rsidR="009E4E29" w:rsidRPr="009E4E29" w:rsidRDefault="009E4E29" w:rsidP="009E6460">
            <w:pPr>
              <w:pStyle w:val="BodyText"/>
              <w:adjustRightInd w:val="0"/>
              <w:snapToGrid w:val="0"/>
              <w:spacing w:after="0"/>
              <w:rPr>
                <w:bCs/>
              </w:rPr>
            </w:pPr>
            <w:r w:rsidRPr="009E4E29">
              <w:rPr>
                <w:bCs/>
              </w:rPr>
              <w:sym w:font="Wingdings" w:char="00A8"/>
            </w:r>
            <w:r w:rsidRPr="009E4E29">
              <w:rPr>
                <w:bCs/>
              </w:rPr>
              <w:t xml:space="preserve"> 2.</w:t>
            </w:r>
            <w:r w:rsidRPr="009E4E29">
              <w:rPr>
                <w:bCs/>
              </w:rPr>
              <w:t>在上下游市场，参与集中的经营者所占的市场份额均小于</w:t>
            </w:r>
            <w:r w:rsidRPr="009E4E29">
              <w:rPr>
                <w:bCs/>
              </w:rPr>
              <w:t>25%</w:t>
            </w:r>
            <w:r w:rsidRPr="009E4E29">
              <w:rPr>
                <w:bCs/>
              </w:rPr>
              <w:t>。</w:t>
            </w:r>
          </w:p>
        </w:tc>
      </w:tr>
      <w:tr w:rsidR="009E4E29" w:rsidRPr="009E4E29" w14:paraId="4B234E7D" w14:textId="77777777" w:rsidTr="009E6460">
        <w:trPr>
          <w:trHeight w:val="285"/>
        </w:trPr>
        <w:tc>
          <w:tcPr>
            <w:tcW w:w="1006" w:type="pct"/>
            <w:vMerge/>
            <w:shd w:val="clear" w:color="auto" w:fill="D9D9D9"/>
            <w:vAlign w:val="center"/>
          </w:tcPr>
          <w:p w14:paraId="2999E725" w14:textId="77777777" w:rsidR="009E4E29" w:rsidRPr="009E4E29" w:rsidRDefault="009E4E29" w:rsidP="009E6460">
            <w:pPr>
              <w:pStyle w:val="BodyText"/>
              <w:adjustRightInd w:val="0"/>
              <w:snapToGrid w:val="0"/>
              <w:spacing w:after="0"/>
              <w:rPr>
                <w:bCs/>
              </w:rPr>
            </w:pPr>
          </w:p>
        </w:tc>
        <w:tc>
          <w:tcPr>
            <w:tcW w:w="3994" w:type="pct"/>
            <w:gridSpan w:val="2"/>
            <w:vAlign w:val="center"/>
          </w:tcPr>
          <w:p w14:paraId="10453C34" w14:textId="77777777" w:rsidR="009E4E29" w:rsidRPr="009E4E29" w:rsidRDefault="009E4E29" w:rsidP="009E6460">
            <w:pPr>
              <w:pStyle w:val="BodyText"/>
              <w:adjustRightInd w:val="0"/>
              <w:snapToGrid w:val="0"/>
              <w:spacing w:after="0"/>
              <w:rPr>
                <w:bCs/>
              </w:rPr>
            </w:pPr>
            <w:r w:rsidRPr="009E4E29">
              <w:rPr>
                <w:bCs/>
              </w:rPr>
              <w:sym w:font="Wingdings" w:char="00A8"/>
            </w:r>
            <w:r w:rsidRPr="009E4E29">
              <w:rPr>
                <w:bCs/>
              </w:rPr>
              <w:t xml:space="preserve"> 3.</w:t>
            </w:r>
            <w:r w:rsidRPr="009E4E29">
              <w:rPr>
                <w:bCs/>
              </w:rPr>
              <w:t>不在同一相关市场也不存在上下游关系的参与集中的经营者，在与交易有关的每个市场所占的市场份额均小于</w:t>
            </w:r>
            <w:r w:rsidRPr="009E4E29">
              <w:rPr>
                <w:bCs/>
              </w:rPr>
              <w:t>25%</w:t>
            </w:r>
            <w:r w:rsidRPr="009E4E29">
              <w:rPr>
                <w:bCs/>
              </w:rPr>
              <w:t>。</w:t>
            </w:r>
          </w:p>
        </w:tc>
      </w:tr>
      <w:tr w:rsidR="009E4E29" w:rsidRPr="009E4E29" w14:paraId="48D65A97" w14:textId="77777777" w:rsidTr="009E6460">
        <w:trPr>
          <w:trHeight w:val="503"/>
        </w:trPr>
        <w:tc>
          <w:tcPr>
            <w:tcW w:w="1006" w:type="pct"/>
            <w:vMerge/>
            <w:shd w:val="clear" w:color="auto" w:fill="D9D9D9"/>
            <w:vAlign w:val="center"/>
          </w:tcPr>
          <w:p w14:paraId="2486E2B6" w14:textId="77777777" w:rsidR="009E4E29" w:rsidRPr="009E4E29" w:rsidRDefault="009E4E29" w:rsidP="009E6460">
            <w:pPr>
              <w:pStyle w:val="BodyText"/>
              <w:adjustRightInd w:val="0"/>
              <w:snapToGrid w:val="0"/>
              <w:spacing w:after="0"/>
              <w:rPr>
                <w:bCs/>
              </w:rPr>
            </w:pPr>
          </w:p>
        </w:tc>
        <w:tc>
          <w:tcPr>
            <w:tcW w:w="3994" w:type="pct"/>
            <w:gridSpan w:val="2"/>
            <w:vAlign w:val="center"/>
          </w:tcPr>
          <w:p w14:paraId="65B416AA" w14:textId="77777777" w:rsidR="009E4E29" w:rsidRPr="009E4E29" w:rsidRDefault="009E4E29" w:rsidP="009E6460">
            <w:pPr>
              <w:pStyle w:val="BodyText"/>
              <w:adjustRightInd w:val="0"/>
              <w:snapToGrid w:val="0"/>
              <w:spacing w:after="0"/>
              <w:rPr>
                <w:bCs/>
              </w:rPr>
            </w:pPr>
            <w:r w:rsidRPr="009E4E29">
              <w:rPr>
                <w:bCs/>
              </w:rPr>
              <w:sym w:font="Wingdings" w:char="00A8"/>
            </w:r>
            <w:r w:rsidRPr="009E4E29">
              <w:rPr>
                <w:bCs/>
              </w:rPr>
              <w:t xml:space="preserve"> 4.</w:t>
            </w:r>
            <w:r w:rsidRPr="009E4E29">
              <w:rPr>
                <w:bCs/>
              </w:rPr>
              <w:t>参与集中的经营者在中国境外设立合营企业，合营企业不在中国境内从事经济活动。</w:t>
            </w:r>
          </w:p>
        </w:tc>
      </w:tr>
      <w:tr w:rsidR="009E4E29" w:rsidRPr="009E4E29" w14:paraId="2AFCF3EC" w14:textId="77777777" w:rsidTr="009E6460">
        <w:trPr>
          <w:trHeight w:val="264"/>
        </w:trPr>
        <w:tc>
          <w:tcPr>
            <w:tcW w:w="1006" w:type="pct"/>
            <w:vMerge/>
            <w:shd w:val="clear" w:color="auto" w:fill="D9D9D9"/>
            <w:vAlign w:val="center"/>
          </w:tcPr>
          <w:p w14:paraId="625E1CBC" w14:textId="77777777" w:rsidR="009E4E29" w:rsidRPr="009E4E29" w:rsidRDefault="009E4E29" w:rsidP="009E6460">
            <w:pPr>
              <w:pStyle w:val="BodyText"/>
              <w:adjustRightInd w:val="0"/>
              <w:snapToGrid w:val="0"/>
              <w:spacing w:after="0"/>
              <w:rPr>
                <w:bCs/>
              </w:rPr>
            </w:pPr>
          </w:p>
        </w:tc>
        <w:tc>
          <w:tcPr>
            <w:tcW w:w="3994" w:type="pct"/>
            <w:gridSpan w:val="2"/>
            <w:vAlign w:val="center"/>
          </w:tcPr>
          <w:p w14:paraId="4F8135E2" w14:textId="77777777" w:rsidR="009E4E29" w:rsidRPr="009E4E29" w:rsidRDefault="009E4E29" w:rsidP="009E6460">
            <w:pPr>
              <w:pStyle w:val="BodyText"/>
              <w:adjustRightInd w:val="0"/>
              <w:snapToGrid w:val="0"/>
              <w:spacing w:after="0"/>
              <w:rPr>
                <w:bCs/>
              </w:rPr>
            </w:pPr>
            <w:r w:rsidRPr="009E4E29">
              <w:rPr>
                <w:b/>
              </w:rPr>
              <w:sym w:font="Wingdings" w:char="00FE"/>
            </w:r>
            <w:r w:rsidRPr="009E4E29">
              <w:rPr>
                <w:bCs/>
              </w:rPr>
              <w:t xml:space="preserve"> 5.</w:t>
            </w:r>
            <w:r w:rsidRPr="009E4E29">
              <w:rPr>
                <w:bCs/>
              </w:rPr>
              <w:t>参与集中的经营者收购境外企业股权或资产的，该境外企业不在中国境内从事经济活动。</w:t>
            </w:r>
          </w:p>
        </w:tc>
      </w:tr>
      <w:tr w:rsidR="009E4E29" w:rsidRPr="009E4E29" w14:paraId="6D4462B8" w14:textId="77777777" w:rsidTr="009E6460">
        <w:trPr>
          <w:trHeight w:val="345"/>
        </w:trPr>
        <w:tc>
          <w:tcPr>
            <w:tcW w:w="1006" w:type="pct"/>
            <w:vMerge/>
            <w:shd w:val="clear" w:color="auto" w:fill="D9D9D9"/>
            <w:vAlign w:val="center"/>
          </w:tcPr>
          <w:p w14:paraId="45266FE3" w14:textId="77777777" w:rsidR="009E4E29" w:rsidRPr="009E4E29" w:rsidRDefault="009E4E29" w:rsidP="009E6460">
            <w:pPr>
              <w:pStyle w:val="BodyText"/>
              <w:adjustRightInd w:val="0"/>
              <w:snapToGrid w:val="0"/>
              <w:spacing w:after="0"/>
              <w:rPr>
                <w:bCs/>
              </w:rPr>
            </w:pPr>
          </w:p>
        </w:tc>
        <w:tc>
          <w:tcPr>
            <w:tcW w:w="3994" w:type="pct"/>
            <w:gridSpan w:val="2"/>
            <w:vAlign w:val="center"/>
          </w:tcPr>
          <w:p w14:paraId="6E9F386B" w14:textId="77777777" w:rsidR="009E4E29" w:rsidRPr="009E4E29" w:rsidRDefault="009E4E29" w:rsidP="009E6460">
            <w:pPr>
              <w:pStyle w:val="BodyText"/>
              <w:adjustRightInd w:val="0"/>
              <w:snapToGrid w:val="0"/>
              <w:spacing w:after="0"/>
              <w:rPr>
                <w:bCs/>
              </w:rPr>
            </w:pPr>
            <w:r w:rsidRPr="009E4E29">
              <w:rPr>
                <w:bCs/>
              </w:rPr>
              <w:sym w:font="Wingdings" w:char="00A8"/>
            </w:r>
            <w:r w:rsidRPr="009E4E29">
              <w:rPr>
                <w:bCs/>
              </w:rPr>
              <w:t xml:space="preserve"> 6.</w:t>
            </w:r>
            <w:r w:rsidRPr="009E4E29">
              <w:rPr>
                <w:bCs/>
              </w:rPr>
              <w:t>由两个以上的经营者共同控制的合营企业，通过集中被其中一个或</w:t>
            </w:r>
            <w:r w:rsidRPr="009E4E29">
              <w:rPr>
                <w:bCs/>
              </w:rPr>
              <w:lastRenderedPageBreak/>
              <w:t>一个以上经营者控制。</w:t>
            </w:r>
          </w:p>
        </w:tc>
      </w:tr>
      <w:tr w:rsidR="009E4E29" w:rsidRPr="009E4E29" w14:paraId="01DB2746" w14:textId="77777777" w:rsidTr="009E6460">
        <w:trPr>
          <w:trHeight w:val="779"/>
        </w:trPr>
        <w:tc>
          <w:tcPr>
            <w:tcW w:w="1006" w:type="pct"/>
            <w:shd w:val="clear" w:color="auto" w:fill="D9D9D9"/>
            <w:vAlign w:val="center"/>
          </w:tcPr>
          <w:p w14:paraId="738C24CD" w14:textId="77777777" w:rsidR="009E4E29" w:rsidRPr="009E4E29" w:rsidRDefault="009E4E29" w:rsidP="009E6460">
            <w:pPr>
              <w:pStyle w:val="BodyText"/>
              <w:adjustRightInd w:val="0"/>
              <w:snapToGrid w:val="0"/>
              <w:spacing w:after="0"/>
              <w:rPr>
                <w:bCs/>
              </w:rPr>
            </w:pPr>
            <w:r w:rsidRPr="009E4E29">
              <w:rPr>
                <w:bCs/>
              </w:rPr>
              <w:lastRenderedPageBreak/>
              <w:t>备注</w:t>
            </w:r>
          </w:p>
        </w:tc>
        <w:tc>
          <w:tcPr>
            <w:tcW w:w="3994" w:type="pct"/>
            <w:gridSpan w:val="2"/>
            <w:vAlign w:val="center"/>
          </w:tcPr>
          <w:p w14:paraId="626CC555" w14:textId="77777777" w:rsidR="009E4E29" w:rsidRPr="009E4E29" w:rsidRDefault="009E4E29" w:rsidP="009E6460">
            <w:pPr>
              <w:pStyle w:val="BodyText"/>
              <w:adjustRightInd w:val="0"/>
              <w:snapToGrid w:val="0"/>
              <w:spacing w:after="0"/>
              <w:rPr>
                <w:bCs/>
              </w:rPr>
            </w:pPr>
            <w:r w:rsidRPr="009E4E29">
              <w:rPr>
                <w:bCs/>
              </w:rPr>
              <w:t>不适用</w:t>
            </w:r>
          </w:p>
        </w:tc>
      </w:tr>
    </w:tbl>
    <w:p w14:paraId="065DD14A" w14:textId="77777777" w:rsidR="002029C9" w:rsidRPr="009E4E29" w:rsidRDefault="002029C9" w:rsidP="00515F36"/>
    <w:sectPr w:rsidR="002029C9" w:rsidRPr="009E4E29" w:rsidSect="00740D90">
      <w:headerReference w:type="default" r:id="rId10"/>
      <w:footerReference w:type="default" r:id="rId11"/>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71B2" w14:textId="77777777" w:rsidR="00D62868" w:rsidRDefault="00D62868" w:rsidP="009D4707">
      <w:r>
        <w:separator/>
      </w:r>
    </w:p>
  </w:endnote>
  <w:endnote w:type="continuationSeparator" w:id="0">
    <w:p w14:paraId="48B71C89" w14:textId="77777777" w:rsidR="00D62868" w:rsidRDefault="00D62868" w:rsidP="009D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090068"/>
      <w:docPartObj>
        <w:docPartGallery w:val="Page Numbers (Bottom of Page)"/>
        <w:docPartUnique/>
      </w:docPartObj>
    </w:sdtPr>
    <w:sdtContent>
      <w:p w14:paraId="7C232398" w14:textId="4C55FB02" w:rsidR="00515F36" w:rsidRDefault="00515F36">
        <w:pPr>
          <w:pStyle w:val="Footer"/>
          <w:jc w:val="center"/>
        </w:pPr>
        <w:r>
          <w:fldChar w:fldCharType="begin"/>
        </w:r>
        <w:r>
          <w:instrText>PAGE   \* MERGEFORMAT</w:instrText>
        </w:r>
        <w:r>
          <w:fldChar w:fldCharType="separate"/>
        </w:r>
        <w:r>
          <w:rPr>
            <w:lang w:val="zh-CN"/>
          </w:rPr>
          <w:t>2</w:t>
        </w:r>
        <w:r>
          <w:fldChar w:fldCharType="end"/>
        </w:r>
      </w:p>
    </w:sdtContent>
  </w:sdt>
  <w:p w14:paraId="66C08D3C" w14:textId="77777777" w:rsidR="002029C9" w:rsidRDefault="00202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5440" w14:textId="77777777" w:rsidR="00D62868" w:rsidRDefault="00D62868" w:rsidP="009D4707">
      <w:r>
        <w:separator/>
      </w:r>
    </w:p>
  </w:footnote>
  <w:footnote w:type="continuationSeparator" w:id="0">
    <w:p w14:paraId="21DE4C46" w14:textId="77777777" w:rsidR="00D62868" w:rsidRDefault="00D62868" w:rsidP="009D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5AF5" w14:textId="77777777" w:rsidR="002029C9" w:rsidRDefault="002029C9" w:rsidP="001652C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5AF"/>
    <w:multiLevelType w:val="multilevel"/>
    <w:tmpl w:val="6900C0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8C13AD"/>
    <w:multiLevelType w:val="hybridMultilevel"/>
    <w:tmpl w:val="EC2C19E0"/>
    <w:lvl w:ilvl="0" w:tplc="6F045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22118"/>
    <w:multiLevelType w:val="multilevel"/>
    <w:tmpl w:val="5C3E0B48"/>
    <w:styleLink w:val="BMListNumbers"/>
    <w:lvl w:ilvl="0">
      <w:start w:val="1"/>
      <w:numFmt w:val="decimal"/>
      <w:lvlText w:val="%1."/>
      <w:lvlJc w:val="left"/>
      <w:pPr>
        <w:tabs>
          <w:tab w:val="num" w:pos="709"/>
        </w:tabs>
        <w:ind w:left="709" w:hanging="709"/>
      </w:pPr>
    </w:lvl>
    <w:lvl w:ilvl="1">
      <w:start w:val="1"/>
      <w:numFmt w:val="lowerLetter"/>
      <w:lvlRestart w:val="0"/>
      <w:lvlText w:val="(%2)"/>
      <w:lvlJc w:val="left"/>
      <w:pPr>
        <w:tabs>
          <w:tab w:val="num" w:pos="1418"/>
        </w:tabs>
        <w:ind w:left="1418" w:hanging="709"/>
      </w:pPr>
    </w:lvl>
    <w:lvl w:ilvl="2">
      <w:start w:val="1"/>
      <w:numFmt w:val="lowerRoman"/>
      <w:lvlRestart w:val="0"/>
      <w:lvlText w:val="(%3)"/>
      <w:lvlJc w:val="left"/>
      <w:pPr>
        <w:tabs>
          <w:tab w:val="num" w:pos="2126"/>
        </w:tabs>
        <w:ind w:left="2126" w:hanging="708"/>
      </w:pPr>
    </w:lvl>
    <w:lvl w:ilvl="3">
      <w:start w:val="1"/>
      <w:numFmt w:val="upperLetter"/>
      <w:lvlRestart w:val="0"/>
      <w:lvlText w:val="(%4)"/>
      <w:lvlJc w:val="left"/>
      <w:pPr>
        <w:tabs>
          <w:tab w:val="num" w:pos="2835"/>
        </w:tabs>
        <w:ind w:left="2835" w:hanging="709"/>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54F17160"/>
    <w:multiLevelType w:val="hybridMultilevel"/>
    <w:tmpl w:val="ECAAFE90"/>
    <w:lvl w:ilvl="0" w:tplc="6F045FC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67C07F50"/>
    <w:multiLevelType w:val="hybridMultilevel"/>
    <w:tmpl w:val="85D6D932"/>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num w:numId="1" w16cid:durableId="119570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0579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0082617">
    <w:abstractNumId w:val="2"/>
  </w:num>
  <w:num w:numId="4" w16cid:durableId="724990924">
    <w:abstractNumId w:val="0"/>
  </w:num>
  <w:num w:numId="5" w16cid:durableId="96739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0NzAyMTEzMTQxMTJQ0lEKTi0uzszPAykwqQUAohAvGSwAAAA="/>
    <w:docVar w:name="OfficeIni" w:val="Shanghai - Baker &amp; McKenzie FenXun - SIMPLIFIED CHINESE (ALL).ini"/>
  </w:docVars>
  <w:rsids>
    <w:rsidRoot w:val="00017741"/>
    <w:rsid w:val="0000184B"/>
    <w:rsid w:val="0000731D"/>
    <w:rsid w:val="000123B6"/>
    <w:rsid w:val="00016C2A"/>
    <w:rsid w:val="00017741"/>
    <w:rsid w:val="000259B9"/>
    <w:rsid w:val="00082C93"/>
    <w:rsid w:val="00096C02"/>
    <w:rsid w:val="000C6A31"/>
    <w:rsid w:val="000D6A8D"/>
    <w:rsid w:val="001255B6"/>
    <w:rsid w:val="00135428"/>
    <w:rsid w:val="00153D2A"/>
    <w:rsid w:val="001658D5"/>
    <w:rsid w:val="00174767"/>
    <w:rsid w:val="00175615"/>
    <w:rsid w:val="001C4A68"/>
    <w:rsid w:val="001E707E"/>
    <w:rsid w:val="001F66BA"/>
    <w:rsid w:val="002029C9"/>
    <w:rsid w:val="00215D0C"/>
    <w:rsid w:val="002351D0"/>
    <w:rsid w:val="00281C49"/>
    <w:rsid w:val="002B4729"/>
    <w:rsid w:val="002B549E"/>
    <w:rsid w:val="002D6816"/>
    <w:rsid w:val="002F196D"/>
    <w:rsid w:val="002F5AEC"/>
    <w:rsid w:val="00313FEC"/>
    <w:rsid w:val="00324778"/>
    <w:rsid w:val="00341EBC"/>
    <w:rsid w:val="00361219"/>
    <w:rsid w:val="003B268D"/>
    <w:rsid w:val="003B428A"/>
    <w:rsid w:val="003B6E1E"/>
    <w:rsid w:val="003C2B0D"/>
    <w:rsid w:val="0041294F"/>
    <w:rsid w:val="00444A72"/>
    <w:rsid w:val="00454C1B"/>
    <w:rsid w:val="0047305D"/>
    <w:rsid w:val="0047543C"/>
    <w:rsid w:val="00493FE0"/>
    <w:rsid w:val="004A18C0"/>
    <w:rsid w:val="004B7297"/>
    <w:rsid w:val="004C002A"/>
    <w:rsid w:val="00501883"/>
    <w:rsid w:val="00515F36"/>
    <w:rsid w:val="00524C31"/>
    <w:rsid w:val="00561B9A"/>
    <w:rsid w:val="0058413B"/>
    <w:rsid w:val="0059782C"/>
    <w:rsid w:val="005A24A1"/>
    <w:rsid w:val="006026B4"/>
    <w:rsid w:val="00630DD7"/>
    <w:rsid w:val="006336E2"/>
    <w:rsid w:val="00660036"/>
    <w:rsid w:val="00662F0E"/>
    <w:rsid w:val="0067782D"/>
    <w:rsid w:val="00692D56"/>
    <w:rsid w:val="006D376B"/>
    <w:rsid w:val="006D54C1"/>
    <w:rsid w:val="006E50B6"/>
    <w:rsid w:val="007315B8"/>
    <w:rsid w:val="00737AA0"/>
    <w:rsid w:val="00755254"/>
    <w:rsid w:val="007972DB"/>
    <w:rsid w:val="007C4B3A"/>
    <w:rsid w:val="00854DCA"/>
    <w:rsid w:val="00883948"/>
    <w:rsid w:val="008C31BA"/>
    <w:rsid w:val="008D052B"/>
    <w:rsid w:val="008D5D93"/>
    <w:rsid w:val="008F39FE"/>
    <w:rsid w:val="009103E6"/>
    <w:rsid w:val="0093501E"/>
    <w:rsid w:val="00950141"/>
    <w:rsid w:val="00951B19"/>
    <w:rsid w:val="00953AFC"/>
    <w:rsid w:val="009724AC"/>
    <w:rsid w:val="00991D6B"/>
    <w:rsid w:val="009968E0"/>
    <w:rsid w:val="009A1259"/>
    <w:rsid w:val="009A3F75"/>
    <w:rsid w:val="009B1836"/>
    <w:rsid w:val="009C173A"/>
    <w:rsid w:val="009D4707"/>
    <w:rsid w:val="009E4E29"/>
    <w:rsid w:val="009F65D1"/>
    <w:rsid w:val="00A658BB"/>
    <w:rsid w:val="00A8162E"/>
    <w:rsid w:val="00A979D5"/>
    <w:rsid w:val="00AB0A5A"/>
    <w:rsid w:val="00B0406F"/>
    <w:rsid w:val="00B05839"/>
    <w:rsid w:val="00B31EE9"/>
    <w:rsid w:val="00B54A09"/>
    <w:rsid w:val="00B6062F"/>
    <w:rsid w:val="00B97D43"/>
    <w:rsid w:val="00BC10A1"/>
    <w:rsid w:val="00C07438"/>
    <w:rsid w:val="00C2591B"/>
    <w:rsid w:val="00C47014"/>
    <w:rsid w:val="00C707DD"/>
    <w:rsid w:val="00C721F0"/>
    <w:rsid w:val="00C85933"/>
    <w:rsid w:val="00C910A9"/>
    <w:rsid w:val="00CB37FF"/>
    <w:rsid w:val="00CC5B23"/>
    <w:rsid w:val="00CE2C51"/>
    <w:rsid w:val="00D057CC"/>
    <w:rsid w:val="00D3065B"/>
    <w:rsid w:val="00D31FAD"/>
    <w:rsid w:val="00D35338"/>
    <w:rsid w:val="00D50D31"/>
    <w:rsid w:val="00D55967"/>
    <w:rsid w:val="00D62868"/>
    <w:rsid w:val="00D81111"/>
    <w:rsid w:val="00D926A1"/>
    <w:rsid w:val="00D92C82"/>
    <w:rsid w:val="00E05E31"/>
    <w:rsid w:val="00E13C1C"/>
    <w:rsid w:val="00E50587"/>
    <w:rsid w:val="00E52E07"/>
    <w:rsid w:val="00EC334D"/>
    <w:rsid w:val="00ED0720"/>
    <w:rsid w:val="00EE6606"/>
    <w:rsid w:val="00F576EC"/>
    <w:rsid w:val="00F57DDE"/>
    <w:rsid w:val="00F76066"/>
    <w:rsid w:val="00F8530B"/>
    <w:rsid w:val="00F95D43"/>
    <w:rsid w:val="00FC55D2"/>
    <w:rsid w:val="00FE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E208"/>
  <w15:docId w15:val="{83A8079D-2CF3-4CAC-AC27-196E7B57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741"/>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0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D4707"/>
    <w:rPr>
      <w:rFonts w:ascii="Times New Roman" w:eastAsia="宋体" w:hAnsi="Times New Roman" w:cs="Times New Roman"/>
      <w:sz w:val="18"/>
      <w:szCs w:val="18"/>
    </w:rPr>
  </w:style>
  <w:style w:type="paragraph" w:styleId="Footer">
    <w:name w:val="footer"/>
    <w:basedOn w:val="Normal"/>
    <w:link w:val="FooterChar"/>
    <w:uiPriority w:val="99"/>
    <w:unhideWhenUsed/>
    <w:rsid w:val="009D470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D4707"/>
    <w:rPr>
      <w:rFonts w:ascii="Times New Roman" w:eastAsia="宋体" w:hAnsi="Times New Roman" w:cs="Times New Roman"/>
      <w:sz w:val="18"/>
      <w:szCs w:val="18"/>
    </w:rPr>
  </w:style>
  <w:style w:type="paragraph" w:styleId="BodyText">
    <w:name w:val="Body Text"/>
    <w:basedOn w:val="Normal"/>
    <w:link w:val="BodyTextChar"/>
    <w:qFormat/>
    <w:rsid w:val="00F95D43"/>
    <w:pPr>
      <w:spacing w:after="120"/>
    </w:pPr>
  </w:style>
  <w:style w:type="character" w:customStyle="1" w:styleId="BodyTextChar">
    <w:name w:val="Body Text Char"/>
    <w:basedOn w:val="DefaultParagraphFont"/>
    <w:link w:val="BodyText"/>
    <w:rsid w:val="00F95D43"/>
    <w:rPr>
      <w:rFonts w:ascii="Times New Roman" w:eastAsia="宋体" w:hAnsi="Times New Roman" w:cs="Times New Roman"/>
      <w:szCs w:val="24"/>
    </w:rPr>
  </w:style>
  <w:style w:type="paragraph" w:styleId="BalloonText">
    <w:name w:val="Balloon Text"/>
    <w:basedOn w:val="Normal"/>
    <w:link w:val="BalloonTextChar"/>
    <w:rsid w:val="00F95D43"/>
    <w:rPr>
      <w:sz w:val="18"/>
      <w:szCs w:val="18"/>
      <w:lang w:val="x-none" w:eastAsia="x-none"/>
    </w:rPr>
  </w:style>
  <w:style w:type="character" w:customStyle="1" w:styleId="BalloonTextChar">
    <w:name w:val="Balloon Text Char"/>
    <w:basedOn w:val="DefaultParagraphFont"/>
    <w:link w:val="BalloonText"/>
    <w:rsid w:val="00F95D43"/>
    <w:rPr>
      <w:rFonts w:ascii="Times New Roman" w:eastAsia="宋体" w:hAnsi="Times New Roman" w:cs="Times New Roman"/>
      <w:sz w:val="18"/>
      <w:szCs w:val="18"/>
      <w:lang w:val="x-none" w:eastAsia="x-none"/>
    </w:rPr>
  </w:style>
  <w:style w:type="numbering" w:customStyle="1" w:styleId="BMListNumbers">
    <w:name w:val="B&amp;M List Numbers"/>
    <w:uiPriority w:val="99"/>
    <w:rsid w:val="00E50587"/>
    <w:pPr>
      <w:numPr>
        <w:numId w:val="3"/>
      </w:numPr>
    </w:pPr>
  </w:style>
  <w:style w:type="numbering" w:customStyle="1" w:styleId="BMListNumbers1">
    <w:name w:val="B&amp;M List Numbers1"/>
    <w:uiPriority w:val="99"/>
    <w:rsid w:val="00515F36"/>
  </w:style>
  <w:style w:type="character" w:customStyle="1" w:styleId="1">
    <w:name w:val="正文文本 字符1"/>
    <w:rsid w:val="00C470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94">
      <w:bodyDiv w:val="1"/>
      <w:marLeft w:val="0"/>
      <w:marRight w:val="0"/>
      <w:marTop w:val="0"/>
      <w:marBottom w:val="0"/>
      <w:divBdr>
        <w:top w:val="none" w:sz="0" w:space="0" w:color="auto"/>
        <w:left w:val="none" w:sz="0" w:space="0" w:color="auto"/>
        <w:bottom w:val="none" w:sz="0" w:space="0" w:color="auto"/>
        <w:right w:val="none" w:sz="0" w:space="0" w:color="auto"/>
      </w:divBdr>
    </w:div>
    <w:div w:id="70590280">
      <w:bodyDiv w:val="1"/>
      <w:marLeft w:val="0"/>
      <w:marRight w:val="0"/>
      <w:marTop w:val="0"/>
      <w:marBottom w:val="0"/>
      <w:divBdr>
        <w:top w:val="none" w:sz="0" w:space="0" w:color="auto"/>
        <w:left w:val="none" w:sz="0" w:space="0" w:color="auto"/>
        <w:bottom w:val="none" w:sz="0" w:space="0" w:color="auto"/>
        <w:right w:val="none" w:sz="0" w:space="0" w:color="auto"/>
      </w:divBdr>
    </w:div>
    <w:div w:id="1253589511">
      <w:bodyDiv w:val="1"/>
      <w:marLeft w:val="0"/>
      <w:marRight w:val="0"/>
      <w:marTop w:val="0"/>
      <w:marBottom w:val="0"/>
      <w:divBdr>
        <w:top w:val="none" w:sz="0" w:space="0" w:color="auto"/>
        <w:left w:val="none" w:sz="0" w:space="0" w:color="auto"/>
        <w:bottom w:val="none" w:sz="0" w:space="0" w:color="auto"/>
        <w:right w:val="none" w:sz="0" w:space="0" w:color="auto"/>
      </w:divBdr>
    </w:div>
    <w:div w:id="16812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3AF59CAD09D4B9788F469F8B15532" ma:contentTypeVersion="14" ma:contentTypeDescription="Create a new document." ma:contentTypeScope="" ma:versionID="a048bca18a78b8daa6cfc41a547951c8">
  <xsd:schema xmlns:xsd="http://www.w3.org/2001/XMLSchema" xmlns:xs="http://www.w3.org/2001/XMLSchema" xmlns:p="http://schemas.microsoft.com/office/2006/metadata/properties" xmlns:ns2="9d40f809-dd3f-4337-a031-8a50b824ee5a" xmlns:ns3="d902dde7-c11f-4e08-ae00-276e6e44fbaa" targetNamespace="http://schemas.microsoft.com/office/2006/metadata/properties" ma:root="true" ma:fieldsID="53956b985200384cdd3eb8e6d86531dc" ns2:_="" ns3:_="">
    <xsd:import namespace="9d40f809-dd3f-4337-a031-8a50b824ee5a"/>
    <xsd:import namespace="d902dde7-c11f-4e08-ae00-276e6e44fb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0f809-dd3f-4337-a031-8a50b824e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448508-a9a3-48d0-8e82-3ccdae471c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2dde7-c11f-4e08-ae00-276e6e44fb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a66247-19a6-4971-9dad-d4315bd811e4}" ma:internalName="TaxCatchAll" ma:showField="CatchAllData" ma:web="d902dde7-c11f-4e08-ae00-276e6e44fb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40f809-dd3f-4337-a031-8a50b824ee5a">
      <Terms xmlns="http://schemas.microsoft.com/office/infopath/2007/PartnerControls"/>
    </lcf76f155ced4ddcb4097134ff3c332f>
    <TaxCatchAll xmlns="d902dde7-c11f-4e08-ae00-276e6e44fb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1B6B8-F0F6-40F2-B7CC-466989DFD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0f809-dd3f-4337-a031-8a50b824ee5a"/>
    <ds:schemaRef ds:uri="d902dde7-c11f-4e08-ae00-276e6e44f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B4A00-6411-4B09-A3D8-7CBA8DDB5A2F}">
  <ds:schemaRefs>
    <ds:schemaRef ds:uri="http://schemas.microsoft.com/office/2006/metadata/properties"/>
    <ds:schemaRef ds:uri="http://schemas.microsoft.com/office/infopath/2007/PartnerControls"/>
    <ds:schemaRef ds:uri="9d40f809-dd3f-4337-a031-8a50b824ee5a"/>
    <ds:schemaRef ds:uri="d902dde7-c11f-4e08-ae00-276e6e44fbaa"/>
  </ds:schemaRefs>
</ds:datastoreItem>
</file>

<file path=customXml/itemProps3.xml><?xml version="1.0" encoding="utf-8"?>
<ds:datastoreItem xmlns:ds="http://schemas.openxmlformats.org/officeDocument/2006/customXml" ds:itemID="{7BD66BBE-7C09-44A9-988E-D451BA534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FenXun Partners</dc:creator>
  <cp:lastModifiedBy>Baker McKenzie FenXun</cp:lastModifiedBy>
  <cp:revision>24</cp:revision>
  <cp:lastPrinted>2019-06-21T10:07:00Z</cp:lastPrinted>
  <dcterms:created xsi:type="dcterms:W3CDTF">2022-07-01T03:18:00Z</dcterms:created>
  <dcterms:modified xsi:type="dcterms:W3CDTF">2024-11-20T09:47:00Z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0x0101000E63AF59CAD09D4B9788F469F8B15532</vt:lpwstr>
  </property>
  <property fmtid="{D5CDD505-2E9C-101B-9397-08002B2CF9AE}" pid="3" name="MediaServiceImageTags">
    <vt:lpwstr/>
  </property>
</Properties>
</file>