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735E0">
      <w:pPr>
        <w:widowControl/>
        <w:spacing w:after="240"/>
        <w:jc w:val="center"/>
        <w:rPr>
          <w:rFonts w:hint="eastAsia" w:ascii="黑体" w:hAnsi="黑体" w:eastAsia="黑体" w:cs="黑体"/>
          <w:bCs/>
          <w:kern w:val="0"/>
          <w:sz w:val="36"/>
          <w:szCs w:val="36"/>
          <w:lang w:val="en-GB" w:bidi="ar-AE"/>
        </w:rPr>
      </w:pPr>
      <w:r>
        <w:rPr>
          <w:rFonts w:hint="eastAsia" w:ascii="黑体" w:hAnsi="黑体" w:eastAsia="黑体" w:cs="黑体"/>
          <w:bCs/>
          <w:kern w:val="0"/>
          <w:sz w:val="36"/>
          <w:szCs w:val="36"/>
          <w:lang w:val="en-GB" w:bidi="ar-AE"/>
        </w:rPr>
        <w:t>经营者集中简易案件公示表</w:t>
      </w:r>
    </w:p>
    <w:tbl>
      <w:tblPr>
        <w:tblStyle w:val="12"/>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582"/>
        <w:gridCol w:w="6054"/>
      </w:tblGrid>
      <w:tr w14:paraId="24BE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1810" w:type="dxa"/>
            <w:shd w:val="clear" w:color="auto" w:fill="auto"/>
            <w:vAlign w:val="center"/>
          </w:tcPr>
          <w:p w14:paraId="2AD57D7E">
            <w:pPr>
              <w:pStyle w:val="7"/>
              <w:adjustRightInd w:val="0"/>
              <w:snapToGrid w:val="0"/>
              <w:spacing w:after="0"/>
              <w:jc w:val="center"/>
              <w:rPr>
                <w:rFonts w:hint="default"/>
                <w:b w:val="0"/>
                <w:bCs/>
                <w:color w:val="000000"/>
                <w:sz w:val="24"/>
                <w:szCs w:val="24"/>
              </w:rPr>
            </w:pPr>
            <w:r>
              <w:rPr>
                <w:rFonts w:hint="default"/>
                <w:b w:val="0"/>
                <w:bCs/>
                <w:color w:val="000000"/>
                <w:sz w:val="24"/>
                <w:szCs w:val="24"/>
              </w:rPr>
              <w:t>案件名称</w:t>
            </w:r>
          </w:p>
        </w:tc>
        <w:tc>
          <w:tcPr>
            <w:tcW w:w="7636" w:type="dxa"/>
            <w:gridSpan w:val="2"/>
            <w:vAlign w:val="top"/>
          </w:tcPr>
          <w:p w14:paraId="720A7CE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Cs/>
                <w:color w:val="000000"/>
                <w:sz w:val="24"/>
                <w:szCs w:val="24"/>
              </w:rPr>
            </w:pPr>
            <w:r>
              <w:rPr>
                <w:rFonts w:hint="default"/>
                <w:bCs/>
                <w:color w:val="000000"/>
                <w:sz w:val="24"/>
                <w:szCs w:val="24"/>
              </w:rPr>
              <w:t>中车永济电机有限公司与秦创原发展股份有限公司等经营者新设合营企业案</w:t>
            </w:r>
          </w:p>
        </w:tc>
      </w:tr>
      <w:tr w14:paraId="2EAE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1810" w:type="dxa"/>
            <w:shd w:val="clear" w:color="auto" w:fill="auto"/>
            <w:vAlign w:val="center"/>
          </w:tcPr>
          <w:p w14:paraId="048E9523">
            <w:pPr>
              <w:pStyle w:val="7"/>
              <w:adjustRightInd w:val="0"/>
              <w:snapToGrid w:val="0"/>
              <w:spacing w:after="0"/>
              <w:jc w:val="center"/>
              <w:rPr>
                <w:rFonts w:hint="default"/>
                <w:b w:val="0"/>
                <w:bCs/>
                <w:color w:val="000000"/>
                <w:sz w:val="24"/>
                <w:szCs w:val="24"/>
              </w:rPr>
            </w:pPr>
            <w:r>
              <w:rPr>
                <w:rFonts w:hint="default"/>
                <w:b w:val="0"/>
                <w:bCs/>
                <w:color w:val="000000"/>
                <w:sz w:val="24"/>
                <w:szCs w:val="24"/>
              </w:rPr>
              <w:t>交易概况</w:t>
            </w:r>
          </w:p>
          <w:p w14:paraId="6B384F94">
            <w:pPr>
              <w:pStyle w:val="7"/>
              <w:adjustRightInd w:val="0"/>
              <w:snapToGrid w:val="0"/>
              <w:spacing w:after="0"/>
              <w:jc w:val="center"/>
              <w:rPr>
                <w:rFonts w:hint="default"/>
                <w:b w:val="0"/>
                <w:bCs/>
                <w:color w:val="000000"/>
                <w:sz w:val="24"/>
                <w:szCs w:val="24"/>
              </w:rPr>
            </w:pPr>
            <w:r>
              <w:rPr>
                <w:rFonts w:hint="default"/>
                <w:b w:val="0"/>
                <w:bCs/>
                <w:color w:val="000000"/>
                <w:sz w:val="24"/>
                <w:szCs w:val="24"/>
              </w:rPr>
              <w:t>（限200字内）</w:t>
            </w:r>
          </w:p>
        </w:tc>
        <w:tc>
          <w:tcPr>
            <w:tcW w:w="7636" w:type="dxa"/>
            <w:gridSpan w:val="2"/>
            <w:vAlign w:val="top"/>
          </w:tcPr>
          <w:p w14:paraId="414AF51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kern w:val="0"/>
                <w:sz w:val="24"/>
                <w:szCs w:val="24"/>
              </w:rPr>
            </w:pPr>
            <w:r>
              <w:rPr>
                <w:rFonts w:hint="default" w:ascii="Times New Roman" w:hAnsi="Times New Roman"/>
                <w:kern w:val="0"/>
                <w:sz w:val="24"/>
                <w:szCs w:val="24"/>
              </w:rPr>
              <w:t>中车永济电机有限公司(“</w:t>
            </w:r>
            <w:r>
              <w:rPr>
                <w:rFonts w:hint="default"/>
                <w:kern w:val="0"/>
                <w:sz w:val="24"/>
                <w:szCs w:val="24"/>
                <w:lang w:eastAsia="zh-CN"/>
              </w:rPr>
              <w:t>永济电机</w:t>
            </w:r>
            <w:r>
              <w:rPr>
                <w:rFonts w:hint="default" w:ascii="Times New Roman" w:hAnsi="Times New Roman"/>
                <w:kern w:val="0"/>
                <w:sz w:val="24"/>
                <w:szCs w:val="24"/>
              </w:rPr>
              <w:t>”)、秦创原发展股份有限公司(“秦创原”)、陕西榆能集团能源化工研究院有限公司(“榆能研究院”)、西部金属材料股份有限公司(“西部材料”)和宁波中车华誉股权投资基金管理中心(有限合伙)(“华誉基金”</w:t>
            </w:r>
            <w:r>
              <w:rPr>
                <w:rFonts w:hint="default"/>
                <w:kern w:val="0"/>
                <w:sz w:val="24"/>
                <w:szCs w:val="24"/>
                <w:lang w:eastAsia="zh-CN"/>
              </w:rPr>
              <w:t>）</w:t>
            </w:r>
            <w:r>
              <w:rPr>
                <w:rFonts w:hint="default" w:ascii="Times New Roman" w:hAnsi="Times New Roman"/>
                <w:kern w:val="0"/>
                <w:sz w:val="24"/>
                <w:szCs w:val="24"/>
              </w:rPr>
              <w:t>签署协议，拟在</w:t>
            </w:r>
            <w:r>
              <w:rPr>
                <w:rFonts w:hint="default"/>
                <w:kern w:val="0"/>
                <w:sz w:val="24"/>
                <w:szCs w:val="24"/>
                <w:lang w:val="en-US" w:eastAsia="zh-CN"/>
              </w:rPr>
              <w:t>西安</w:t>
            </w:r>
            <w:r>
              <w:rPr>
                <w:rFonts w:hint="default" w:ascii="Times New Roman" w:hAnsi="Times New Roman"/>
                <w:kern w:val="0"/>
                <w:sz w:val="24"/>
                <w:szCs w:val="24"/>
              </w:rPr>
              <w:t>市新设合营企业，</w:t>
            </w:r>
            <w:r>
              <w:rPr>
                <w:rFonts w:hint="default" w:ascii="Times New Roman" w:hAnsi="Times New Roman" w:eastAsia="宋体" w:cs="Times New Roman"/>
                <w:b w:val="0"/>
                <w:bCs/>
                <w:color w:val="000000"/>
                <w:kern w:val="0"/>
                <w:sz w:val="24"/>
                <w:szCs w:val="24"/>
                <w:lang w:val="en-US" w:eastAsia="zh-CN" w:bidi="ar-AE"/>
              </w:rPr>
              <w:t>主要从事高端清洁能源装备关键技术研发等相关</w:t>
            </w:r>
            <w:r>
              <w:rPr>
                <w:rFonts w:hint="default" w:ascii="Times New Roman" w:hAnsi="Times New Roman" w:cs="Times New Roman"/>
                <w:b w:val="0"/>
                <w:bCs/>
                <w:color w:val="000000"/>
                <w:kern w:val="0"/>
                <w:sz w:val="24"/>
                <w:szCs w:val="24"/>
                <w:lang w:val="en-US" w:eastAsia="zh-CN" w:bidi="ar-AE"/>
              </w:rPr>
              <w:t>业务</w:t>
            </w:r>
            <w:r>
              <w:rPr>
                <w:rFonts w:hint="default" w:ascii="Times New Roman" w:hAnsi="Times New Roman"/>
                <w:kern w:val="0"/>
                <w:sz w:val="24"/>
                <w:szCs w:val="24"/>
              </w:rPr>
              <w:t>。</w:t>
            </w:r>
          </w:p>
          <w:p w14:paraId="41C42A5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Cs/>
                <w:color w:val="000000"/>
                <w:sz w:val="24"/>
                <w:szCs w:val="24"/>
              </w:rPr>
            </w:pPr>
            <w:r>
              <w:rPr>
                <w:rFonts w:hint="default" w:ascii="Times New Roman" w:hAnsi="Times New Roman"/>
                <w:kern w:val="0"/>
                <w:sz w:val="24"/>
                <w:szCs w:val="24"/>
              </w:rPr>
              <w:t>交易后，</w:t>
            </w:r>
            <w:r>
              <w:rPr>
                <w:rFonts w:hint="default"/>
                <w:kern w:val="0"/>
                <w:sz w:val="24"/>
                <w:szCs w:val="24"/>
                <w:lang w:val="en-US" w:eastAsia="zh-CN"/>
              </w:rPr>
              <w:t>永济电机、秦创原、榆能研究院、西部材料、华誉基金</w:t>
            </w:r>
            <w:r>
              <w:rPr>
                <w:rFonts w:hint="default" w:ascii="Times New Roman" w:hAnsi="Times New Roman"/>
                <w:kern w:val="0"/>
                <w:sz w:val="24"/>
                <w:szCs w:val="24"/>
              </w:rPr>
              <w:t>分别持股</w:t>
            </w:r>
            <w:r>
              <w:rPr>
                <w:rFonts w:hint="default"/>
                <w:kern w:val="0"/>
                <w:sz w:val="24"/>
                <w:szCs w:val="24"/>
                <w:lang w:val="en-US" w:eastAsia="zh-CN"/>
              </w:rPr>
              <w:t>34</w:t>
            </w:r>
            <w:r>
              <w:rPr>
                <w:rFonts w:hint="default" w:ascii="Times New Roman" w:hAnsi="Times New Roman"/>
                <w:kern w:val="0"/>
                <w:sz w:val="24"/>
                <w:szCs w:val="24"/>
              </w:rPr>
              <w:t>%、</w:t>
            </w:r>
            <w:r>
              <w:rPr>
                <w:rFonts w:hint="default"/>
                <w:kern w:val="0"/>
                <w:sz w:val="24"/>
                <w:szCs w:val="24"/>
                <w:lang w:val="en-US" w:eastAsia="zh-CN"/>
              </w:rPr>
              <w:t>26</w:t>
            </w:r>
            <w:r>
              <w:rPr>
                <w:rFonts w:hint="default" w:ascii="Times New Roman" w:hAnsi="Times New Roman"/>
                <w:kern w:val="0"/>
                <w:sz w:val="24"/>
                <w:szCs w:val="24"/>
              </w:rPr>
              <w:t>%、</w:t>
            </w:r>
            <w:r>
              <w:rPr>
                <w:rFonts w:hint="default"/>
                <w:kern w:val="0"/>
                <w:sz w:val="24"/>
                <w:szCs w:val="24"/>
                <w:lang w:val="en-US" w:eastAsia="zh-CN"/>
              </w:rPr>
              <w:t>16</w:t>
            </w:r>
            <w:r>
              <w:rPr>
                <w:rFonts w:hint="default" w:ascii="Times New Roman" w:hAnsi="Times New Roman"/>
                <w:kern w:val="0"/>
                <w:sz w:val="24"/>
                <w:szCs w:val="24"/>
              </w:rPr>
              <w:t>%</w:t>
            </w:r>
            <w:r>
              <w:rPr>
                <w:rFonts w:hint="default"/>
                <w:kern w:val="0"/>
                <w:sz w:val="24"/>
                <w:szCs w:val="24"/>
                <w:lang w:eastAsia="zh-CN"/>
              </w:rPr>
              <w:t>、</w:t>
            </w:r>
            <w:r>
              <w:rPr>
                <w:rFonts w:hint="default"/>
                <w:kern w:val="0"/>
                <w:sz w:val="24"/>
                <w:szCs w:val="24"/>
                <w:lang w:val="en-US" w:eastAsia="zh-CN"/>
              </w:rPr>
              <w:t>9%、15%</w:t>
            </w:r>
            <w:r>
              <w:rPr>
                <w:rFonts w:hint="default" w:ascii="Times New Roman" w:hAnsi="Times New Roman"/>
                <w:kern w:val="0"/>
                <w:sz w:val="24"/>
                <w:szCs w:val="24"/>
              </w:rPr>
              <w:t>，共同控制合营企业。</w:t>
            </w:r>
          </w:p>
        </w:tc>
      </w:tr>
      <w:tr w14:paraId="4BD3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810" w:type="dxa"/>
            <w:vMerge w:val="restart"/>
            <w:shd w:val="clear" w:color="auto" w:fill="auto"/>
            <w:vAlign w:val="center"/>
          </w:tcPr>
          <w:p w14:paraId="150D6B27">
            <w:pPr>
              <w:pStyle w:val="7"/>
              <w:adjustRightInd w:val="0"/>
              <w:snapToGrid w:val="0"/>
              <w:spacing w:after="0"/>
              <w:jc w:val="center"/>
              <w:rPr>
                <w:rFonts w:hint="default"/>
                <w:b w:val="0"/>
                <w:bCs/>
                <w:color w:val="000000"/>
                <w:sz w:val="24"/>
                <w:szCs w:val="24"/>
              </w:rPr>
            </w:pPr>
            <w:r>
              <w:rPr>
                <w:rFonts w:hint="default"/>
                <w:b w:val="0"/>
                <w:bCs/>
                <w:color w:val="000000"/>
                <w:sz w:val="24"/>
                <w:szCs w:val="24"/>
              </w:rPr>
              <w:t>参与集中的</w:t>
            </w:r>
          </w:p>
          <w:p w14:paraId="4AABEE9D">
            <w:pPr>
              <w:pStyle w:val="7"/>
              <w:adjustRightInd w:val="0"/>
              <w:snapToGrid w:val="0"/>
              <w:spacing w:after="0"/>
              <w:jc w:val="center"/>
              <w:rPr>
                <w:rFonts w:hint="default"/>
                <w:b w:val="0"/>
                <w:bCs/>
                <w:color w:val="000000"/>
                <w:sz w:val="24"/>
                <w:szCs w:val="24"/>
              </w:rPr>
            </w:pPr>
            <w:r>
              <w:rPr>
                <w:rFonts w:hint="default"/>
                <w:b w:val="0"/>
                <w:bCs/>
                <w:color w:val="000000"/>
                <w:sz w:val="24"/>
                <w:szCs w:val="24"/>
              </w:rPr>
              <w:t>经营者简介</w:t>
            </w:r>
          </w:p>
          <w:p w14:paraId="4AE32480">
            <w:pPr>
              <w:pStyle w:val="7"/>
              <w:adjustRightInd w:val="0"/>
              <w:snapToGrid w:val="0"/>
              <w:spacing w:after="0"/>
              <w:jc w:val="center"/>
              <w:rPr>
                <w:rFonts w:hint="default"/>
                <w:b w:val="0"/>
                <w:bCs/>
                <w:color w:val="000000"/>
                <w:sz w:val="24"/>
                <w:szCs w:val="24"/>
              </w:rPr>
            </w:pPr>
            <w:r>
              <w:rPr>
                <w:rFonts w:hint="default"/>
                <w:b w:val="0"/>
                <w:bCs/>
                <w:color w:val="000000"/>
                <w:sz w:val="24"/>
                <w:szCs w:val="24"/>
              </w:rPr>
              <w:t>（每个限100字以内）</w:t>
            </w:r>
          </w:p>
        </w:tc>
        <w:tc>
          <w:tcPr>
            <w:tcW w:w="1582" w:type="dxa"/>
            <w:vAlign w:val="center"/>
          </w:tcPr>
          <w:p w14:paraId="5D6461F4">
            <w:pPr>
              <w:pStyle w:val="7"/>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bCs/>
                <w:color w:val="000000"/>
                <w:sz w:val="24"/>
                <w:szCs w:val="24"/>
                <w:lang w:val="en-US"/>
              </w:rPr>
            </w:pPr>
            <w:r>
              <w:rPr>
                <w:rFonts w:hint="default" w:ascii="Times New Roman" w:hAnsi="Times New Roman" w:eastAsia="宋体" w:cs="Times New Roman"/>
                <w:b w:val="0"/>
                <w:bCs/>
                <w:color w:val="000000"/>
                <w:kern w:val="0"/>
                <w:sz w:val="24"/>
                <w:szCs w:val="24"/>
                <w:lang w:val="en-US" w:eastAsia="zh-CN" w:bidi="ar-AE"/>
              </w:rPr>
              <w:t>1.</w:t>
            </w:r>
            <w:r>
              <w:rPr>
                <w:rFonts w:hint="default" w:ascii="Times New Roman" w:hAnsi="Times New Roman" w:cs="Times New Roman"/>
                <w:b w:val="0"/>
                <w:bCs/>
                <w:color w:val="000000"/>
                <w:kern w:val="0"/>
                <w:sz w:val="24"/>
                <w:szCs w:val="24"/>
                <w:lang w:val="en-US" w:eastAsia="zh-CN" w:bidi="ar-AE"/>
              </w:rPr>
              <w:t>永济电机</w:t>
            </w:r>
          </w:p>
        </w:tc>
        <w:tc>
          <w:tcPr>
            <w:tcW w:w="6054" w:type="dxa"/>
            <w:vAlign w:val="top"/>
          </w:tcPr>
          <w:p w14:paraId="7E219249">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bCs/>
                <w:color w:val="000000"/>
                <w:kern w:val="0"/>
                <w:sz w:val="24"/>
                <w:szCs w:val="24"/>
                <w:lang w:bidi="ar-AE"/>
              </w:rPr>
            </w:pPr>
            <w:r>
              <w:rPr>
                <w:rFonts w:hint="default" w:cs="Times New Roman"/>
                <w:bCs/>
                <w:color w:val="000000"/>
                <w:kern w:val="0"/>
                <w:sz w:val="24"/>
                <w:szCs w:val="24"/>
                <w:lang w:val="en-US" w:eastAsia="zh-CN" w:bidi="ar-AE"/>
              </w:rPr>
              <w:t>永济电机</w:t>
            </w:r>
            <w:r>
              <w:rPr>
                <w:rFonts w:hint="default" w:ascii="Times New Roman" w:hAnsi="Times New Roman" w:cs="Times New Roman"/>
                <w:bCs/>
                <w:color w:val="000000"/>
                <w:kern w:val="0"/>
                <w:sz w:val="24"/>
                <w:szCs w:val="24"/>
                <w:lang w:bidi="ar-AE"/>
              </w:rPr>
              <w:t>于20</w:t>
            </w:r>
            <w:r>
              <w:rPr>
                <w:rFonts w:hint="default" w:cs="Times New Roman"/>
                <w:bCs/>
                <w:color w:val="000000"/>
                <w:kern w:val="0"/>
                <w:sz w:val="24"/>
                <w:szCs w:val="24"/>
                <w:lang w:val="en-US" w:eastAsia="zh-CN" w:bidi="ar-AE"/>
              </w:rPr>
              <w:t>07</w:t>
            </w:r>
            <w:r>
              <w:rPr>
                <w:rFonts w:hint="default" w:ascii="Times New Roman" w:hAnsi="Times New Roman" w:cs="Times New Roman"/>
                <w:bCs/>
                <w:color w:val="000000"/>
                <w:kern w:val="0"/>
                <w:sz w:val="24"/>
                <w:szCs w:val="24"/>
                <w:lang w:bidi="ar-AE"/>
              </w:rPr>
              <w:t>年</w:t>
            </w:r>
            <w:r>
              <w:rPr>
                <w:rFonts w:hint="default" w:cs="Times New Roman"/>
                <w:bCs/>
                <w:color w:val="000000"/>
                <w:kern w:val="0"/>
                <w:sz w:val="24"/>
                <w:szCs w:val="24"/>
                <w:lang w:val="en-US" w:eastAsia="zh-CN" w:bidi="ar-AE"/>
              </w:rPr>
              <w:t>7</w:t>
            </w:r>
            <w:r>
              <w:rPr>
                <w:rFonts w:hint="default" w:ascii="Times New Roman" w:hAnsi="Times New Roman" w:cs="Times New Roman"/>
                <w:bCs/>
                <w:color w:val="000000"/>
                <w:kern w:val="0"/>
                <w:sz w:val="24"/>
                <w:szCs w:val="24"/>
                <w:lang w:bidi="ar-AE"/>
              </w:rPr>
              <w:t>月9日成立于</w:t>
            </w:r>
            <w:r>
              <w:rPr>
                <w:rFonts w:hint="default" w:cs="Times New Roman"/>
                <w:bCs/>
                <w:color w:val="000000"/>
                <w:kern w:val="0"/>
                <w:sz w:val="24"/>
                <w:szCs w:val="24"/>
                <w:lang w:val="en-US" w:eastAsia="zh-CN" w:bidi="ar-AE"/>
              </w:rPr>
              <w:t>山西运城</w:t>
            </w:r>
            <w:r>
              <w:rPr>
                <w:rFonts w:hint="default" w:ascii="Times New Roman" w:hAnsi="Times New Roman" w:cs="Times New Roman"/>
                <w:bCs/>
                <w:color w:val="000000"/>
                <w:kern w:val="0"/>
                <w:sz w:val="24"/>
                <w:szCs w:val="24"/>
                <w:lang w:bidi="ar-AE"/>
              </w:rPr>
              <w:t>，主要业务为电机、机电设备</w:t>
            </w:r>
            <w:r>
              <w:rPr>
                <w:rFonts w:hint="default" w:cs="Times New Roman"/>
                <w:bCs/>
                <w:color w:val="000000"/>
                <w:kern w:val="0"/>
                <w:sz w:val="24"/>
                <w:szCs w:val="24"/>
                <w:lang w:val="en-US" w:eastAsia="zh-CN" w:bidi="ar-AE"/>
              </w:rPr>
              <w:t>的</w:t>
            </w:r>
            <w:r>
              <w:rPr>
                <w:rFonts w:hint="default" w:ascii="Times New Roman" w:hAnsi="Times New Roman" w:cs="Times New Roman"/>
                <w:bCs/>
                <w:color w:val="000000"/>
                <w:kern w:val="0"/>
                <w:sz w:val="24"/>
                <w:szCs w:val="24"/>
                <w:lang w:bidi="ar-AE"/>
              </w:rPr>
              <w:t>研发</w:t>
            </w:r>
            <w:r>
              <w:rPr>
                <w:rFonts w:hint="default" w:cs="Times New Roman"/>
                <w:bCs/>
                <w:color w:val="000000"/>
                <w:kern w:val="0"/>
                <w:sz w:val="24"/>
                <w:szCs w:val="24"/>
                <w:lang w:eastAsia="zh-CN" w:bidi="ar-AE"/>
              </w:rPr>
              <w:t>、</w:t>
            </w:r>
            <w:r>
              <w:rPr>
                <w:rFonts w:hint="default" w:ascii="Times New Roman" w:hAnsi="Times New Roman" w:cs="Times New Roman"/>
                <w:bCs/>
                <w:color w:val="000000"/>
                <w:kern w:val="0"/>
                <w:sz w:val="24"/>
                <w:szCs w:val="24"/>
                <w:lang w:bidi="ar-AE"/>
              </w:rPr>
              <w:t>设计</w:t>
            </w:r>
            <w:r>
              <w:rPr>
                <w:rFonts w:hint="default" w:cs="Times New Roman"/>
                <w:bCs/>
                <w:color w:val="000000"/>
                <w:kern w:val="0"/>
                <w:sz w:val="24"/>
                <w:szCs w:val="24"/>
                <w:lang w:eastAsia="zh-CN" w:bidi="ar-AE"/>
              </w:rPr>
              <w:t>、</w:t>
            </w:r>
            <w:r>
              <w:rPr>
                <w:rFonts w:hint="default" w:ascii="Times New Roman" w:hAnsi="Times New Roman" w:cs="Times New Roman"/>
                <w:bCs/>
                <w:color w:val="000000"/>
                <w:kern w:val="0"/>
                <w:sz w:val="24"/>
                <w:szCs w:val="24"/>
                <w:lang w:bidi="ar-AE"/>
              </w:rPr>
              <w:t>制造</w:t>
            </w:r>
            <w:r>
              <w:rPr>
                <w:rFonts w:hint="default" w:cs="Times New Roman"/>
                <w:bCs/>
                <w:color w:val="000000"/>
                <w:kern w:val="0"/>
                <w:sz w:val="24"/>
                <w:szCs w:val="24"/>
                <w:lang w:eastAsia="zh-CN" w:bidi="ar-AE"/>
              </w:rPr>
              <w:t>、</w:t>
            </w:r>
            <w:r>
              <w:rPr>
                <w:rFonts w:hint="default" w:ascii="Times New Roman" w:hAnsi="Times New Roman" w:cs="Times New Roman"/>
                <w:bCs/>
                <w:color w:val="000000"/>
                <w:kern w:val="0"/>
                <w:sz w:val="24"/>
                <w:szCs w:val="24"/>
                <w:lang w:bidi="ar-AE"/>
              </w:rPr>
              <w:t>销售业务等。</w:t>
            </w:r>
          </w:p>
          <w:p w14:paraId="2BA067A5">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bCs/>
                <w:color w:val="000000"/>
                <w:sz w:val="24"/>
                <w:szCs w:val="24"/>
              </w:rPr>
            </w:pPr>
            <w:r>
              <w:rPr>
                <w:rFonts w:hint="default" w:cs="Times New Roman"/>
                <w:bCs/>
                <w:color w:val="000000"/>
                <w:kern w:val="0"/>
                <w:sz w:val="24"/>
                <w:szCs w:val="24"/>
                <w:lang w:val="en-US" w:eastAsia="zh-CN" w:bidi="ar-AE"/>
              </w:rPr>
              <w:t>永济电机</w:t>
            </w:r>
            <w:r>
              <w:rPr>
                <w:rFonts w:hint="default" w:ascii="Times New Roman" w:hAnsi="Times New Roman" w:cs="Times New Roman"/>
                <w:bCs/>
                <w:color w:val="000000"/>
                <w:kern w:val="0"/>
                <w:sz w:val="24"/>
                <w:szCs w:val="24"/>
                <w:lang w:bidi="ar-AE"/>
              </w:rPr>
              <w:t>的最终控制人为中国中车集团有限公司，主要业务为</w:t>
            </w:r>
            <w:r>
              <w:rPr>
                <w:rFonts w:hint="default" w:cs="Times New Roman"/>
                <w:bCs/>
                <w:color w:val="000000"/>
                <w:kern w:val="0"/>
                <w:sz w:val="24"/>
                <w:szCs w:val="24"/>
                <w:lang w:val="en-US" w:eastAsia="zh-CN" w:bidi="ar-AE"/>
              </w:rPr>
              <w:t>轨道交通装备的</w:t>
            </w:r>
            <w:r>
              <w:rPr>
                <w:rFonts w:hint="default" w:ascii="Times New Roman" w:hAnsi="Times New Roman" w:cs="Times New Roman"/>
                <w:bCs/>
                <w:color w:val="000000"/>
                <w:kern w:val="0"/>
                <w:sz w:val="24"/>
                <w:szCs w:val="24"/>
                <w:lang w:bidi="ar-AE"/>
              </w:rPr>
              <w:t>研发</w:t>
            </w:r>
            <w:r>
              <w:rPr>
                <w:rFonts w:hint="default" w:cs="Times New Roman"/>
                <w:bCs/>
                <w:color w:val="000000"/>
                <w:kern w:val="0"/>
                <w:sz w:val="24"/>
                <w:szCs w:val="24"/>
                <w:lang w:eastAsia="zh-CN" w:bidi="ar-AE"/>
              </w:rPr>
              <w:t>、</w:t>
            </w:r>
            <w:r>
              <w:rPr>
                <w:rFonts w:hint="default" w:ascii="Times New Roman" w:hAnsi="Times New Roman" w:cs="Times New Roman"/>
                <w:bCs/>
                <w:color w:val="000000"/>
                <w:kern w:val="0"/>
                <w:sz w:val="24"/>
                <w:szCs w:val="24"/>
                <w:lang w:bidi="ar-AE"/>
              </w:rPr>
              <w:t>设计</w:t>
            </w:r>
            <w:r>
              <w:rPr>
                <w:rFonts w:hint="default" w:cs="Times New Roman"/>
                <w:bCs/>
                <w:color w:val="000000"/>
                <w:kern w:val="0"/>
                <w:sz w:val="24"/>
                <w:szCs w:val="24"/>
                <w:lang w:eastAsia="zh-CN" w:bidi="ar-AE"/>
              </w:rPr>
              <w:t>、</w:t>
            </w:r>
            <w:r>
              <w:rPr>
                <w:rFonts w:hint="default" w:ascii="Times New Roman" w:hAnsi="Times New Roman" w:cs="Times New Roman"/>
                <w:bCs/>
                <w:color w:val="000000"/>
                <w:kern w:val="0"/>
                <w:sz w:val="24"/>
                <w:szCs w:val="24"/>
                <w:lang w:bidi="ar-AE"/>
              </w:rPr>
              <w:t>制造</w:t>
            </w:r>
            <w:r>
              <w:rPr>
                <w:rFonts w:hint="default" w:cs="Times New Roman"/>
                <w:bCs/>
                <w:color w:val="000000"/>
                <w:kern w:val="0"/>
                <w:sz w:val="24"/>
                <w:szCs w:val="24"/>
                <w:lang w:eastAsia="zh-CN" w:bidi="ar-AE"/>
              </w:rPr>
              <w:t>、</w:t>
            </w:r>
            <w:r>
              <w:rPr>
                <w:rFonts w:hint="default" w:ascii="Times New Roman" w:hAnsi="Times New Roman" w:cs="Times New Roman"/>
                <w:bCs/>
                <w:color w:val="000000"/>
                <w:kern w:val="0"/>
                <w:sz w:val="24"/>
                <w:szCs w:val="24"/>
                <w:lang w:bidi="ar-AE"/>
              </w:rPr>
              <w:t>销售业务等。</w:t>
            </w:r>
          </w:p>
        </w:tc>
      </w:tr>
      <w:tr w14:paraId="34D7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810" w:type="dxa"/>
            <w:vMerge w:val="continue"/>
            <w:shd w:val="clear" w:color="auto" w:fill="auto"/>
            <w:vAlign w:val="center"/>
          </w:tcPr>
          <w:p w14:paraId="5935CE3E">
            <w:pPr>
              <w:pStyle w:val="7"/>
              <w:adjustRightInd w:val="0"/>
              <w:snapToGrid w:val="0"/>
              <w:spacing w:after="0"/>
              <w:jc w:val="center"/>
              <w:rPr>
                <w:rFonts w:hint="default"/>
                <w:b w:val="0"/>
                <w:bCs/>
                <w:color w:val="000000"/>
                <w:sz w:val="24"/>
                <w:szCs w:val="24"/>
              </w:rPr>
            </w:pPr>
          </w:p>
        </w:tc>
        <w:tc>
          <w:tcPr>
            <w:tcW w:w="1582" w:type="dxa"/>
            <w:vAlign w:val="center"/>
          </w:tcPr>
          <w:p w14:paraId="4AD22909">
            <w:pPr>
              <w:pStyle w:val="7"/>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bCs/>
                <w:color w:val="000000"/>
                <w:sz w:val="24"/>
                <w:szCs w:val="24"/>
                <w:lang w:val="en-US"/>
              </w:rPr>
            </w:pPr>
            <w:r>
              <w:rPr>
                <w:rFonts w:hint="default" w:ascii="Times New Roman" w:hAnsi="Times New Roman" w:eastAsia="宋体" w:cs="Times New Roman"/>
                <w:b w:val="0"/>
                <w:bCs/>
                <w:color w:val="000000"/>
                <w:kern w:val="0"/>
                <w:sz w:val="24"/>
                <w:szCs w:val="24"/>
                <w:lang w:val="en-US" w:eastAsia="zh-CN" w:bidi="ar-AE"/>
              </w:rPr>
              <w:t>2.</w:t>
            </w:r>
            <w:r>
              <w:rPr>
                <w:rFonts w:hint="default" w:ascii="Times New Roman" w:hAnsi="Times New Roman" w:cs="Times New Roman"/>
                <w:b w:val="0"/>
                <w:bCs/>
                <w:color w:val="000000"/>
                <w:kern w:val="0"/>
                <w:sz w:val="24"/>
                <w:szCs w:val="24"/>
                <w:lang w:val="en-US" w:eastAsia="zh-CN" w:bidi="ar-AE"/>
              </w:rPr>
              <w:t>秦创原</w:t>
            </w:r>
          </w:p>
        </w:tc>
        <w:tc>
          <w:tcPr>
            <w:tcW w:w="6054" w:type="dxa"/>
            <w:vAlign w:val="top"/>
          </w:tcPr>
          <w:p w14:paraId="0EF01CB0">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bCs/>
                <w:color w:val="000000"/>
                <w:kern w:val="0"/>
                <w:sz w:val="24"/>
                <w:szCs w:val="24"/>
                <w:lang w:bidi="ar-AE"/>
              </w:rPr>
            </w:pPr>
            <w:r>
              <w:rPr>
                <w:rFonts w:hint="default" w:cs="Times New Roman"/>
                <w:bCs/>
                <w:color w:val="000000"/>
                <w:kern w:val="0"/>
                <w:sz w:val="24"/>
                <w:szCs w:val="24"/>
                <w:lang w:val="en-US" w:eastAsia="zh-CN" w:bidi="ar-AE"/>
              </w:rPr>
              <w:t>秦创原</w:t>
            </w:r>
            <w:r>
              <w:rPr>
                <w:rFonts w:hint="default" w:ascii="Times New Roman" w:hAnsi="Times New Roman" w:cs="Times New Roman"/>
                <w:bCs/>
                <w:color w:val="000000"/>
                <w:kern w:val="0"/>
                <w:sz w:val="24"/>
                <w:szCs w:val="24"/>
                <w:lang w:bidi="ar-AE"/>
              </w:rPr>
              <w:t>于2021年10月8日成立于陕西西咸新区，主要业务为人工智能双创服务平台、创业空间服务等。</w:t>
            </w:r>
          </w:p>
          <w:p w14:paraId="74010088">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bCs/>
                <w:color w:val="000000"/>
                <w:sz w:val="24"/>
                <w:szCs w:val="24"/>
              </w:rPr>
            </w:pPr>
            <w:r>
              <w:rPr>
                <w:rFonts w:hint="default" w:cs="Times New Roman"/>
                <w:bCs/>
                <w:color w:val="000000"/>
                <w:kern w:val="0"/>
                <w:sz w:val="24"/>
                <w:szCs w:val="24"/>
                <w:lang w:val="en-US" w:eastAsia="zh-CN" w:bidi="ar-AE"/>
              </w:rPr>
              <w:t>秦创原</w:t>
            </w:r>
            <w:r>
              <w:rPr>
                <w:rFonts w:hint="default" w:ascii="Times New Roman" w:hAnsi="Times New Roman" w:cs="Times New Roman"/>
                <w:bCs/>
                <w:color w:val="000000"/>
                <w:kern w:val="0"/>
                <w:sz w:val="24"/>
                <w:szCs w:val="24"/>
                <w:lang w:bidi="ar-AE"/>
              </w:rPr>
              <w:t>的最终控制人为陕西投资集团有限公司</w:t>
            </w:r>
            <w:r>
              <w:rPr>
                <w:rFonts w:hint="default" w:cs="Times New Roman"/>
                <w:bCs/>
                <w:color w:val="000000"/>
                <w:kern w:val="0"/>
                <w:sz w:val="24"/>
                <w:szCs w:val="24"/>
                <w:lang w:eastAsia="zh-CN" w:bidi="ar-AE"/>
              </w:rPr>
              <w:t>，</w:t>
            </w:r>
            <w:r>
              <w:rPr>
                <w:rFonts w:hint="default" w:ascii="Times New Roman" w:hAnsi="Times New Roman" w:cs="Times New Roman"/>
                <w:bCs/>
                <w:color w:val="000000"/>
                <w:kern w:val="0"/>
                <w:sz w:val="24"/>
                <w:szCs w:val="24"/>
                <w:lang w:bidi="ar-AE"/>
              </w:rPr>
              <w:t>主要业务有包括地勘、煤电以及清洁能源在内的能源化工业务。</w:t>
            </w:r>
          </w:p>
        </w:tc>
      </w:tr>
      <w:tr w14:paraId="3D5A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810" w:type="dxa"/>
            <w:vMerge w:val="continue"/>
            <w:shd w:val="clear" w:color="auto" w:fill="auto"/>
            <w:vAlign w:val="center"/>
          </w:tcPr>
          <w:p w14:paraId="4D0403BB">
            <w:pPr>
              <w:pStyle w:val="7"/>
              <w:adjustRightInd w:val="0"/>
              <w:snapToGrid w:val="0"/>
              <w:spacing w:after="0"/>
              <w:jc w:val="center"/>
              <w:rPr>
                <w:rFonts w:hint="default"/>
                <w:b w:val="0"/>
                <w:bCs/>
                <w:color w:val="000000"/>
                <w:sz w:val="24"/>
                <w:szCs w:val="24"/>
              </w:rPr>
            </w:pPr>
          </w:p>
        </w:tc>
        <w:tc>
          <w:tcPr>
            <w:tcW w:w="1582" w:type="dxa"/>
            <w:vAlign w:val="center"/>
          </w:tcPr>
          <w:p w14:paraId="2D9FACB8">
            <w:pPr>
              <w:pStyle w:val="7"/>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bCs/>
                <w:color w:val="000000"/>
                <w:sz w:val="24"/>
                <w:lang w:val="en-US"/>
              </w:rPr>
            </w:pPr>
            <w:r>
              <w:rPr>
                <w:rFonts w:hint="default" w:ascii="Times New Roman" w:hAnsi="Times New Roman" w:cs="Times New Roman"/>
                <w:b w:val="0"/>
                <w:bCs/>
                <w:color w:val="000000"/>
                <w:kern w:val="0"/>
                <w:sz w:val="24"/>
                <w:szCs w:val="24"/>
                <w:lang w:val="en-US" w:eastAsia="zh-CN" w:bidi="ar-AE"/>
              </w:rPr>
              <w:t>3.榆能研究院</w:t>
            </w:r>
          </w:p>
        </w:tc>
        <w:tc>
          <w:tcPr>
            <w:tcW w:w="6054" w:type="dxa"/>
            <w:vAlign w:val="top"/>
          </w:tcPr>
          <w:p w14:paraId="4A2AF725">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bCs/>
                <w:color w:val="000000"/>
                <w:kern w:val="0"/>
                <w:sz w:val="24"/>
                <w:szCs w:val="24"/>
                <w:lang w:bidi="ar-AE"/>
              </w:rPr>
            </w:pPr>
            <w:r>
              <w:rPr>
                <w:rFonts w:hint="default" w:cs="Times New Roman"/>
                <w:bCs/>
                <w:color w:val="000000"/>
                <w:kern w:val="0"/>
                <w:sz w:val="24"/>
                <w:szCs w:val="24"/>
                <w:lang w:val="en-US" w:eastAsia="zh-CN" w:bidi="ar-AE"/>
              </w:rPr>
              <w:t>榆能研究院</w:t>
            </w:r>
            <w:r>
              <w:rPr>
                <w:rFonts w:hint="default" w:ascii="Times New Roman" w:hAnsi="Times New Roman" w:cs="Times New Roman"/>
                <w:bCs/>
                <w:color w:val="000000"/>
                <w:kern w:val="0"/>
                <w:sz w:val="24"/>
                <w:szCs w:val="24"/>
                <w:lang w:bidi="ar-AE"/>
              </w:rPr>
              <w:t>于2020年4月27日成立于</w:t>
            </w:r>
            <w:r>
              <w:rPr>
                <w:rFonts w:hint="default" w:cs="Times New Roman"/>
                <w:bCs/>
                <w:color w:val="000000"/>
                <w:kern w:val="0"/>
                <w:sz w:val="24"/>
                <w:szCs w:val="24"/>
                <w:lang w:val="en-US" w:eastAsia="zh-CN" w:bidi="ar-AE"/>
              </w:rPr>
              <w:t>陕西榆林</w:t>
            </w:r>
            <w:r>
              <w:rPr>
                <w:rFonts w:hint="default" w:ascii="Times New Roman" w:hAnsi="Times New Roman" w:cs="Times New Roman"/>
                <w:bCs/>
                <w:color w:val="000000"/>
                <w:kern w:val="0"/>
                <w:sz w:val="24"/>
                <w:szCs w:val="24"/>
                <w:lang w:bidi="ar-AE"/>
              </w:rPr>
              <w:t>，主要业务为</w:t>
            </w:r>
            <w:r>
              <w:rPr>
                <w:rFonts w:hint="default" w:cs="Times New Roman"/>
                <w:bCs/>
                <w:color w:val="000000"/>
                <w:kern w:val="0"/>
                <w:sz w:val="24"/>
                <w:szCs w:val="24"/>
                <w:lang w:val="en-US" w:eastAsia="zh-CN" w:bidi="ar-AE"/>
              </w:rPr>
              <w:t>化工领域生产技术研发</w:t>
            </w:r>
            <w:r>
              <w:rPr>
                <w:rFonts w:hint="default" w:ascii="Times New Roman" w:hAnsi="Times New Roman" w:cs="Times New Roman"/>
                <w:bCs/>
                <w:color w:val="000000"/>
                <w:kern w:val="0"/>
                <w:sz w:val="24"/>
                <w:szCs w:val="24"/>
                <w:lang w:bidi="ar-AE"/>
              </w:rPr>
              <w:t>等。</w:t>
            </w:r>
          </w:p>
          <w:p w14:paraId="38839C65">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bCs/>
                <w:color w:val="000000"/>
                <w:kern w:val="0"/>
                <w:sz w:val="24"/>
                <w:szCs w:val="24"/>
                <w:lang w:bidi="ar-AE"/>
              </w:rPr>
            </w:pPr>
            <w:r>
              <w:rPr>
                <w:rFonts w:hint="default" w:cs="Times New Roman"/>
                <w:bCs/>
                <w:color w:val="000000"/>
                <w:kern w:val="0"/>
                <w:sz w:val="24"/>
                <w:szCs w:val="24"/>
                <w:lang w:val="en-US" w:eastAsia="zh-CN" w:bidi="ar-AE"/>
              </w:rPr>
              <w:t>榆能研究院</w:t>
            </w:r>
            <w:r>
              <w:rPr>
                <w:rFonts w:hint="default" w:ascii="Times New Roman" w:hAnsi="Times New Roman" w:cs="Times New Roman"/>
                <w:bCs/>
                <w:color w:val="000000"/>
                <w:kern w:val="0"/>
                <w:sz w:val="24"/>
                <w:szCs w:val="24"/>
                <w:lang w:bidi="ar-AE"/>
              </w:rPr>
              <w:t>的最终控制人为陕西榆林能源集团有限公司，主要业务为</w:t>
            </w:r>
            <w:r>
              <w:rPr>
                <w:rFonts w:hint="default" w:cs="Times New Roman"/>
                <w:bCs/>
                <w:color w:val="000000"/>
                <w:kern w:val="0"/>
                <w:sz w:val="24"/>
                <w:szCs w:val="24"/>
                <w:lang w:val="en-US" w:eastAsia="zh-CN" w:bidi="ar-AE"/>
              </w:rPr>
              <w:t>煤炭产销</w:t>
            </w:r>
            <w:r>
              <w:rPr>
                <w:rFonts w:hint="default" w:ascii="Times New Roman" w:hAnsi="Times New Roman" w:cs="Times New Roman"/>
                <w:bCs/>
                <w:color w:val="000000"/>
                <w:kern w:val="0"/>
                <w:sz w:val="24"/>
                <w:szCs w:val="24"/>
                <w:lang w:bidi="ar-AE"/>
              </w:rPr>
              <w:t>等。</w:t>
            </w:r>
          </w:p>
        </w:tc>
      </w:tr>
      <w:tr w14:paraId="5BC2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810" w:type="dxa"/>
            <w:vMerge w:val="continue"/>
            <w:shd w:val="clear" w:color="auto" w:fill="auto"/>
            <w:vAlign w:val="center"/>
          </w:tcPr>
          <w:p w14:paraId="6D70C8EE">
            <w:pPr>
              <w:pStyle w:val="7"/>
              <w:adjustRightInd w:val="0"/>
              <w:snapToGrid w:val="0"/>
              <w:spacing w:after="0"/>
              <w:jc w:val="center"/>
              <w:rPr>
                <w:rFonts w:hint="default"/>
                <w:b w:val="0"/>
                <w:bCs/>
                <w:color w:val="000000"/>
                <w:sz w:val="24"/>
                <w:szCs w:val="24"/>
              </w:rPr>
            </w:pPr>
          </w:p>
        </w:tc>
        <w:tc>
          <w:tcPr>
            <w:tcW w:w="1582" w:type="dxa"/>
            <w:vAlign w:val="center"/>
          </w:tcPr>
          <w:p w14:paraId="63D36E24">
            <w:pPr>
              <w:pStyle w:val="7"/>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cs="Times New Roman"/>
                <w:b w:val="0"/>
                <w:bCs/>
                <w:color w:val="000000"/>
                <w:kern w:val="0"/>
                <w:sz w:val="24"/>
                <w:szCs w:val="24"/>
                <w:lang w:val="en-US" w:eastAsia="zh-CN" w:bidi="ar-AE"/>
              </w:rPr>
            </w:pPr>
            <w:r>
              <w:rPr>
                <w:rFonts w:hint="default" w:ascii="Times New Roman" w:hAnsi="Times New Roman" w:cs="Times New Roman"/>
                <w:b w:val="0"/>
                <w:bCs/>
                <w:color w:val="000000"/>
                <w:kern w:val="0"/>
                <w:sz w:val="24"/>
                <w:szCs w:val="24"/>
                <w:lang w:val="en-US" w:eastAsia="zh-CN" w:bidi="ar-AE"/>
              </w:rPr>
              <w:t>4.西部材料</w:t>
            </w:r>
          </w:p>
        </w:tc>
        <w:tc>
          <w:tcPr>
            <w:tcW w:w="6054" w:type="dxa"/>
            <w:vAlign w:val="top"/>
          </w:tcPr>
          <w:p w14:paraId="002D2B1C">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bCs/>
                <w:color w:val="000000"/>
                <w:kern w:val="0"/>
                <w:sz w:val="24"/>
                <w:szCs w:val="24"/>
                <w:lang w:bidi="ar-AE"/>
              </w:rPr>
            </w:pPr>
            <w:r>
              <w:rPr>
                <w:rFonts w:hint="default" w:cs="Times New Roman"/>
                <w:bCs/>
                <w:color w:val="000000"/>
                <w:kern w:val="0"/>
                <w:sz w:val="24"/>
                <w:szCs w:val="24"/>
                <w:lang w:val="en-US" w:eastAsia="zh-CN" w:bidi="ar-AE"/>
              </w:rPr>
              <w:t>西部材料</w:t>
            </w:r>
            <w:r>
              <w:rPr>
                <w:rFonts w:hint="default" w:ascii="Times New Roman" w:hAnsi="Times New Roman" w:cs="Times New Roman"/>
                <w:bCs/>
                <w:color w:val="000000"/>
                <w:kern w:val="0"/>
                <w:sz w:val="24"/>
                <w:szCs w:val="24"/>
                <w:lang w:bidi="ar-AE"/>
              </w:rPr>
              <w:t>于2000年12月28日成立于</w:t>
            </w:r>
            <w:r>
              <w:rPr>
                <w:rFonts w:hint="default" w:cs="Times New Roman"/>
                <w:bCs/>
                <w:color w:val="000000"/>
                <w:kern w:val="0"/>
                <w:sz w:val="24"/>
                <w:szCs w:val="24"/>
                <w:lang w:val="en-US" w:eastAsia="zh-CN" w:bidi="ar-AE"/>
              </w:rPr>
              <w:t>陕西西安</w:t>
            </w:r>
            <w:r>
              <w:rPr>
                <w:rFonts w:hint="default" w:ascii="Times New Roman" w:hAnsi="Times New Roman" w:cs="Times New Roman"/>
                <w:bCs/>
                <w:color w:val="000000"/>
                <w:kern w:val="0"/>
                <w:sz w:val="24"/>
                <w:szCs w:val="24"/>
                <w:lang w:bidi="ar-AE"/>
              </w:rPr>
              <w:t>，2007年8月10日在深圳交易所挂牌上市</w:t>
            </w:r>
            <w:r>
              <w:rPr>
                <w:rFonts w:hint="default" w:cs="Times New Roman"/>
                <w:bCs/>
                <w:color w:val="000000"/>
                <w:kern w:val="0"/>
                <w:sz w:val="24"/>
                <w:szCs w:val="24"/>
                <w:lang w:eastAsia="zh-CN" w:bidi="ar-AE"/>
              </w:rPr>
              <w:t>，</w:t>
            </w:r>
            <w:r>
              <w:rPr>
                <w:rFonts w:hint="default" w:ascii="Times New Roman" w:hAnsi="Times New Roman" w:cs="Times New Roman"/>
                <w:bCs/>
                <w:color w:val="000000"/>
                <w:kern w:val="0"/>
                <w:sz w:val="24"/>
                <w:szCs w:val="24"/>
                <w:lang w:bidi="ar-AE"/>
              </w:rPr>
              <w:t>主要业务为稀有金属材料产销等。</w:t>
            </w:r>
          </w:p>
          <w:p w14:paraId="419F19AB">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bCs/>
                <w:color w:val="000000"/>
                <w:kern w:val="0"/>
                <w:sz w:val="24"/>
                <w:szCs w:val="24"/>
                <w:lang w:bidi="ar-AE"/>
              </w:rPr>
            </w:pPr>
            <w:r>
              <w:rPr>
                <w:rFonts w:hint="default" w:cs="Times New Roman"/>
                <w:bCs/>
                <w:color w:val="000000"/>
                <w:kern w:val="0"/>
                <w:sz w:val="24"/>
                <w:szCs w:val="24"/>
                <w:lang w:val="en-US" w:eastAsia="zh-CN" w:bidi="ar-AE"/>
              </w:rPr>
              <w:t>西部材料</w:t>
            </w:r>
            <w:r>
              <w:rPr>
                <w:rFonts w:hint="default" w:ascii="Times New Roman" w:hAnsi="Times New Roman" w:cs="Times New Roman"/>
                <w:bCs/>
                <w:color w:val="000000"/>
                <w:kern w:val="0"/>
                <w:sz w:val="24"/>
                <w:szCs w:val="24"/>
                <w:lang w:bidi="ar-AE"/>
              </w:rPr>
              <w:t>的最终控制人为西北有色金属研究院，主要业务为稀有金属</w:t>
            </w:r>
            <w:r>
              <w:rPr>
                <w:rFonts w:hint="default" w:cs="Times New Roman"/>
                <w:bCs/>
                <w:color w:val="000000"/>
                <w:kern w:val="0"/>
                <w:sz w:val="24"/>
                <w:szCs w:val="24"/>
                <w:lang w:val="en-US" w:eastAsia="zh-CN" w:bidi="ar-AE"/>
              </w:rPr>
              <w:t>材料的</w:t>
            </w:r>
            <w:r>
              <w:rPr>
                <w:rFonts w:hint="default" w:ascii="Times New Roman" w:hAnsi="Times New Roman" w:cs="Times New Roman"/>
                <w:bCs/>
                <w:color w:val="000000"/>
                <w:kern w:val="0"/>
                <w:sz w:val="24"/>
                <w:szCs w:val="24"/>
                <w:lang w:bidi="ar-AE"/>
              </w:rPr>
              <w:t>熔炼、锻造等。</w:t>
            </w:r>
          </w:p>
        </w:tc>
      </w:tr>
      <w:tr w14:paraId="23B0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810" w:type="dxa"/>
            <w:vMerge w:val="continue"/>
            <w:shd w:val="clear" w:color="auto" w:fill="auto"/>
            <w:vAlign w:val="center"/>
          </w:tcPr>
          <w:p w14:paraId="51EF1094">
            <w:pPr>
              <w:pStyle w:val="7"/>
              <w:adjustRightInd w:val="0"/>
              <w:snapToGrid w:val="0"/>
              <w:spacing w:after="0"/>
              <w:jc w:val="center"/>
              <w:rPr>
                <w:rFonts w:hint="default"/>
                <w:b w:val="0"/>
                <w:bCs/>
                <w:color w:val="000000"/>
                <w:sz w:val="24"/>
                <w:szCs w:val="24"/>
              </w:rPr>
            </w:pPr>
          </w:p>
        </w:tc>
        <w:tc>
          <w:tcPr>
            <w:tcW w:w="1582" w:type="dxa"/>
            <w:vAlign w:val="center"/>
          </w:tcPr>
          <w:p w14:paraId="68242E7A">
            <w:pPr>
              <w:pStyle w:val="7"/>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cs="Times New Roman"/>
                <w:b w:val="0"/>
                <w:bCs/>
                <w:color w:val="000000"/>
                <w:kern w:val="0"/>
                <w:sz w:val="24"/>
                <w:szCs w:val="24"/>
                <w:lang w:val="en-US" w:eastAsia="zh-CN" w:bidi="ar-AE"/>
              </w:rPr>
            </w:pPr>
            <w:r>
              <w:rPr>
                <w:rFonts w:hint="default" w:ascii="Times New Roman" w:hAnsi="Times New Roman" w:cs="Times New Roman"/>
                <w:b w:val="0"/>
                <w:bCs/>
                <w:color w:val="000000"/>
                <w:kern w:val="0"/>
                <w:sz w:val="24"/>
                <w:szCs w:val="24"/>
                <w:lang w:val="en-US" w:eastAsia="zh-CN" w:bidi="ar-AE"/>
              </w:rPr>
              <w:t>5.华誉基金</w:t>
            </w:r>
          </w:p>
        </w:tc>
        <w:tc>
          <w:tcPr>
            <w:tcW w:w="6054" w:type="dxa"/>
            <w:vAlign w:val="top"/>
          </w:tcPr>
          <w:p w14:paraId="45ECF56B">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bCs/>
                <w:color w:val="000000"/>
                <w:kern w:val="0"/>
                <w:sz w:val="24"/>
                <w:szCs w:val="24"/>
                <w:lang w:bidi="ar-AE"/>
              </w:rPr>
            </w:pPr>
            <w:r>
              <w:rPr>
                <w:rFonts w:hint="default" w:cs="Times New Roman"/>
                <w:bCs/>
                <w:color w:val="000000"/>
                <w:kern w:val="0"/>
                <w:sz w:val="24"/>
                <w:szCs w:val="24"/>
                <w:lang w:val="en-US" w:eastAsia="zh-CN" w:bidi="ar-AE"/>
              </w:rPr>
              <w:t>华誉基金</w:t>
            </w:r>
            <w:r>
              <w:rPr>
                <w:rFonts w:hint="default" w:ascii="Times New Roman" w:hAnsi="Times New Roman" w:cs="Times New Roman"/>
                <w:bCs/>
                <w:color w:val="000000"/>
                <w:kern w:val="0"/>
                <w:sz w:val="24"/>
                <w:szCs w:val="24"/>
                <w:lang w:bidi="ar-AE"/>
              </w:rPr>
              <w:t>于20</w:t>
            </w:r>
            <w:r>
              <w:rPr>
                <w:rFonts w:hint="default" w:cs="Times New Roman"/>
                <w:bCs/>
                <w:color w:val="000000"/>
                <w:kern w:val="0"/>
                <w:sz w:val="24"/>
                <w:szCs w:val="24"/>
                <w:lang w:val="en-US" w:eastAsia="zh-CN" w:bidi="ar-AE"/>
              </w:rPr>
              <w:t>15</w:t>
            </w:r>
            <w:r>
              <w:rPr>
                <w:rFonts w:hint="default" w:ascii="Times New Roman" w:hAnsi="Times New Roman" w:cs="Times New Roman"/>
                <w:bCs/>
                <w:color w:val="000000"/>
                <w:kern w:val="0"/>
                <w:sz w:val="24"/>
                <w:szCs w:val="24"/>
                <w:lang w:bidi="ar-AE"/>
              </w:rPr>
              <w:t>年</w:t>
            </w:r>
            <w:r>
              <w:rPr>
                <w:rFonts w:hint="default" w:cs="Times New Roman"/>
                <w:bCs/>
                <w:color w:val="000000"/>
                <w:kern w:val="0"/>
                <w:sz w:val="24"/>
                <w:szCs w:val="24"/>
                <w:lang w:val="en-US" w:eastAsia="zh-CN" w:bidi="ar-AE"/>
              </w:rPr>
              <w:t>12</w:t>
            </w:r>
            <w:r>
              <w:rPr>
                <w:rFonts w:hint="default" w:ascii="Times New Roman" w:hAnsi="Times New Roman" w:cs="Times New Roman"/>
                <w:bCs/>
                <w:color w:val="000000"/>
                <w:kern w:val="0"/>
                <w:sz w:val="24"/>
                <w:szCs w:val="24"/>
                <w:lang w:bidi="ar-AE"/>
              </w:rPr>
              <w:t>月</w:t>
            </w:r>
            <w:r>
              <w:rPr>
                <w:rFonts w:hint="default" w:cs="Times New Roman"/>
                <w:bCs/>
                <w:color w:val="000000"/>
                <w:kern w:val="0"/>
                <w:sz w:val="24"/>
                <w:szCs w:val="24"/>
                <w:lang w:val="en-US" w:eastAsia="zh-CN" w:bidi="ar-AE"/>
              </w:rPr>
              <w:t>29</w:t>
            </w:r>
            <w:r>
              <w:rPr>
                <w:rFonts w:hint="default" w:ascii="Times New Roman" w:hAnsi="Times New Roman" w:cs="Times New Roman"/>
                <w:bCs/>
                <w:color w:val="000000"/>
                <w:kern w:val="0"/>
                <w:sz w:val="24"/>
                <w:szCs w:val="24"/>
                <w:lang w:bidi="ar-AE"/>
              </w:rPr>
              <w:t>日成立于</w:t>
            </w:r>
            <w:r>
              <w:rPr>
                <w:rFonts w:hint="default" w:cs="Times New Roman"/>
                <w:bCs/>
                <w:color w:val="000000"/>
                <w:kern w:val="0"/>
                <w:sz w:val="24"/>
                <w:szCs w:val="24"/>
                <w:lang w:val="en-US" w:eastAsia="zh-CN" w:bidi="ar-AE"/>
              </w:rPr>
              <w:t>浙江宁波</w:t>
            </w:r>
            <w:r>
              <w:rPr>
                <w:rFonts w:hint="default" w:ascii="Times New Roman" w:hAnsi="Times New Roman" w:cs="Times New Roman"/>
                <w:bCs/>
                <w:color w:val="000000"/>
                <w:kern w:val="0"/>
                <w:sz w:val="24"/>
                <w:szCs w:val="24"/>
                <w:lang w:bidi="ar-AE"/>
              </w:rPr>
              <w:t>，主要业务为</w:t>
            </w:r>
            <w:r>
              <w:rPr>
                <w:rFonts w:hint="default" w:cs="Times New Roman"/>
                <w:bCs/>
                <w:color w:val="000000"/>
                <w:kern w:val="0"/>
                <w:sz w:val="24"/>
                <w:szCs w:val="24"/>
                <w:lang w:val="en-US" w:eastAsia="zh-CN" w:bidi="ar-AE"/>
              </w:rPr>
              <w:t>股权投资</w:t>
            </w:r>
            <w:r>
              <w:rPr>
                <w:rFonts w:hint="default" w:ascii="Times New Roman" w:hAnsi="Times New Roman" w:cs="Times New Roman"/>
                <w:bCs/>
                <w:color w:val="000000"/>
                <w:kern w:val="0"/>
                <w:sz w:val="24"/>
                <w:szCs w:val="24"/>
                <w:lang w:bidi="ar-AE"/>
              </w:rPr>
              <w:t>等。</w:t>
            </w:r>
          </w:p>
          <w:p w14:paraId="6AA76BA6">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bCs/>
                <w:color w:val="000000"/>
                <w:kern w:val="0"/>
                <w:sz w:val="24"/>
                <w:szCs w:val="24"/>
                <w:lang w:bidi="ar-AE"/>
              </w:rPr>
            </w:pPr>
            <w:r>
              <w:rPr>
                <w:rFonts w:hint="default" w:cs="Times New Roman"/>
                <w:bCs/>
                <w:color w:val="000000"/>
                <w:kern w:val="0"/>
                <w:sz w:val="24"/>
                <w:szCs w:val="24"/>
                <w:lang w:val="en-US" w:eastAsia="zh-CN" w:bidi="ar-AE"/>
              </w:rPr>
              <w:t>华誉基金</w:t>
            </w:r>
            <w:r>
              <w:rPr>
                <w:rFonts w:hint="default" w:ascii="Times New Roman" w:hAnsi="Times New Roman" w:cs="Times New Roman"/>
                <w:bCs/>
                <w:color w:val="000000"/>
                <w:kern w:val="0"/>
                <w:sz w:val="24"/>
                <w:szCs w:val="24"/>
                <w:lang w:bidi="ar-AE"/>
              </w:rPr>
              <w:t>的最终控制人为中国中车集团有限公司，主要业务为</w:t>
            </w:r>
            <w:r>
              <w:rPr>
                <w:rFonts w:hint="default" w:cs="Times New Roman"/>
                <w:bCs/>
                <w:color w:val="000000"/>
                <w:kern w:val="0"/>
                <w:sz w:val="24"/>
                <w:szCs w:val="24"/>
                <w:lang w:val="en-US" w:eastAsia="zh-CN" w:bidi="ar-AE"/>
              </w:rPr>
              <w:t>轨道交通装备的</w:t>
            </w:r>
            <w:r>
              <w:rPr>
                <w:rFonts w:hint="default" w:ascii="Times New Roman" w:hAnsi="Times New Roman" w:cs="Times New Roman"/>
                <w:bCs/>
                <w:color w:val="000000"/>
                <w:kern w:val="0"/>
                <w:sz w:val="24"/>
                <w:szCs w:val="24"/>
                <w:lang w:bidi="ar-AE"/>
              </w:rPr>
              <w:t>研发</w:t>
            </w:r>
            <w:r>
              <w:rPr>
                <w:rFonts w:hint="default" w:cs="Times New Roman"/>
                <w:bCs/>
                <w:color w:val="000000"/>
                <w:kern w:val="0"/>
                <w:sz w:val="24"/>
                <w:szCs w:val="24"/>
                <w:lang w:eastAsia="zh-CN" w:bidi="ar-AE"/>
              </w:rPr>
              <w:t>、</w:t>
            </w:r>
            <w:r>
              <w:rPr>
                <w:rFonts w:hint="default" w:ascii="Times New Roman" w:hAnsi="Times New Roman" w:cs="Times New Roman"/>
                <w:bCs/>
                <w:color w:val="000000"/>
                <w:kern w:val="0"/>
                <w:sz w:val="24"/>
                <w:szCs w:val="24"/>
                <w:lang w:bidi="ar-AE"/>
              </w:rPr>
              <w:t>设计</w:t>
            </w:r>
            <w:r>
              <w:rPr>
                <w:rFonts w:hint="default" w:cs="Times New Roman"/>
                <w:bCs/>
                <w:color w:val="000000"/>
                <w:kern w:val="0"/>
                <w:sz w:val="24"/>
                <w:szCs w:val="24"/>
                <w:lang w:eastAsia="zh-CN" w:bidi="ar-AE"/>
              </w:rPr>
              <w:t>、</w:t>
            </w:r>
            <w:r>
              <w:rPr>
                <w:rFonts w:hint="default" w:ascii="Times New Roman" w:hAnsi="Times New Roman" w:cs="Times New Roman"/>
                <w:bCs/>
                <w:color w:val="000000"/>
                <w:kern w:val="0"/>
                <w:sz w:val="24"/>
                <w:szCs w:val="24"/>
                <w:lang w:bidi="ar-AE"/>
              </w:rPr>
              <w:t>制造</w:t>
            </w:r>
            <w:r>
              <w:rPr>
                <w:rFonts w:hint="default" w:cs="Times New Roman"/>
                <w:bCs/>
                <w:color w:val="000000"/>
                <w:kern w:val="0"/>
                <w:sz w:val="24"/>
                <w:szCs w:val="24"/>
                <w:lang w:eastAsia="zh-CN" w:bidi="ar-AE"/>
              </w:rPr>
              <w:t>、</w:t>
            </w:r>
            <w:r>
              <w:rPr>
                <w:rFonts w:hint="default" w:ascii="Times New Roman" w:hAnsi="Times New Roman" w:cs="Times New Roman"/>
                <w:bCs/>
                <w:color w:val="000000"/>
                <w:kern w:val="0"/>
                <w:sz w:val="24"/>
                <w:szCs w:val="24"/>
                <w:lang w:bidi="ar-AE"/>
              </w:rPr>
              <w:t>销售业务等。</w:t>
            </w:r>
          </w:p>
        </w:tc>
      </w:tr>
      <w:tr w14:paraId="1F7F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810" w:type="dxa"/>
            <w:vMerge w:val="restart"/>
            <w:shd w:val="clear" w:color="auto" w:fill="auto"/>
            <w:vAlign w:val="center"/>
          </w:tcPr>
          <w:p w14:paraId="142DDC3E">
            <w:pPr>
              <w:pStyle w:val="7"/>
              <w:adjustRightInd w:val="0"/>
              <w:snapToGrid w:val="0"/>
              <w:spacing w:after="0"/>
              <w:jc w:val="center"/>
              <w:rPr>
                <w:rFonts w:hint="default"/>
                <w:b w:val="0"/>
                <w:bCs/>
                <w:color w:val="000000"/>
                <w:sz w:val="24"/>
                <w:szCs w:val="24"/>
              </w:rPr>
            </w:pPr>
            <w:r>
              <w:rPr>
                <w:rFonts w:hint="default"/>
                <w:b w:val="0"/>
                <w:bCs/>
                <w:color w:val="000000"/>
                <w:sz w:val="24"/>
                <w:szCs w:val="24"/>
              </w:rPr>
              <w:t>简易案件理由（可以单选，</w:t>
            </w:r>
          </w:p>
          <w:p w14:paraId="0BAD4C5A">
            <w:pPr>
              <w:pStyle w:val="7"/>
              <w:adjustRightInd w:val="0"/>
              <w:snapToGrid w:val="0"/>
              <w:spacing w:after="0"/>
              <w:jc w:val="center"/>
              <w:rPr>
                <w:rFonts w:hint="default"/>
                <w:b w:val="0"/>
                <w:bCs/>
                <w:color w:val="000000"/>
                <w:sz w:val="24"/>
                <w:szCs w:val="24"/>
              </w:rPr>
            </w:pPr>
            <w:r>
              <w:rPr>
                <w:rFonts w:hint="default"/>
                <w:b w:val="0"/>
                <w:bCs/>
                <w:color w:val="000000"/>
                <w:sz w:val="24"/>
                <w:szCs w:val="24"/>
              </w:rPr>
              <w:t>也可以多选）</w:t>
            </w:r>
          </w:p>
        </w:tc>
        <w:tc>
          <w:tcPr>
            <w:tcW w:w="7636" w:type="dxa"/>
            <w:gridSpan w:val="2"/>
            <w:vAlign w:val="center"/>
          </w:tcPr>
          <w:p w14:paraId="4033AF55">
            <w:pPr>
              <w:pStyle w:val="7"/>
              <w:adjustRightInd w:val="0"/>
              <w:snapToGrid w:val="0"/>
              <w:spacing w:after="0"/>
              <w:jc w:val="both"/>
              <w:rPr>
                <w:rFonts w:hint="default"/>
                <w:bCs/>
                <w:color w:val="000000"/>
                <w:sz w:val="24"/>
                <w:szCs w:val="24"/>
              </w:rPr>
            </w:pPr>
            <w:r>
              <w:rPr>
                <w:rFonts w:hint="default"/>
                <w:bCs/>
                <w:color w:val="000000"/>
                <w:sz w:val="24"/>
                <w:szCs w:val="24"/>
              </w:rPr>
              <w:sym w:font="Wingdings" w:char="00A8"/>
            </w:r>
            <w:r>
              <w:rPr>
                <w:rFonts w:hint="default"/>
                <w:bCs/>
                <w:color w:val="000000"/>
                <w:sz w:val="24"/>
                <w:szCs w:val="24"/>
              </w:rPr>
              <w:t xml:space="preserve"> 1、在同一相关市场，所有参与集中的经营者所占市场份额之和小于15%。</w:t>
            </w:r>
          </w:p>
        </w:tc>
      </w:tr>
      <w:tr w14:paraId="4E2B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810" w:type="dxa"/>
            <w:vMerge w:val="continue"/>
            <w:shd w:val="clear" w:color="auto" w:fill="auto"/>
            <w:vAlign w:val="center"/>
          </w:tcPr>
          <w:p w14:paraId="2423C4B3">
            <w:pPr>
              <w:pStyle w:val="7"/>
              <w:adjustRightInd w:val="0"/>
              <w:snapToGrid w:val="0"/>
              <w:spacing w:after="0"/>
              <w:jc w:val="center"/>
              <w:rPr>
                <w:rFonts w:hint="default"/>
                <w:b w:val="0"/>
                <w:bCs/>
                <w:color w:val="000000"/>
                <w:sz w:val="24"/>
                <w:szCs w:val="24"/>
              </w:rPr>
            </w:pPr>
          </w:p>
        </w:tc>
        <w:tc>
          <w:tcPr>
            <w:tcW w:w="7636" w:type="dxa"/>
            <w:gridSpan w:val="2"/>
            <w:vAlign w:val="center"/>
          </w:tcPr>
          <w:p w14:paraId="4655E7FF">
            <w:pPr>
              <w:pStyle w:val="7"/>
              <w:adjustRightInd w:val="0"/>
              <w:snapToGrid w:val="0"/>
              <w:spacing w:after="0"/>
              <w:jc w:val="both"/>
              <w:rPr>
                <w:rFonts w:hint="default"/>
                <w:bCs/>
                <w:color w:val="000000"/>
                <w:sz w:val="24"/>
                <w:szCs w:val="24"/>
              </w:rPr>
            </w:pPr>
            <w:r>
              <w:rPr>
                <w:rFonts w:hint="default"/>
                <w:bCs/>
                <w:color w:val="000000"/>
                <w:sz w:val="24"/>
                <w:szCs w:val="24"/>
              </w:rPr>
              <w:sym w:font="Wingdings" w:char="00A8"/>
            </w:r>
            <w:r>
              <w:rPr>
                <w:rFonts w:hint="default"/>
                <w:bCs/>
                <w:color w:val="000000"/>
                <w:sz w:val="24"/>
                <w:szCs w:val="24"/>
              </w:rPr>
              <w:t xml:space="preserve"> 2、存在上下游关系的参与集中的经营者，在上下游市场所占的市场份额均小于25%。</w:t>
            </w:r>
          </w:p>
        </w:tc>
      </w:tr>
      <w:tr w14:paraId="660F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810" w:type="dxa"/>
            <w:vMerge w:val="continue"/>
            <w:shd w:val="clear" w:color="auto" w:fill="auto"/>
            <w:vAlign w:val="center"/>
          </w:tcPr>
          <w:p w14:paraId="2020131F">
            <w:pPr>
              <w:pStyle w:val="7"/>
              <w:adjustRightInd w:val="0"/>
              <w:snapToGrid w:val="0"/>
              <w:spacing w:after="0"/>
              <w:jc w:val="center"/>
              <w:rPr>
                <w:rFonts w:hint="default"/>
                <w:b w:val="0"/>
                <w:bCs/>
                <w:color w:val="000000"/>
                <w:sz w:val="24"/>
                <w:szCs w:val="24"/>
              </w:rPr>
            </w:pPr>
          </w:p>
        </w:tc>
        <w:tc>
          <w:tcPr>
            <w:tcW w:w="7636" w:type="dxa"/>
            <w:gridSpan w:val="2"/>
            <w:vAlign w:val="center"/>
          </w:tcPr>
          <w:p w14:paraId="20010B9A">
            <w:pPr>
              <w:pStyle w:val="7"/>
              <w:adjustRightInd w:val="0"/>
              <w:snapToGrid w:val="0"/>
              <w:spacing w:after="0"/>
              <w:jc w:val="both"/>
              <w:rPr>
                <w:rFonts w:hint="default"/>
                <w:bCs/>
                <w:color w:val="000000"/>
                <w:sz w:val="24"/>
                <w:szCs w:val="24"/>
              </w:rPr>
            </w:pPr>
            <w:r>
              <w:rPr>
                <w:rFonts w:hint="default"/>
                <w:bCs/>
                <w:color w:val="000000"/>
                <w:sz w:val="24"/>
                <w:szCs w:val="24"/>
                <w:highlight w:val="none"/>
              </w:rPr>
              <w:sym w:font="Wingdings" w:char="00FE"/>
            </w:r>
            <w:r>
              <w:rPr>
                <w:rFonts w:hint="default"/>
                <w:bCs/>
                <w:color w:val="000000"/>
                <w:sz w:val="24"/>
                <w:szCs w:val="24"/>
                <w:highlight w:val="none"/>
              </w:rPr>
              <w:t xml:space="preserve"> 3、不在同一相关市场、也不存在上下游关系的参与集中的经营者，在与交易有关的每个市场所占的份额均小于25%。</w:t>
            </w:r>
          </w:p>
        </w:tc>
      </w:tr>
      <w:tr w14:paraId="0873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810" w:type="dxa"/>
            <w:vMerge w:val="continue"/>
            <w:shd w:val="clear" w:color="auto" w:fill="auto"/>
            <w:vAlign w:val="center"/>
          </w:tcPr>
          <w:p w14:paraId="1F05462A">
            <w:pPr>
              <w:pStyle w:val="7"/>
              <w:adjustRightInd w:val="0"/>
              <w:snapToGrid w:val="0"/>
              <w:spacing w:after="0"/>
              <w:jc w:val="center"/>
              <w:rPr>
                <w:rFonts w:hint="default"/>
                <w:b w:val="0"/>
                <w:bCs/>
                <w:color w:val="000000"/>
                <w:sz w:val="24"/>
                <w:szCs w:val="24"/>
              </w:rPr>
            </w:pPr>
          </w:p>
        </w:tc>
        <w:tc>
          <w:tcPr>
            <w:tcW w:w="7636" w:type="dxa"/>
            <w:gridSpan w:val="2"/>
            <w:vAlign w:val="center"/>
          </w:tcPr>
          <w:p w14:paraId="087F7631">
            <w:pPr>
              <w:pStyle w:val="7"/>
              <w:adjustRightInd w:val="0"/>
              <w:snapToGrid w:val="0"/>
              <w:spacing w:after="0"/>
              <w:jc w:val="both"/>
              <w:rPr>
                <w:rFonts w:hint="default"/>
                <w:bCs/>
                <w:color w:val="000000"/>
                <w:sz w:val="24"/>
                <w:szCs w:val="24"/>
              </w:rPr>
            </w:pPr>
            <w:r>
              <w:rPr>
                <w:rFonts w:hint="default"/>
                <w:bCs/>
                <w:color w:val="000000"/>
                <w:sz w:val="24"/>
                <w:szCs w:val="24"/>
              </w:rPr>
              <w:sym w:font="Wingdings" w:char="00A8"/>
            </w:r>
            <w:r>
              <w:rPr>
                <w:rFonts w:hint="default"/>
                <w:bCs/>
                <w:color w:val="000000"/>
                <w:sz w:val="24"/>
                <w:szCs w:val="24"/>
              </w:rPr>
              <w:t xml:space="preserve"> 4、参与集中的经营者在中国境外设立合营企业，合营企业不在中国境内从事经济活动。</w:t>
            </w:r>
          </w:p>
        </w:tc>
      </w:tr>
      <w:tr w14:paraId="2C3E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810" w:type="dxa"/>
            <w:vMerge w:val="continue"/>
            <w:shd w:val="clear" w:color="auto" w:fill="auto"/>
            <w:vAlign w:val="center"/>
          </w:tcPr>
          <w:p w14:paraId="6A4E905F">
            <w:pPr>
              <w:pStyle w:val="7"/>
              <w:adjustRightInd w:val="0"/>
              <w:snapToGrid w:val="0"/>
              <w:spacing w:after="0"/>
              <w:jc w:val="center"/>
              <w:rPr>
                <w:rFonts w:hint="default"/>
                <w:b w:val="0"/>
                <w:bCs/>
                <w:color w:val="000000"/>
                <w:sz w:val="24"/>
                <w:szCs w:val="24"/>
              </w:rPr>
            </w:pPr>
          </w:p>
        </w:tc>
        <w:tc>
          <w:tcPr>
            <w:tcW w:w="7636" w:type="dxa"/>
            <w:gridSpan w:val="2"/>
            <w:vAlign w:val="center"/>
          </w:tcPr>
          <w:p w14:paraId="31FCF86F">
            <w:pPr>
              <w:pStyle w:val="7"/>
              <w:adjustRightInd w:val="0"/>
              <w:snapToGrid w:val="0"/>
              <w:spacing w:after="0"/>
              <w:jc w:val="both"/>
              <w:rPr>
                <w:rFonts w:hint="default"/>
                <w:bCs/>
                <w:color w:val="000000"/>
                <w:sz w:val="24"/>
                <w:szCs w:val="24"/>
              </w:rPr>
            </w:pPr>
            <w:r>
              <w:rPr>
                <w:rFonts w:hint="default"/>
                <w:bCs/>
                <w:color w:val="000000"/>
                <w:sz w:val="24"/>
                <w:szCs w:val="24"/>
              </w:rPr>
              <w:sym w:font="Wingdings" w:char="00A8"/>
            </w:r>
            <w:r>
              <w:rPr>
                <w:rFonts w:hint="default"/>
                <w:bCs/>
                <w:color w:val="000000"/>
                <w:sz w:val="24"/>
                <w:szCs w:val="24"/>
              </w:rPr>
              <w:t xml:space="preserve"> 5、参与集中的经营者收购境外企业股权或资产的，该境外企业不在中国境内从事经济活动。</w:t>
            </w:r>
          </w:p>
        </w:tc>
      </w:tr>
      <w:tr w14:paraId="6EEC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810" w:type="dxa"/>
            <w:vMerge w:val="continue"/>
            <w:shd w:val="clear" w:color="auto" w:fill="auto"/>
            <w:vAlign w:val="center"/>
          </w:tcPr>
          <w:p w14:paraId="3394BC20">
            <w:pPr>
              <w:pStyle w:val="7"/>
              <w:adjustRightInd w:val="0"/>
              <w:snapToGrid w:val="0"/>
              <w:spacing w:after="0"/>
              <w:jc w:val="center"/>
              <w:rPr>
                <w:rFonts w:hint="default"/>
                <w:b w:val="0"/>
                <w:bCs/>
                <w:color w:val="000000"/>
                <w:sz w:val="24"/>
                <w:szCs w:val="24"/>
              </w:rPr>
            </w:pPr>
          </w:p>
        </w:tc>
        <w:tc>
          <w:tcPr>
            <w:tcW w:w="7636" w:type="dxa"/>
            <w:gridSpan w:val="2"/>
            <w:vAlign w:val="center"/>
          </w:tcPr>
          <w:p w14:paraId="528EE4A5">
            <w:pPr>
              <w:pStyle w:val="7"/>
              <w:adjustRightInd w:val="0"/>
              <w:snapToGrid w:val="0"/>
              <w:spacing w:after="0"/>
              <w:jc w:val="both"/>
              <w:rPr>
                <w:rFonts w:hint="default"/>
                <w:bCs/>
                <w:color w:val="000000"/>
                <w:sz w:val="24"/>
                <w:szCs w:val="24"/>
              </w:rPr>
            </w:pPr>
            <w:r>
              <w:rPr>
                <w:rFonts w:hint="default"/>
                <w:bCs/>
                <w:color w:val="000000"/>
                <w:sz w:val="24"/>
                <w:szCs w:val="24"/>
              </w:rPr>
              <w:sym w:font="Wingdings" w:char="00A8"/>
            </w:r>
            <w:r>
              <w:rPr>
                <w:rFonts w:hint="default"/>
                <w:bCs/>
                <w:color w:val="000000"/>
                <w:sz w:val="24"/>
                <w:szCs w:val="24"/>
              </w:rPr>
              <w:t xml:space="preserve"> 6、由两个以上的经营者共同控制的合营企业，通过集中被其中一个或一个以上经营者控制。</w:t>
            </w:r>
          </w:p>
        </w:tc>
      </w:tr>
      <w:tr w14:paraId="17F6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1810" w:type="dxa"/>
            <w:shd w:val="clear" w:color="auto" w:fill="auto"/>
            <w:vAlign w:val="center"/>
          </w:tcPr>
          <w:p w14:paraId="2070F4C9">
            <w:pPr>
              <w:pStyle w:val="7"/>
              <w:adjustRightInd w:val="0"/>
              <w:snapToGrid w:val="0"/>
              <w:spacing w:after="0"/>
              <w:jc w:val="center"/>
              <w:rPr>
                <w:rFonts w:hint="default"/>
                <w:b w:val="0"/>
                <w:bCs/>
                <w:color w:val="000000"/>
                <w:sz w:val="24"/>
                <w:szCs w:val="24"/>
              </w:rPr>
            </w:pPr>
            <w:r>
              <w:rPr>
                <w:rFonts w:hint="default"/>
                <w:b w:val="0"/>
                <w:bCs/>
                <w:color w:val="000000"/>
                <w:sz w:val="24"/>
                <w:szCs w:val="24"/>
              </w:rPr>
              <w:t>备注</w:t>
            </w:r>
          </w:p>
        </w:tc>
        <w:tc>
          <w:tcPr>
            <w:tcW w:w="7636" w:type="dxa"/>
            <w:gridSpan w:val="2"/>
            <w:vAlign w:val="center"/>
          </w:tcPr>
          <w:p w14:paraId="2B7BC314">
            <w:pPr>
              <w:pStyle w:val="7"/>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cs="Times New Roman"/>
                <w:b/>
                <w:bCs w:val="0"/>
                <w:color w:val="000000"/>
                <w:kern w:val="0"/>
                <w:sz w:val="24"/>
                <w:szCs w:val="24"/>
                <w:highlight w:val="none"/>
                <w:lang w:val="en-US" w:eastAsia="zh-CN" w:bidi="ar-AE"/>
              </w:rPr>
            </w:pPr>
          </w:p>
          <w:p w14:paraId="0CCF4ECE">
            <w:pPr>
              <w:pStyle w:val="7"/>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cs="Times New Roman"/>
                <w:b/>
                <w:bCs w:val="0"/>
                <w:color w:val="000000"/>
                <w:kern w:val="0"/>
                <w:sz w:val="24"/>
                <w:szCs w:val="24"/>
                <w:highlight w:val="none"/>
                <w:lang w:val="en-US" w:eastAsia="zh-CN" w:bidi="ar-AE"/>
              </w:rPr>
            </w:pPr>
            <w:r>
              <w:rPr>
                <w:rFonts w:hint="default" w:cs="Times New Roman"/>
                <w:b/>
                <w:bCs w:val="0"/>
                <w:color w:val="000000"/>
                <w:kern w:val="0"/>
                <w:sz w:val="24"/>
                <w:szCs w:val="24"/>
                <w:highlight w:val="none"/>
                <w:lang w:val="en-US" w:eastAsia="zh-CN" w:bidi="ar-AE"/>
              </w:rPr>
              <w:t>混合集中：</w:t>
            </w:r>
          </w:p>
          <w:p w14:paraId="1C0E0485">
            <w:pPr>
              <w:pStyle w:val="7"/>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cs="Times New Roman"/>
                <w:b/>
                <w:bCs w:val="0"/>
                <w:color w:val="000000"/>
                <w:kern w:val="0"/>
                <w:sz w:val="24"/>
                <w:szCs w:val="24"/>
                <w:highlight w:val="none"/>
                <w:lang w:val="en-US" w:eastAsia="zh-CN" w:bidi="ar-AE"/>
              </w:rPr>
            </w:pPr>
          </w:p>
          <w:p w14:paraId="42FBA780">
            <w:pPr>
              <w:rPr>
                <w:rFonts w:hint="default" w:ascii="Times New Roman" w:hAnsi="Times New Roman" w:cs="Times New Roman"/>
                <w:sz w:val="24"/>
                <w:szCs w:val="24"/>
                <w:highlight w:val="none"/>
                <w:lang w:eastAsia="zh-CN"/>
              </w:rPr>
            </w:pPr>
            <w:r>
              <w:rPr>
                <w:rFonts w:hint="eastAsia" w:cs="Times New Roman"/>
                <w:sz w:val="24"/>
                <w:szCs w:val="24"/>
                <w:highlight w:val="none"/>
                <w:lang w:val="en-US" w:eastAsia="zh-CN"/>
              </w:rPr>
              <w:t>2024年</w:t>
            </w:r>
            <w:r>
              <w:rPr>
                <w:rFonts w:hint="default" w:ascii="Times New Roman" w:hAnsi="Times New Roman" w:cs="Times New Roman"/>
                <w:sz w:val="24"/>
                <w:szCs w:val="24"/>
                <w:highlight w:val="none"/>
                <w:lang w:val="en-US" w:eastAsia="zh-CN"/>
              </w:rPr>
              <w:t>全球抽水蓄能变速机组</w:t>
            </w:r>
            <w:r>
              <w:rPr>
                <w:rFonts w:hint="default" w:ascii="Times New Roman" w:hAnsi="Times New Roman" w:cs="Times New Roman"/>
                <w:sz w:val="24"/>
                <w:szCs w:val="24"/>
                <w:highlight w:val="none"/>
              </w:rPr>
              <w:t>市场</w:t>
            </w:r>
            <w:r>
              <w:rPr>
                <w:rFonts w:hint="default" w:ascii="Times New Roman" w:hAnsi="Times New Roman" w:cs="Times New Roman"/>
                <w:sz w:val="24"/>
                <w:szCs w:val="24"/>
                <w:highlight w:val="none"/>
                <w:lang w:eastAsia="zh-CN"/>
              </w:rPr>
              <w:t>：</w:t>
            </w:r>
          </w:p>
          <w:p w14:paraId="7BBB82A9">
            <w:pPr>
              <w:ind w:firstLine="240" w:firstLineChars="100"/>
              <w:rPr>
                <w:rFonts w:hint="eastAsia" w:cs="Times New Roman"/>
                <w:sz w:val="24"/>
                <w:szCs w:val="24"/>
                <w:highlight w:val="none"/>
                <w:lang w:val="en-US" w:eastAsia="zh-CN"/>
              </w:rPr>
            </w:pPr>
            <w:r>
              <w:rPr>
                <w:rFonts w:hint="eastAsia" w:cs="Times New Roman"/>
                <w:sz w:val="24"/>
                <w:szCs w:val="24"/>
                <w:highlight w:val="none"/>
                <w:lang w:val="en-US" w:eastAsia="zh-CN"/>
              </w:rPr>
              <w:t>全球市场份额：</w:t>
            </w:r>
            <w:r>
              <w:rPr>
                <w:rFonts w:hint="default" w:ascii="Times New Roman" w:hAnsi="Times New Roman" w:cs="Times New Roman"/>
                <w:sz w:val="24"/>
                <w:szCs w:val="24"/>
                <w:highlight w:val="none"/>
                <w:lang w:val="en-US" w:eastAsia="zh-CN"/>
              </w:rPr>
              <w:t>永济电机</w:t>
            </w:r>
            <w:r>
              <w:rPr>
                <w:rFonts w:hint="eastAsia" w:cs="Times New Roman"/>
                <w:sz w:val="24"/>
                <w:szCs w:val="24"/>
                <w:highlight w:val="none"/>
                <w:lang w:val="en-US" w:eastAsia="zh-CN"/>
              </w:rPr>
              <w:t>（预估）</w:t>
            </w:r>
            <w:r>
              <w:rPr>
                <w:rFonts w:hint="default" w:ascii="Times New Roman" w:hAnsi="Times New Roman" w:cs="Times New Roman"/>
                <w:sz w:val="24"/>
                <w:szCs w:val="24"/>
                <w:highlight w:val="none"/>
                <w:lang w:val="en-US" w:eastAsia="zh-CN"/>
              </w:rPr>
              <w:t>0-5%</w:t>
            </w:r>
            <w:r>
              <w:rPr>
                <w:rFonts w:hint="eastAsia" w:cs="Times New Roman"/>
                <w:sz w:val="24"/>
                <w:szCs w:val="24"/>
                <w:highlight w:val="none"/>
                <w:lang w:val="en-US" w:eastAsia="zh-CN"/>
              </w:rPr>
              <w:t>；</w:t>
            </w:r>
          </w:p>
          <w:p w14:paraId="154BD41A">
            <w:pPr>
              <w:ind w:firstLine="240" w:firstLineChars="100"/>
              <w:rPr>
                <w:rFonts w:hint="eastAsia" w:cs="Times New Roman"/>
                <w:sz w:val="24"/>
                <w:szCs w:val="24"/>
                <w:highlight w:val="none"/>
                <w:lang w:val="en-US" w:eastAsia="zh-CN"/>
              </w:rPr>
            </w:pPr>
            <w:r>
              <w:rPr>
                <w:rFonts w:hint="eastAsia" w:cs="Times New Roman"/>
                <w:sz w:val="24"/>
                <w:szCs w:val="24"/>
                <w:highlight w:val="none"/>
                <w:lang w:val="en-US" w:eastAsia="zh-CN"/>
              </w:rPr>
              <w:t>中国境内市场份额：</w:t>
            </w:r>
            <w:r>
              <w:rPr>
                <w:rFonts w:hint="default" w:ascii="Times New Roman" w:hAnsi="Times New Roman" w:cs="Times New Roman"/>
                <w:sz w:val="24"/>
                <w:szCs w:val="24"/>
                <w:highlight w:val="none"/>
                <w:lang w:val="en-US" w:eastAsia="zh-CN"/>
              </w:rPr>
              <w:t>永济电机</w:t>
            </w:r>
            <w:r>
              <w:rPr>
                <w:rFonts w:hint="eastAsia" w:cs="Times New Roman"/>
                <w:sz w:val="24"/>
                <w:szCs w:val="24"/>
                <w:highlight w:val="none"/>
                <w:lang w:val="en-US" w:eastAsia="zh-CN"/>
              </w:rPr>
              <w:t>（预估）</w:t>
            </w:r>
            <w:r>
              <w:rPr>
                <w:rFonts w:hint="default" w:ascii="Times New Roman" w:hAnsi="Times New Roman" w:cs="Times New Roman"/>
                <w:sz w:val="24"/>
                <w:szCs w:val="24"/>
                <w:highlight w:val="none"/>
                <w:lang w:val="en-US" w:eastAsia="zh-CN"/>
              </w:rPr>
              <w:t>0-5%</w:t>
            </w:r>
          </w:p>
          <w:p w14:paraId="13839DC2">
            <w:pPr>
              <w:rPr>
                <w:rFonts w:hint="default" w:cs="Times New Roman"/>
                <w:sz w:val="24"/>
                <w:szCs w:val="24"/>
                <w:highlight w:val="none"/>
                <w:lang w:val="en-US" w:eastAsia="zh-CN"/>
              </w:rPr>
            </w:pPr>
          </w:p>
          <w:p w14:paraId="4087EA38">
            <w:pP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2024年</w:t>
            </w:r>
            <w:r>
              <w:rPr>
                <w:rFonts w:hint="default" w:ascii="Times New Roman" w:hAnsi="Times New Roman" w:cs="Times New Roman"/>
                <w:sz w:val="24"/>
                <w:szCs w:val="24"/>
                <w:highlight w:val="none"/>
                <w:lang w:val="en-US" w:eastAsia="zh-CN"/>
              </w:rPr>
              <w:t>全球飞轮储能系统市场：</w:t>
            </w:r>
          </w:p>
          <w:p w14:paraId="05E9DB56">
            <w:pPr>
              <w:ind w:firstLine="240" w:firstLineChars="100"/>
              <w:rPr>
                <w:rFonts w:hint="eastAsia" w:cs="Times New Roman"/>
                <w:sz w:val="24"/>
                <w:szCs w:val="24"/>
                <w:highlight w:val="none"/>
                <w:lang w:val="en-US" w:eastAsia="zh-CN"/>
              </w:rPr>
            </w:pPr>
            <w:r>
              <w:rPr>
                <w:rFonts w:hint="eastAsia" w:cs="Times New Roman"/>
                <w:sz w:val="24"/>
                <w:szCs w:val="24"/>
                <w:highlight w:val="none"/>
                <w:lang w:val="en-US" w:eastAsia="zh-CN"/>
              </w:rPr>
              <w:t>全球市场份额：</w:t>
            </w:r>
            <w:r>
              <w:rPr>
                <w:rFonts w:hint="default" w:ascii="Times New Roman" w:hAnsi="Times New Roman" w:cs="Times New Roman"/>
                <w:sz w:val="24"/>
                <w:szCs w:val="24"/>
                <w:highlight w:val="none"/>
                <w:lang w:val="en-US" w:eastAsia="zh-CN"/>
              </w:rPr>
              <w:t>永济电机</w:t>
            </w:r>
            <w:r>
              <w:rPr>
                <w:rFonts w:hint="eastAsia" w:cs="Times New Roman"/>
                <w:sz w:val="24"/>
                <w:szCs w:val="24"/>
                <w:highlight w:val="none"/>
                <w:lang w:val="en-US" w:eastAsia="zh-CN"/>
              </w:rPr>
              <w:t>（预估）</w:t>
            </w:r>
            <w:r>
              <w:rPr>
                <w:rFonts w:hint="default" w:ascii="Times New Roman" w:hAnsi="Times New Roman" w:cs="Times New Roman"/>
                <w:sz w:val="24"/>
                <w:szCs w:val="24"/>
                <w:highlight w:val="none"/>
                <w:lang w:val="en-US" w:eastAsia="zh-CN"/>
              </w:rPr>
              <w:t>0-5%</w:t>
            </w:r>
            <w:r>
              <w:rPr>
                <w:rFonts w:hint="eastAsia" w:cs="Times New Roman"/>
                <w:sz w:val="24"/>
                <w:szCs w:val="24"/>
                <w:highlight w:val="none"/>
                <w:lang w:val="en-US" w:eastAsia="zh-CN"/>
              </w:rPr>
              <w:t>；</w:t>
            </w:r>
          </w:p>
          <w:p w14:paraId="25883E23">
            <w:pPr>
              <w:ind w:firstLine="240" w:firstLineChars="100"/>
              <w:rPr>
                <w:rFonts w:hint="eastAsia" w:cs="Times New Roman"/>
                <w:sz w:val="24"/>
                <w:szCs w:val="24"/>
                <w:highlight w:val="none"/>
                <w:lang w:val="en-US" w:eastAsia="zh-CN"/>
              </w:rPr>
            </w:pPr>
            <w:r>
              <w:rPr>
                <w:rFonts w:hint="eastAsia" w:cs="Times New Roman"/>
                <w:sz w:val="24"/>
                <w:szCs w:val="24"/>
                <w:highlight w:val="none"/>
                <w:lang w:val="en-US" w:eastAsia="zh-CN"/>
              </w:rPr>
              <w:t>中国境内市场份额：</w:t>
            </w:r>
            <w:r>
              <w:rPr>
                <w:rFonts w:hint="default" w:ascii="Times New Roman" w:hAnsi="Times New Roman" w:cs="Times New Roman"/>
                <w:sz w:val="24"/>
                <w:szCs w:val="24"/>
                <w:highlight w:val="none"/>
                <w:lang w:val="en-US" w:eastAsia="zh-CN"/>
              </w:rPr>
              <w:t>永济电机</w:t>
            </w:r>
            <w:r>
              <w:rPr>
                <w:rFonts w:hint="eastAsia" w:cs="Times New Roman"/>
                <w:sz w:val="24"/>
                <w:szCs w:val="24"/>
                <w:highlight w:val="none"/>
                <w:lang w:val="en-US" w:eastAsia="zh-CN"/>
              </w:rPr>
              <w:t>（预估）5-10</w:t>
            </w:r>
            <w:r>
              <w:rPr>
                <w:rFonts w:hint="default" w:ascii="Times New Roman" w:hAnsi="Times New Roman" w:cs="Times New Roman"/>
                <w:sz w:val="24"/>
                <w:szCs w:val="24"/>
                <w:highlight w:val="none"/>
                <w:lang w:val="en-US" w:eastAsia="zh-CN"/>
              </w:rPr>
              <w:t>%</w:t>
            </w:r>
            <w:bookmarkStart w:id="0" w:name="_GoBack"/>
            <w:bookmarkEnd w:id="0"/>
          </w:p>
          <w:p w14:paraId="7DDC843B">
            <w:pPr>
              <w:rPr>
                <w:rFonts w:hint="default" w:ascii="Times New Roman" w:hAnsi="Times New Roman" w:cs="Times New Roman"/>
                <w:sz w:val="24"/>
                <w:szCs w:val="24"/>
                <w:lang w:val="en-US" w:eastAsia="zh-CN"/>
              </w:rPr>
            </w:pPr>
          </w:p>
        </w:tc>
      </w:tr>
    </w:tbl>
    <w:p w14:paraId="58CF7E42">
      <w:pPr>
        <w:adjustRightInd w:val="0"/>
        <w:snapToGrid w:val="0"/>
        <w:rPr>
          <w:rFonts w:hint="default" w:ascii="Times New Roman" w:hAnsi="Times New Roman" w:cs="Times New Roman" w:eastAsiaTheme="minorEastAsi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16B19AB-9986-4C07-8A19-AE1CF8EE50C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6E27122E-D78D-4B4B-ADF8-6BCC3A9B25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Simplified Arabic">
    <w:altName w:val="Arial"/>
    <w:panose1 w:val="02020603050405020304"/>
    <w:charset w:val="B2"/>
    <w:family w:val="roman"/>
    <w:pitch w:val="default"/>
    <w:sig w:usb0="00000000" w:usb1="00000000" w:usb2="00000000" w:usb3="00000000" w:csb0="00000041" w:csb1="2008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Nzg2Yzk0OTU3YjY2MGZjZDE3YjZmMzRiYmI2NzMifQ=="/>
  </w:docVars>
  <w:rsids>
    <w:rsidRoot w:val="511505E7"/>
    <w:rsid w:val="00042BDD"/>
    <w:rsid w:val="00064FE8"/>
    <w:rsid w:val="0007692D"/>
    <w:rsid w:val="00087338"/>
    <w:rsid w:val="00114814"/>
    <w:rsid w:val="001B50F2"/>
    <w:rsid w:val="001C6148"/>
    <w:rsid w:val="001F1C3C"/>
    <w:rsid w:val="0022179C"/>
    <w:rsid w:val="00221FCA"/>
    <w:rsid w:val="00244DF9"/>
    <w:rsid w:val="00284710"/>
    <w:rsid w:val="00332EAC"/>
    <w:rsid w:val="00346B84"/>
    <w:rsid w:val="00367A54"/>
    <w:rsid w:val="004C4C54"/>
    <w:rsid w:val="00500F51"/>
    <w:rsid w:val="00504BEC"/>
    <w:rsid w:val="00507863"/>
    <w:rsid w:val="005C4EFC"/>
    <w:rsid w:val="0062408E"/>
    <w:rsid w:val="00627CE6"/>
    <w:rsid w:val="00646E32"/>
    <w:rsid w:val="006A20C6"/>
    <w:rsid w:val="006C3B44"/>
    <w:rsid w:val="00707821"/>
    <w:rsid w:val="0072474D"/>
    <w:rsid w:val="00734F51"/>
    <w:rsid w:val="007D63FA"/>
    <w:rsid w:val="007F706B"/>
    <w:rsid w:val="00816711"/>
    <w:rsid w:val="00826195"/>
    <w:rsid w:val="008472A3"/>
    <w:rsid w:val="00876497"/>
    <w:rsid w:val="009040AD"/>
    <w:rsid w:val="00934D60"/>
    <w:rsid w:val="00A73286"/>
    <w:rsid w:val="00B45330"/>
    <w:rsid w:val="00B93533"/>
    <w:rsid w:val="00BC4863"/>
    <w:rsid w:val="00BD3FB4"/>
    <w:rsid w:val="00BE051D"/>
    <w:rsid w:val="00C046B3"/>
    <w:rsid w:val="00D11F6E"/>
    <w:rsid w:val="00D14CED"/>
    <w:rsid w:val="00E40607"/>
    <w:rsid w:val="00E4263C"/>
    <w:rsid w:val="00E466FD"/>
    <w:rsid w:val="00E80370"/>
    <w:rsid w:val="00F63099"/>
    <w:rsid w:val="00F7053E"/>
    <w:rsid w:val="00F90810"/>
    <w:rsid w:val="00FD5EA5"/>
    <w:rsid w:val="00FF42DD"/>
    <w:rsid w:val="01087875"/>
    <w:rsid w:val="011DF4EB"/>
    <w:rsid w:val="018D00A7"/>
    <w:rsid w:val="01AF5332"/>
    <w:rsid w:val="01B165CE"/>
    <w:rsid w:val="020779C8"/>
    <w:rsid w:val="0217304F"/>
    <w:rsid w:val="024A0BB7"/>
    <w:rsid w:val="02515359"/>
    <w:rsid w:val="02E16CA8"/>
    <w:rsid w:val="02F70103"/>
    <w:rsid w:val="030806B1"/>
    <w:rsid w:val="033020DE"/>
    <w:rsid w:val="03490091"/>
    <w:rsid w:val="03D70EC9"/>
    <w:rsid w:val="04354274"/>
    <w:rsid w:val="04AD0A3B"/>
    <w:rsid w:val="04B425C4"/>
    <w:rsid w:val="04B85AFF"/>
    <w:rsid w:val="05885B0C"/>
    <w:rsid w:val="05AB50DB"/>
    <w:rsid w:val="05F300B6"/>
    <w:rsid w:val="06075F29"/>
    <w:rsid w:val="064A1761"/>
    <w:rsid w:val="069F41EB"/>
    <w:rsid w:val="06D60218"/>
    <w:rsid w:val="072729B8"/>
    <w:rsid w:val="073562D9"/>
    <w:rsid w:val="07D6476B"/>
    <w:rsid w:val="08556A64"/>
    <w:rsid w:val="087232C3"/>
    <w:rsid w:val="08D6542E"/>
    <w:rsid w:val="08ED34FD"/>
    <w:rsid w:val="093446A7"/>
    <w:rsid w:val="09C74F1B"/>
    <w:rsid w:val="09E21081"/>
    <w:rsid w:val="0AF22185"/>
    <w:rsid w:val="0B1835C3"/>
    <w:rsid w:val="0B511986"/>
    <w:rsid w:val="0B63273E"/>
    <w:rsid w:val="0BD91CE7"/>
    <w:rsid w:val="0C554F7A"/>
    <w:rsid w:val="0C6B60D7"/>
    <w:rsid w:val="0C7927C4"/>
    <w:rsid w:val="0D1F1C05"/>
    <w:rsid w:val="0DE526A7"/>
    <w:rsid w:val="0E5C7E9D"/>
    <w:rsid w:val="0EEC791B"/>
    <w:rsid w:val="0F272A69"/>
    <w:rsid w:val="0F2B249C"/>
    <w:rsid w:val="0F80697A"/>
    <w:rsid w:val="0F953DB9"/>
    <w:rsid w:val="0FA436B7"/>
    <w:rsid w:val="0FBBC6D8"/>
    <w:rsid w:val="0FCA58AB"/>
    <w:rsid w:val="0FEC4E18"/>
    <w:rsid w:val="10286214"/>
    <w:rsid w:val="10C02711"/>
    <w:rsid w:val="11823EC9"/>
    <w:rsid w:val="11D03D09"/>
    <w:rsid w:val="11FC1ECD"/>
    <w:rsid w:val="12ED74AA"/>
    <w:rsid w:val="130B6D76"/>
    <w:rsid w:val="131E7C21"/>
    <w:rsid w:val="13236AF1"/>
    <w:rsid w:val="13D6674E"/>
    <w:rsid w:val="147D797B"/>
    <w:rsid w:val="148B0637"/>
    <w:rsid w:val="150C1E94"/>
    <w:rsid w:val="15D94F21"/>
    <w:rsid w:val="15E47716"/>
    <w:rsid w:val="15EC2259"/>
    <w:rsid w:val="164E6A70"/>
    <w:rsid w:val="1677F6FD"/>
    <w:rsid w:val="1680064E"/>
    <w:rsid w:val="170576D4"/>
    <w:rsid w:val="17436509"/>
    <w:rsid w:val="182A3BC2"/>
    <w:rsid w:val="18E735ED"/>
    <w:rsid w:val="19533EE7"/>
    <w:rsid w:val="199476C8"/>
    <w:rsid w:val="1A0511B9"/>
    <w:rsid w:val="1A933EF5"/>
    <w:rsid w:val="1A9B628C"/>
    <w:rsid w:val="1AA11230"/>
    <w:rsid w:val="1AEB0D31"/>
    <w:rsid w:val="1B2D6269"/>
    <w:rsid w:val="1B785580"/>
    <w:rsid w:val="1BB750B7"/>
    <w:rsid w:val="1BEF65FF"/>
    <w:rsid w:val="1BF9394B"/>
    <w:rsid w:val="1BF9AB71"/>
    <w:rsid w:val="1C1B3B19"/>
    <w:rsid w:val="1C361957"/>
    <w:rsid w:val="1CC31397"/>
    <w:rsid w:val="1D8B4DA1"/>
    <w:rsid w:val="1DA24124"/>
    <w:rsid w:val="1DFE30C6"/>
    <w:rsid w:val="1EF71A09"/>
    <w:rsid w:val="1F2073B8"/>
    <w:rsid w:val="1FC81833"/>
    <w:rsid w:val="1FDD338C"/>
    <w:rsid w:val="1FE72BC6"/>
    <w:rsid w:val="202D7F78"/>
    <w:rsid w:val="20341A99"/>
    <w:rsid w:val="20815B54"/>
    <w:rsid w:val="20855A40"/>
    <w:rsid w:val="20C2797E"/>
    <w:rsid w:val="20F82768"/>
    <w:rsid w:val="21472A39"/>
    <w:rsid w:val="215B059A"/>
    <w:rsid w:val="21BD7D11"/>
    <w:rsid w:val="22151D28"/>
    <w:rsid w:val="22E713D0"/>
    <w:rsid w:val="23E03B67"/>
    <w:rsid w:val="244D0366"/>
    <w:rsid w:val="24606B41"/>
    <w:rsid w:val="246456B0"/>
    <w:rsid w:val="246736EB"/>
    <w:rsid w:val="24840815"/>
    <w:rsid w:val="24BE4747"/>
    <w:rsid w:val="2504136D"/>
    <w:rsid w:val="25AB7709"/>
    <w:rsid w:val="25C17900"/>
    <w:rsid w:val="25C263EC"/>
    <w:rsid w:val="261144B9"/>
    <w:rsid w:val="26627377"/>
    <w:rsid w:val="27B435B3"/>
    <w:rsid w:val="27BA6965"/>
    <w:rsid w:val="27ED6C10"/>
    <w:rsid w:val="281C288D"/>
    <w:rsid w:val="283265FA"/>
    <w:rsid w:val="28361ADD"/>
    <w:rsid w:val="289A6D28"/>
    <w:rsid w:val="28A2389D"/>
    <w:rsid w:val="2A0C211C"/>
    <w:rsid w:val="2A60184B"/>
    <w:rsid w:val="2AA41F53"/>
    <w:rsid w:val="2B3D0B6F"/>
    <w:rsid w:val="2B795B9C"/>
    <w:rsid w:val="2C0C7CCC"/>
    <w:rsid w:val="2CAC25FF"/>
    <w:rsid w:val="2D0217A7"/>
    <w:rsid w:val="2D123945"/>
    <w:rsid w:val="2D522E91"/>
    <w:rsid w:val="2DE926AB"/>
    <w:rsid w:val="2DFF8C0F"/>
    <w:rsid w:val="2ECF569F"/>
    <w:rsid w:val="2F0902B7"/>
    <w:rsid w:val="2FD63906"/>
    <w:rsid w:val="3025112D"/>
    <w:rsid w:val="30637C21"/>
    <w:rsid w:val="306F1D95"/>
    <w:rsid w:val="31687D65"/>
    <w:rsid w:val="319E78FD"/>
    <w:rsid w:val="31AC3510"/>
    <w:rsid w:val="32F36623"/>
    <w:rsid w:val="33291F9F"/>
    <w:rsid w:val="332B297E"/>
    <w:rsid w:val="339B1A7D"/>
    <w:rsid w:val="33E34AE7"/>
    <w:rsid w:val="341C1B03"/>
    <w:rsid w:val="34390907"/>
    <w:rsid w:val="34527864"/>
    <w:rsid w:val="356065C1"/>
    <w:rsid w:val="35741F7B"/>
    <w:rsid w:val="35927D49"/>
    <w:rsid w:val="35AA4056"/>
    <w:rsid w:val="36647739"/>
    <w:rsid w:val="36722108"/>
    <w:rsid w:val="36A67819"/>
    <w:rsid w:val="37736187"/>
    <w:rsid w:val="37EC4B4C"/>
    <w:rsid w:val="38EF19B1"/>
    <w:rsid w:val="3A7D25F4"/>
    <w:rsid w:val="3AE3337B"/>
    <w:rsid w:val="3B6C128B"/>
    <w:rsid w:val="3BF42FA2"/>
    <w:rsid w:val="3C1B3849"/>
    <w:rsid w:val="3C982B28"/>
    <w:rsid w:val="3CA56B3A"/>
    <w:rsid w:val="3D015043"/>
    <w:rsid w:val="3DBE0E38"/>
    <w:rsid w:val="3DCF2C73"/>
    <w:rsid w:val="3E3B322A"/>
    <w:rsid w:val="3E671EB3"/>
    <w:rsid w:val="3EB7365E"/>
    <w:rsid w:val="3EBE2D3F"/>
    <w:rsid w:val="3ED7D01C"/>
    <w:rsid w:val="3EE73D98"/>
    <w:rsid w:val="3FFFF7A9"/>
    <w:rsid w:val="40454BCA"/>
    <w:rsid w:val="404626B7"/>
    <w:rsid w:val="40D7777E"/>
    <w:rsid w:val="40E3190E"/>
    <w:rsid w:val="4129118D"/>
    <w:rsid w:val="41D779C0"/>
    <w:rsid w:val="432F53AF"/>
    <w:rsid w:val="436E421B"/>
    <w:rsid w:val="43D81ACB"/>
    <w:rsid w:val="43E353FE"/>
    <w:rsid w:val="443B7D84"/>
    <w:rsid w:val="45A67F13"/>
    <w:rsid w:val="45A801C9"/>
    <w:rsid w:val="45E92E66"/>
    <w:rsid w:val="463C27E0"/>
    <w:rsid w:val="46845245"/>
    <w:rsid w:val="46E71F62"/>
    <w:rsid w:val="46F216C3"/>
    <w:rsid w:val="48247180"/>
    <w:rsid w:val="483F1DAE"/>
    <w:rsid w:val="48567BBA"/>
    <w:rsid w:val="48604985"/>
    <w:rsid w:val="48C332AF"/>
    <w:rsid w:val="48FE2C64"/>
    <w:rsid w:val="49857111"/>
    <w:rsid w:val="498A72A0"/>
    <w:rsid w:val="49EE71B2"/>
    <w:rsid w:val="4A280DAA"/>
    <w:rsid w:val="4B44740D"/>
    <w:rsid w:val="4C244078"/>
    <w:rsid w:val="4C824703"/>
    <w:rsid w:val="4CC01CF8"/>
    <w:rsid w:val="4CFD75DE"/>
    <w:rsid w:val="4D022B50"/>
    <w:rsid w:val="4D533669"/>
    <w:rsid w:val="4D611881"/>
    <w:rsid w:val="4DB67BAD"/>
    <w:rsid w:val="4DBF710D"/>
    <w:rsid w:val="4DF57EFD"/>
    <w:rsid w:val="4E037B64"/>
    <w:rsid w:val="4E585190"/>
    <w:rsid w:val="4E626EA5"/>
    <w:rsid w:val="4F302BDB"/>
    <w:rsid w:val="4F7D0643"/>
    <w:rsid w:val="505C355C"/>
    <w:rsid w:val="50C47F4E"/>
    <w:rsid w:val="50CB3BDA"/>
    <w:rsid w:val="510900F1"/>
    <w:rsid w:val="511505E7"/>
    <w:rsid w:val="5204437A"/>
    <w:rsid w:val="522432EB"/>
    <w:rsid w:val="523302EC"/>
    <w:rsid w:val="5275657D"/>
    <w:rsid w:val="53204004"/>
    <w:rsid w:val="535B1AD6"/>
    <w:rsid w:val="53701092"/>
    <w:rsid w:val="53DE53F7"/>
    <w:rsid w:val="549363D0"/>
    <w:rsid w:val="54A03EDC"/>
    <w:rsid w:val="54D26C3D"/>
    <w:rsid w:val="54DD7AC9"/>
    <w:rsid w:val="55413F6A"/>
    <w:rsid w:val="556C3BF9"/>
    <w:rsid w:val="558A3AEC"/>
    <w:rsid w:val="559B68D4"/>
    <w:rsid w:val="55C827EC"/>
    <w:rsid w:val="55FF4F39"/>
    <w:rsid w:val="563C0C84"/>
    <w:rsid w:val="567C47AD"/>
    <w:rsid w:val="568C7EFA"/>
    <w:rsid w:val="5721053D"/>
    <w:rsid w:val="587873A1"/>
    <w:rsid w:val="58C308D8"/>
    <w:rsid w:val="59206465"/>
    <w:rsid w:val="59927FEE"/>
    <w:rsid w:val="599B7F54"/>
    <w:rsid w:val="59D80FE8"/>
    <w:rsid w:val="5A320350"/>
    <w:rsid w:val="5A4E1134"/>
    <w:rsid w:val="5A8F5421"/>
    <w:rsid w:val="5AAB1367"/>
    <w:rsid w:val="5AB377AC"/>
    <w:rsid w:val="5ADB7A9F"/>
    <w:rsid w:val="5B9E2C7A"/>
    <w:rsid w:val="5BDF7AA8"/>
    <w:rsid w:val="5C0C052C"/>
    <w:rsid w:val="5C1B2572"/>
    <w:rsid w:val="5CAA1730"/>
    <w:rsid w:val="5CC770F3"/>
    <w:rsid w:val="5CCB4CA9"/>
    <w:rsid w:val="5D633CB1"/>
    <w:rsid w:val="5DE93B9C"/>
    <w:rsid w:val="5DFF5221"/>
    <w:rsid w:val="5E2F0501"/>
    <w:rsid w:val="5E606197"/>
    <w:rsid w:val="5E758AD3"/>
    <w:rsid w:val="5E872C42"/>
    <w:rsid w:val="5EB54DAB"/>
    <w:rsid w:val="5EFFEB53"/>
    <w:rsid w:val="5F130B09"/>
    <w:rsid w:val="5F3A59C0"/>
    <w:rsid w:val="5F3C2655"/>
    <w:rsid w:val="5F4C72AD"/>
    <w:rsid w:val="5F5B3889"/>
    <w:rsid w:val="5F7404E1"/>
    <w:rsid w:val="60600E46"/>
    <w:rsid w:val="60B85CFA"/>
    <w:rsid w:val="6112581B"/>
    <w:rsid w:val="61A27DB8"/>
    <w:rsid w:val="61AC7C2D"/>
    <w:rsid w:val="61F32521"/>
    <w:rsid w:val="62A95BE3"/>
    <w:rsid w:val="62FE2ACC"/>
    <w:rsid w:val="636C2774"/>
    <w:rsid w:val="63CE0698"/>
    <w:rsid w:val="63F6661D"/>
    <w:rsid w:val="64990483"/>
    <w:rsid w:val="64F94FB6"/>
    <w:rsid w:val="64FF0119"/>
    <w:rsid w:val="650C61D5"/>
    <w:rsid w:val="65183212"/>
    <w:rsid w:val="6528731F"/>
    <w:rsid w:val="654F569B"/>
    <w:rsid w:val="65AC0421"/>
    <w:rsid w:val="65C94540"/>
    <w:rsid w:val="662674F5"/>
    <w:rsid w:val="67090219"/>
    <w:rsid w:val="67532E54"/>
    <w:rsid w:val="6754015D"/>
    <w:rsid w:val="676B6497"/>
    <w:rsid w:val="677B0DDC"/>
    <w:rsid w:val="67885F66"/>
    <w:rsid w:val="67D469E8"/>
    <w:rsid w:val="67DB7BB9"/>
    <w:rsid w:val="68051D5E"/>
    <w:rsid w:val="685D233B"/>
    <w:rsid w:val="68E175B6"/>
    <w:rsid w:val="68ED6FEF"/>
    <w:rsid w:val="69140A20"/>
    <w:rsid w:val="69C0748D"/>
    <w:rsid w:val="6A7D30C3"/>
    <w:rsid w:val="6ABB6FCD"/>
    <w:rsid w:val="6AD438DD"/>
    <w:rsid w:val="6B9261CD"/>
    <w:rsid w:val="6B9A71CB"/>
    <w:rsid w:val="6BAA05A1"/>
    <w:rsid w:val="6BCB1BF4"/>
    <w:rsid w:val="6BCC0CB3"/>
    <w:rsid w:val="6BDA57AD"/>
    <w:rsid w:val="6C194630"/>
    <w:rsid w:val="6C45316D"/>
    <w:rsid w:val="6CA65B6F"/>
    <w:rsid w:val="6CBE075E"/>
    <w:rsid w:val="6CBF87B4"/>
    <w:rsid w:val="6DA26ADD"/>
    <w:rsid w:val="6DC30C82"/>
    <w:rsid w:val="6DEFBAE0"/>
    <w:rsid w:val="6E372E5F"/>
    <w:rsid w:val="6E3FE820"/>
    <w:rsid w:val="6E786ABC"/>
    <w:rsid w:val="6E954194"/>
    <w:rsid w:val="6EBE3907"/>
    <w:rsid w:val="6F538C10"/>
    <w:rsid w:val="6FDF5799"/>
    <w:rsid w:val="6FE85134"/>
    <w:rsid w:val="706C5090"/>
    <w:rsid w:val="710A7485"/>
    <w:rsid w:val="71394751"/>
    <w:rsid w:val="71402523"/>
    <w:rsid w:val="718030F6"/>
    <w:rsid w:val="72131803"/>
    <w:rsid w:val="723024E6"/>
    <w:rsid w:val="73026B48"/>
    <w:rsid w:val="73A56E44"/>
    <w:rsid w:val="74566BED"/>
    <w:rsid w:val="747A406B"/>
    <w:rsid w:val="74CE550B"/>
    <w:rsid w:val="74E10D4F"/>
    <w:rsid w:val="74E476E3"/>
    <w:rsid w:val="74FA9F2D"/>
    <w:rsid w:val="751B0A84"/>
    <w:rsid w:val="755F49C7"/>
    <w:rsid w:val="757D0B6E"/>
    <w:rsid w:val="759674AE"/>
    <w:rsid w:val="75A34AC0"/>
    <w:rsid w:val="75D25D15"/>
    <w:rsid w:val="767FE0B3"/>
    <w:rsid w:val="76AFBFF1"/>
    <w:rsid w:val="76CA40F3"/>
    <w:rsid w:val="76D52DCD"/>
    <w:rsid w:val="77527FDF"/>
    <w:rsid w:val="777D1E86"/>
    <w:rsid w:val="77960090"/>
    <w:rsid w:val="77AFF4F6"/>
    <w:rsid w:val="77FF6A8C"/>
    <w:rsid w:val="77FFCFC3"/>
    <w:rsid w:val="78410251"/>
    <w:rsid w:val="789D5404"/>
    <w:rsid w:val="78E44EC4"/>
    <w:rsid w:val="793FB7A1"/>
    <w:rsid w:val="7A66B182"/>
    <w:rsid w:val="7A9C06E1"/>
    <w:rsid w:val="7AB91678"/>
    <w:rsid w:val="7B8F578C"/>
    <w:rsid w:val="7B9A66EF"/>
    <w:rsid w:val="7B9B6ED9"/>
    <w:rsid w:val="7BAB6FC2"/>
    <w:rsid w:val="7BE411F0"/>
    <w:rsid w:val="7BFFD823"/>
    <w:rsid w:val="7C235B45"/>
    <w:rsid w:val="7C7918BC"/>
    <w:rsid w:val="7CCB66D7"/>
    <w:rsid w:val="7CFB395B"/>
    <w:rsid w:val="7D6F58DB"/>
    <w:rsid w:val="7DCE664D"/>
    <w:rsid w:val="7EE72273"/>
    <w:rsid w:val="7EF16FA7"/>
    <w:rsid w:val="7EF7CDD2"/>
    <w:rsid w:val="7F23145A"/>
    <w:rsid w:val="7F7BEB9D"/>
    <w:rsid w:val="7FBF2495"/>
    <w:rsid w:val="7FDCAB43"/>
    <w:rsid w:val="7FE15510"/>
    <w:rsid w:val="7FE91E78"/>
    <w:rsid w:val="7FF500C7"/>
    <w:rsid w:val="7FFDE69B"/>
    <w:rsid w:val="9CBD0B1A"/>
    <w:rsid w:val="A7F9C1DE"/>
    <w:rsid w:val="A9AD231D"/>
    <w:rsid w:val="ADFAC79E"/>
    <w:rsid w:val="AE7E1E17"/>
    <w:rsid w:val="B593FB7D"/>
    <w:rsid w:val="B9B92832"/>
    <w:rsid w:val="BCB7048F"/>
    <w:rsid w:val="BCF89F06"/>
    <w:rsid w:val="BEAF73DD"/>
    <w:rsid w:val="BF8E36EE"/>
    <w:rsid w:val="BFDFB85E"/>
    <w:rsid w:val="BFF739EC"/>
    <w:rsid w:val="C3F5BA26"/>
    <w:rsid w:val="D5DB8D8A"/>
    <w:rsid w:val="DDEFBA43"/>
    <w:rsid w:val="DEAFB90F"/>
    <w:rsid w:val="DF21B821"/>
    <w:rsid w:val="DFD76A11"/>
    <w:rsid w:val="E7FFE685"/>
    <w:rsid w:val="E9F71F09"/>
    <w:rsid w:val="EAFD8D58"/>
    <w:rsid w:val="EB6C770B"/>
    <w:rsid w:val="EBCD181E"/>
    <w:rsid w:val="EFFFDD70"/>
    <w:rsid w:val="F1B778F1"/>
    <w:rsid w:val="F3ED4243"/>
    <w:rsid w:val="F3FF743F"/>
    <w:rsid w:val="F4FF55F7"/>
    <w:rsid w:val="F7EFF966"/>
    <w:rsid w:val="F7FD911C"/>
    <w:rsid w:val="F9DF2CA6"/>
    <w:rsid w:val="FB3326CC"/>
    <w:rsid w:val="FBCE4D19"/>
    <w:rsid w:val="FBFE1D07"/>
    <w:rsid w:val="FDBF10AA"/>
    <w:rsid w:val="FE5FA0A2"/>
    <w:rsid w:val="FEAEC70B"/>
    <w:rsid w:val="FF57FBD6"/>
    <w:rsid w:val="FFB70466"/>
    <w:rsid w:val="FFBC3961"/>
    <w:rsid w:val="FFCF003E"/>
    <w:rsid w:val="FFEE6CF6"/>
    <w:rsid w:val="FFFCA7DD"/>
    <w:rsid w:val="FFFF3A53"/>
    <w:rsid w:val="FFFF9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9"/>
    <w:pPr>
      <w:spacing w:after="156" w:afterLines="50" w:line="640" w:lineRule="exact"/>
      <w:outlineLvl w:val="0"/>
    </w:pPr>
    <w:rPr>
      <w:rFonts w:ascii="方正小标宋简体" w:eastAsia="方正小标宋简体"/>
      <w:sz w:val="44"/>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3">
    <w:name w:val="名称2"/>
    <w:basedOn w:val="4"/>
    <w:qFormat/>
    <w:uiPriority w:val="0"/>
    <w:pPr>
      <w:spacing w:after="312" w:afterLines="100"/>
    </w:pPr>
    <w:rPr>
      <w:b w:val="0"/>
      <w:sz w:val="20"/>
    </w:rPr>
  </w:style>
  <w:style w:type="paragraph" w:customStyle="1" w:styleId="4">
    <w:name w:val="名称"/>
    <w:basedOn w:val="1"/>
    <w:qFormat/>
    <w:uiPriority w:val="0"/>
    <w:pPr>
      <w:jc w:val="center"/>
    </w:pPr>
    <w:rPr>
      <w:b/>
      <w:kern w:val="0"/>
      <w:sz w:val="44"/>
      <w:szCs w:val="20"/>
    </w:rPr>
  </w:style>
  <w:style w:type="paragraph" w:styleId="5">
    <w:name w:val="Normal Indent"/>
    <w:basedOn w:val="1"/>
    <w:next w:val="1"/>
    <w:qFormat/>
    <w:uiPriority w:val="99"/>
  </w:style>
  <w:style w:type="paragraph" w:styleId="6">
    <w:name w:val="annotation text"/>
    <w:basedOn w:val="1"/>
    <w:qFormat/>
    <w:uiPriority w:val="0"/>
    <w:pPr>
      <w:jc w:val="left"/>
    </w:pPr>
  </w:style>
  <w:style w:type="paragraph" w:styleId="7">
    <w:name w:val="Body Text"/>
    <w:basedOn w:val="1"/>
    <w:link w:val="18"/>
    <w:unhideWhenUsed/>
    <w:qFormat/>
    <w:uiPriority w:val="99"/>
    <w:pPr>
      <w:spacing w:after="120"/>
    </w:p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0"/>
    <w:pPr>
      <w:ind w:left="420" w:leftChars="200"/>
    </w:pPr>
    <w:rPr>
      <w:rFonts w:ascii="Times New Roman" w:hAnsi="Times New Roman" w:eastAsia="宋体"/>
      <w:sz w:val="30"/>
    </w:rPr>
  </w:style>
  <w:style w:type="paragraph" w:styleId="11">
    <w:name w:val="Body Text First Indent"/>
    <w:basedOn w:val="7"/>
    <w:qFormat/>
    <w:uiPriority w:val="0"/>
    <w:pPr>
      <w:ind w:firstLine="420" w:firstLineChars="10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qFormat/>
    <w:uiPriority w:val="0"/>
    <w:rPr>
      <w:rFonts w:ascii="Times New Roman" w:hAnsi="Times New Roman" w:eastAsia="宋体" w:cs="Simplified Arabic"/>
      <w:sz w:val="24"/>
      <w:szCs w:val="24"/>
      <w:lang w:val="en-GB" w:bidi="ar-AE"/>
    </w:rPr>
  </w:style>
  <w:style w:type="character" w:customStyle="1" w:styleId="16">
    <w:name w:val="页眉 字符"/>
    <w:basedOn w:val="14"/>
    <w:link w:val="9"/>
    <w:qFormat/>
    <w:uiPriority w:val="0"/>
    <w:rPr>
      <w:rFonts w:ascii="Times New Roman" w:hAnsi="Times New Roman" w:eastAsia="宋体" w:cs="Times New Roman"/>
      <w:kern w:val="2"/>
      <w:sz w:val="18"/>
      <w:szCs w:val="18"/>
    </w:rPr>
  </w:style>
  <w:style w:type="character" w:customStyle="1" w:styleId="17">
    <w:name w:val="页脚 字符"/>
    <w:basedOn w:val="14"/>
    <w:link w:val="8"/>
    <w:qFormat/>
    <w:uiPriority w:val="0"/>
    <w:rPr>
      <w:rFonts w:ascii="Times New Roman" w:hAnsi="Times New Roman" w:eastAsia="宋体" w:cs="Times New Roman"/>
      <w:kern w:val="2"/>
      <w:sz w:val="18"/>
      <w:szCs w:val="18"/>
    </w:rPr>
  </w:style>
  <w:style w:type="character" w:customStyle="1" w:styleId="18">
    <w:name w:val="正文文本 字符"/>
    <w:basedOn w:val="14"/>
    <w:link w:val="7"/>
    <w:qFormat/>
    <w:uiPriority w:val="99"/>
    <w:rPr>
      <w:rFonts w:ascii="Times New Roman" w:hAnsi="Times New Roman" w:eastAsia="宋体" w:cs="Times New Roman"/>
      <w:kern w:val="2"/>
      <w:sz w:val="21"/>
      <w:szCs w:val="24"/>
    </w:rPr>
  </w:style>
  <w:style w:type="paragraph" w:styleId="19">
    <w:name w:val="List Paragraph"/>
    <w:basedOn w:val="1"/>
    <w:qFormat/>
    <w:uiPriority w:val="99"/>
    <w:pPr>
      <w:ind w:firstLine="420" w:firstLineChars="200"/>
    </w:pPr>
  </w:style>
  <w:style w:type="paragraph" w:customStyle="1" w:styleId="20">
    <w:name w:val="Footer Right"/>
    <w:basedOn w:val="8"/>
    <w:qFormat/>
    <w:uiPriority w:val="0"/>
    <w:pPr>
      <w:jc w:val="right"/>
    </w:pPr>
  </w:style>
  <w:style w:type="paragraph" w:customStyle="1" w:styleId="21">
    <w:name w:val="KWMCN-标准"/>
    <w:qFormat/>
    <w:uiPriority w:val="0"/>
    <w:p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table" w:customStyle="1" w:styleId="2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其他省直机关单位</Company>
  <Pages>2</Pages>
  <Words>1103</Words>
  <Characters>1180</Characters>
  <Lines>1</Lines>
  <Paragraphs>1</Paragraphs>
  <TotalTime>0</TotalTime>
  <ScaleCrop>false</ScaleCrop>
  <LinksUpToDate>false</LinksUpToDate>
  <CharactersWithSpaces>1186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2023-02-26T17:34:00Z</dcterms:created>
  <dc:creator>张斌（反垄断处）</dc:creator>
  <cp:lastModifiedBy>DC</cp:lastModifiedBy>
  <cp:lastPrinted>2024-08-01T01:27:00Z</cp:lastPrinted>
  <dcterms:modified xsi:type="dcterms:W3CDTF">2025-04-07T03:01:21Z</dcterms:modified>
  <dc:title>关于经营者集中反垄断审查案件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80BCD81C53D34D5C981D643CB9AC1408_13</vt:lpwstr>
  </property>
  <property fmtid="{D5CDD505-2E9C-101B-9397-08002B2CF9AE}" pid="4" name="KSOTemplateDocerSaveRecord">
    <vt:lpwstr>eyJoZGlkIjoiMWE5Mjk0ZmJkM2QzN2I2MzA4N2VlNTRiZTY0MTU4ZjkiLCJ1c2VySWQiOiI0MDIxOTI3NTcifQ==</vt:lpwstr>
  </property>
</Properties>
</file>