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9049E">
      <w:pPr>
        <w:widowControl w:val="0"/>
        <w:adjustRightInd w:val="0"/>
        <w:snapToGrid w:val="0"/>
        <w:spacing w:after="120"/>
        <w:jc w:val="center"/>
        <w:rPr>
          <w:rFonts w:ascii="黑体" w:hAnsi="黑体" w:eastAsia="黑体"/>
          <w:b w:val="0"/>
          <w:bCs w:val="0"/>
          <w:kern w:val="2"/>
          <w:sz w:val="36"/>
          <w:szCs w:val="36"/>
          <w:lang w:bidi="ar-SA"/>
        </w:rPr>
      </w:pPr>
      <w:r>
        <w:rPr>
          <w:rFonts w:ascii="黑体" w:hAnsi="黑体" w:eastAsia="黑体"/>
          <w:b w:val="0"/>
          <w:bCs w:val="0"/>
          <w:kern w:val="2"/>
          <w:sz w:val="36"/>
          <w:szCs w:val="36"/>
          <w:lang w:bidi="ar-SA"/>
        </w:rPr>
        <w:t>经营者集中简易案件公示表</w:t>
      </w:r>
      <w:bookmarkStart w:id="0" w:name="_GoBack"/>
      <w:bookmarkEnd w:id="0"/>
    </w:p>
    <w:p w14:paraId="6DD52D1C">
      <w:pPr>
        <w:widowControl w:val="0"/>
        <w:adjustRightInd w:val="0"/>
        <w:snapToGrid w:val="0"/>
        <w:spacing w:after="120"/>
        <w:jc w:val="center"/>
        <w:rPr>
          <w:rFonts w:ascii="Times New Roman" w:hAnsi="Times New Roman" w:eastAsia="宋体"/>
          <w:b/>
          <w:bCs/>
          <w:kern w:val="2"/>
          <w:sz w:val="32"/>
          <w:szCs w:val="32"/>
          <w:lang w:bidi="ar-SA"/>
        </w:rPr>
      </w:pPr>
    </w:p>
    <w:tbl>
      <w:tblPr>
        <w:tblStyle w:val="8"/>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429"/>
        <w:gridCol w:w="4110"/>
      </w:tblGrid>
      <w:tr w14:paraId="49EB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Borders>
              <w:top w:val="single" w:color="auto" w:sz="4" w:space="0"/>
              <w:left w:val="single" w:color="auto" w:sz="4" w:space="0"/>
              <w:bottom w:val="single" w:color="auto" w:sz="4" w:space="0"/>
              <w:right w:val="single" w:color="auto" w:sz="4" w:space="0"/>
            </w:tcBorders>
            <w:shd w:val="clear" w:color="auto" w:fill="D9D9D9"/>
          </w:tcPr>
          <w:p w14:paraId="15A86B92">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kern w:val="2"/>
                <w:sz w:val="24"/>
                <w:szCs w:val="24"/>
                <w:lang w:bidi="ar-SA"/>
              </w:rPr>
              <w:t>交易名称</w:t>
            </w:r>
          </w:p>
        </w:tc>
        <w:tc>
          <w:tcPr>
            <w:tcW w:w="6539" w:type="dxa"/>
            <w:gridSpan w:val="2"/>
            <w:tcBorders>
              <w:top w:val="single" w:color="auto" w:sz="4" w:space="0"/>
              <w:left w:val="single" w:color="auto" w:sz="4" w:space="0"/>
              <w:bottom w:val="single" w:color="auto" w:sz="4" w:space="0"/>
              <w:right w:val="single" w:color="auto" w:sz="4" w:space="0"/>
            </w:tcBorders>
          </w:tcPr>
          <w:p w14:paraId="79338E69">
            <w:pPr>
              <w:pStyle w:val="3"/>
              <w:adjustRightInd w:val="0"/>
              <w:snapToGrid w:val="0"/>
              <w:spacing w:after="120"/>
              <w:rPr>
                <w:rFonts w:eastAsia="宋体" w:cs="Times New Roman"/>
                <w:lang w:eastAsia="zh-CN" w:bidi="ar-SA"/>
              </w:rPr>
            </w:pPr>
            <w:r>
              <w:rPr>
                <w:rFonts w:hint="eastAsia" w:eastAsia="宋体" w:cs="Times New Roman"/>
                <w:kern w:val="2"/>
                <w:lang w:val="en-US" w:eastAsia="zh-CN" w:bidi="ar-SA"/>
              </w:rPr>
              <w:t>沃灵顿投资私人有限公司与英联普通合伙有限责任合伙企业收购</w:t>
            </w:r>
            <w:r>
              <w:rPr>
                <w:rFonts w:eastAsia="宋体" w:cs="Times New Roman"/>
                <w:kern w:val="2"/>
                <w:lang w:val="en-US" w:eastAsia="zh-CN" w:bidi="ar-SA"/>
              </w:rPr>
              <w:t>Serena</w:t>
            </w:r>
            <w:r>
              <w:rPr>
                <w:rFonts w:hint="eastAsia" w:eastAsia="宋体" w:cs="Times New Roman"/>
                <w:kern w:val="2"/>
                <w:lang w:val="en-US" w:eastAsia="zh-CN" w:bidi="ar-SA"/>
              </w:rPr>
              <w:t>能源股份有限公司股权案</w:t>
            </w:r>
          </w:p>
        </w:tc>
      </w:tr>
      <w:tr w14:paraId="1324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36" w:type="dxa"/>
            <w:tcBorders>
              <w:top w:val="single" w:color="auto" w:sz="4" w:space="0"/>
              <w:left w:val="single" w:color="auto" w:sz="4" w:space="0"/>
              <w:bottom w:val="single" w:color="auto" w:sz="4" w:space="0"/>
              <w:right w:val="single" w:color="auto" w:sz="4" w:space="0"/>
            </w:tcBorders>
            <w:shd w:val="clear" w:color="auto" w:fill="D9D9D9"/>
          </w:tcPr>
          <w:p w14:paraId="63BD3256">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bCs/>
                <w:kern w:val="2"/>
                <w:sz w:val="24"/>
                <w:szCs w:val="24"/>
                <w:lang w:val="en-GB" w:bidi="ar-SA"/>
              </w:rPr>
              <w:t>交易概况（限200字内）</w:t>
            </w:r>
          </w:p>
        </w:tc>
        <w:tc>
          <w:tcPr>
            <w:tcW w:w="6539" w:type="dxa"/>
            <w:gridSpan w:val="2"/>
            <w:tcBorders>
              <w:top w:val="single" w:color="auto" w:sz="4" w:space="0"/>
              <w:left w:val="single" w:color="auto" w:sz="4" w:space="0"/>
              <w:bottom w:val="single" w:color="auto" w:sz="4" w:space="0"/>
              <w:right w:val="single" w:color="auto" w:sz="4" w:space="0"/>
            </w:tcBorders>
          </w:tcPr>
          <w:p w14:paraId="0FFB5CE9">
            <w:pPr>
              <w:pStyle w:val="21"/>
              <w:tabs>
                <w:tab w:val="left" w:pos="1685"/>
                <w:tab w:val="left" w:pos="2630"/>
              </w:tabs>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根据签署版《投资协议》，英联普通合伙有限责任合伙企业（“</w:t>
            </w:r>
            <w:r>
              <w:rPr>
                <w:rFonts w:hint="eastAsia" w:ascii="Times New Roman" w:hAnsi="Times New Roman" w:eastAsia="宋体" w:cs="Times New Roman"/>
                <w:b/>
                <w:sz w:val="24"/>
                <w:szCs w:val="24"/>
              </w:rPr>
              <w:t>英联</w:t>
            </w:r>
            <w:r>
              <w:rPr>
                <w:rFonts w:hint="eastAsia" w:ascii="Times New Roman" w:hAnsi="Times New Roman" w:eastAsia="宋体" w:cs="Times New Roman"/>
                <w:bCs/>
                <w:sz w:val="24"/>
                <w:szCs w:val="24"/>
              </w:rPr>
              <w:t>”）和沃灵顿投资私人有限公司（“</w:t>
            </w:r>
            <w:r>
              <w:rPr>
                <w:rFonts w:hint="eastAsia" w:ascii="Times New Roman" w:hAnsi="Times New Roman" w:eastAsia="宋体" w:cs="Times New Roman"/>
                <w:b/>
                <w:sz w:val="24"/>
                <w:szCs w:val="24"/>
              </w:rPr>
              <w:t>沃灵顿</w:t>
            </w:r>
            <w:r>
              <w:rPr>
                <w:rFonts w:hint="eastAsia" w:ascii="Times New Roman" w:hAnsi="Times New Roman" w:eastAsia="宋体" w:cs="Times New Roman"/>
                <w:bCs/>
                <w:sz w:val="24"/>
                <w:szCs w:val="24"/>
              </w:rPr>
              <w:t>”）拟间接收购Serena能源股份有限公司（“</w:t>
            </w:r>
            <w:r>
              <w:rPr>
                <w:rFonts w:hint="eastAsia" w:ascii="Times New Roman" w:hAnsi="Times New Roman" w:eastAsia="宋体" w:cs="Times New Roman"/>
                <w:b/>
                <w:sz w:val="24"/>
                <w:szCs w:val="24"/>
              </w:rPr>
              <w:t>目标公司</w:t>
            </w:r>
            <w:r>
              <w:rPr>
                <w:rFonts w:hint="eastAsia" w:ascii="Times New Roman" w:hAnsi="Times New Roman" w:eastAsia="宋体" w:cs="Times New Roman"/>
                <w:bCs/>
                <w:sz w:val="24"/>
                <w:szCs w:val="24"/>
              </w:rPr>
              <w:t>”）至多所有的股份（“</w:t>
            </w:r>
            <w:r>
              <w:rPr>
                <w:rFonts w:hint="eastAsia" w:ascii="Times New Roman" w:hAnsi="Times New Roman" w:eastAsia="宋体" w:cs="Times New Roman"/>
                <w:b/>
                <w:sz w:val="24"/>
                <w:szCs w:val="24"/>
              </w:rPr>
              <w:t>本交易</w:t>
            </w:r>
            <w:r>
              <w:rPr>
                <w:rFonts w:hint="eastAsia" w:ascii="Times New Roman" w:hAnsi="Times New Roman" w:eastAsia="宋体" w:cs="Times New Roman"/>
                <w:bCs/>
                <w:sz w:val="24"/>
                <w:szCs w:val="24"/>
              </w:rPr>
              <w:t>”）。目标公司在中国境外从事发电和电力销售业务，其主要在巴西开展业务活动。</w:t>
            </w:r>
          </w:p>
          <w:p w14:paraId="7D478752">
            <w:pPr>
              <w:pStyle w:val="21"/>
              <w:tabs>
                <w:tab w:val="left" w:pos="1685"/>
                <w:tab w:val="left" w:pos="2630"/>
              </w:tabs>
              <w:jc w:val="both"/>
              <w:rPr>
                <w:rFonts w:ascii="Times New Roman" w:hAnsi="Times New Roman" w:eastAsia="宋体" w:cs="Times New Roman"/>
                <w:bCs/>
                <w:sz w:val="24"/>
                <w:szCs w:val="24"/>
              </w:rPr>
            </w:pPr>
          </w:p>
          <w:p w14:paraId="05D04EB5">
            <w:pPr>
              <w:pStyle w:val="21"/>
              <w:tabs>
                <w:tab w:val="left" w:pos="1685"/>
                <w:tab w:val="left" w:pos="2630"/>
              </w:tabs>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本交易前，Tarpon基金和Lambda投资工具分别持有目标公司20.3%和10.6%的股份并共同控制目标公司，英联间接持有约</w:t>
            </w:r>
            <w:r>
              <w:rPr>
                <w:rFonts w:ascii="Times New Roman" w:hAnsi="Times New Roman" w:eastAsia="宋体" w:cs="Times New Roman"/>
                <w:bCs/>
                <w:sz w:val="24"/>
                <w:szCs w:val="24"/>
              </w:rPr>
              <w:t>27.4%</w:t>
            </w:r>
            <w:r>
              <w:rPr>
                <w:rFonts w:hint="eastAsia" w:ascii="Times New Roman" w:hAnsi="Times New Roman" w:eastAsia="宋体" w:cs="Times New Roman"/>
                <w:bCs/>
                <w:sz w:val="24"/>
                <w:szCs w:val="24"/>
              </w:rPr>
              <w:t>的非控股股份，其余股份为自由流通股。</w:t>
            </w:r>
          </w:p>
          <w:p w14:paraId="3875A3D9">
            <w:pPr>
              <w:pStyle w:val="21"/>
              <w:tabs>
                <w:tab w:val="left" w:pos="1685"/>
                <w:tab w:val="left" w:pos="2630"/>
              </w:tabs>
              <w:jc w:val="both"/>
              <w:rPr>
                <w:rFonts w:ascii="Times New Roman" w:hAnsi="Times New Roman" w:eastAsia="宋体" w:cs="Times New Roman"/>
                <w:bCs/>
                <w:sz w:val="24"/>
                <w:szCs w:val="24"/>
              </w:rPr>
            </w:pPr>
          </w:p>
          <w:p w14:paraId="11455D64">
            <w:pPr>
              <w:pStyle w:val="21"/>
              <w:tabs>
                <w:tab w:val="left" w:pos="1685"/>
                <w:tab w:val="left" w:pos="2630"/>
              </w:tabs>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本交易后，英联预计将间接持有目标公司超50%的股份，沃灵顿将间接持有目标公司20%-40%的股份，二者将间接共同控制目标公司。</w:t>
            </w:r>
            <w:r>
              <w:rPr>
                <w:rFonts w:ascii="Times New Roman" w:hAnsi="Times New Roman" w:eastAsia="宋体" w:cs="Times New Roman"/>
                <w:bCs/>
                <w:sz w:val="24"/>
                <w:szCs w:val="24"/>
              </w:rPr>
              <w:t>Tarpon</w:t>
            </w:r>
            <w:r>
              <w:rPr>
                <w:rFonts w:hint="eastAsia" w:ascii="Times New Roman" w:hAnsi="Times New Roman" w:eastAsia="宋体" w:cs="Times New Roman"/>
                <w:bCs/>
                <w:sz w:val="24"/>
                <w:szCs w:val="24"/>
              </w:rPr>
              <w:t>基金将出售股权并退出目标公司；Lambda投资工具将部分出售其股份，最终持有目标公司约4%的股份，并不再拥有控制权。</w:t>
            </w:r>
          </w:p>
          <w:p w14:paraId="6C40F5D7">
            <w:pPr>
              <w:pStyle w:val="21"/>
              <w:tabs>
                <w:tab w:val="left" w:pos="1685"/>
                <w:tab w:val="left" w:pos="2630"/>
              </w:tabs>
              <w:jc w:val="both"/>
              <w:rPr>
                <w:rFonts w:ascii="Times New Roman" w:hAnsi="Times New Roman" w:eastAsia="宋体" w:cs="Times New Roman"/>
                <w:bCs/>
                <w:sz w:val="24"/>
                <w:szCs w:val="24"/>
              </w:rPr>
            </w:pPr>
          </w:p>
        </w:tc>
      </w:tr>
      <w:tr w14:paraId="5E6E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36" w:type="dxa"/>
            <w:vMerge w:val="restart"/>
            <w:tcBorders>
              <w:top w:val="single" w:color="auto" w:sz="4" w:space="0"/>
              <w:left w:val="single" w:color="auto" w:sz="4" w:space="0"/>
              <w:right w:val="single" w:color="auto" w:sz="4" w:space="0"/>
            </w:tcBorders>
            <w:shd w:val="clear" w:color="auto" w:fill="D9D9D9"/>
          </w:tcPr>
          <w:p w14:paraId="6D3EF9E5">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kern w:val="2"/>
                <w:sz w:val="24"/>
                <w:szCs w:val="24"/>
                <w:lang w:bidi="ar-SA"/>
              </w:rPr>
              <w:t>参与集中的经营者简介</w:t>
            </w:r>
          </w:p>
        </w:tc>
        <w:tc>
          <w:tcPr>
            <w:tcW w:w="2429" w:type="dxa"/>
            <w:tcBorders>
              <w:top w:val="single" w:color="auto" w:sz="4" w:space="0"/>
              <w:left w:val="single" w:color="auto" w:sz="4" w:space="0"/>
              <w:bottom w:val="single" w:color="auto" w:sz="4" w:space="0"/>
              <w:right w:val="single" w:color="auto" w:sz="4" w:space="0"/>
            </w:tcBorders>
          </w:tcPr>
          <w:p w14:paraId="2405BED4">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kern w:val="2"/>
                <w:sz w:val="24"/>
                <w:szCs w:val="24"/>
                <w:lang w:bidi="ar-SA"/>
              </w:rPr>
              <w:t xml:space="preserve">1. </w:t>
            </w:r>
            <w:r>
              <w:rPr>
                <w:rFonts w:hint="eastAsia" w:ascii="Times New Roman" w:hAnsi="Times New Roman" w:eastAsia="宋体"/>
                <w:kern w:val="2"/>
                <w:sz w:val="24"/>
                <w:szCs w:val="24"/>
                <w:lang w:bidi="ar-SA"/>
              </w:rPr>
              <w:t>英联</w:t>
            </w:r>
          </w:p>
        </w:tc>
        <w:tc>
          <w:tcPr>
            <w:tcW w:w="4110" w:type="dxa"/>
            <w:tcBorders>
              <w:top w:val="single" w:color="auto" w:sz="4" w:space="0"/>
              <w:left w:val="single" w:color="auto" w:sz="4" w:space="0"/>
              <w:bottom w:val="single" w:color="auto" w:sz="4" w:space="0"/>
              <w:right w:val="single" w:color="auto" w:sz="4" w:space="0"/>
            </w:tcBorders>
          </w:tcPr>
          <w:p w14:paraId="209F0027">
            <w:pPr>
              <w:widowControl w:val="0"/>
              <w:adjustRightInd w:val="0"/>
              <w:snapToGrid w:val="0"/>
              <w:spacing w:after="120"/>
              <w:jc w:val="both"/>
              <w:rPr>
                <w:rFonts w:ascii="Times New Roman" w:hAnsi="Times New Roman" w:eastAsia="宋体"/>
                <w:bCs/>
                <w:kern w:val="2"/>
                <w:sz w:val="24"/>
                <w:szCs w:val="24"/>
                <w:lang w:bidi="ar-SA"/>
              </w:rPr>
            </w:pPr>
            <w:r>
              <w:rPr>
                <w:rFonts w:hint="eastAsia" w:ascii="Times New Roman" w:hAnsi="Times New Roman" w:eastAsia="宋体"/>
                <w:bCs/>
                <w:kern w:val="2"/>
                <w:sz w:val="24"/>
                <w:szCs w:val="24"/>
                <w:lang w:bidi="ar-SA"/>
              </w:rPr>
              <w:t>英联于2013年7月5日在英国成立，</w:t>
            </w:r>
            <w:r>
              <w:rPr>
                <w:rFonts w:ascii="Times New Roman" w:hAnsi="Times New Roman" w:eastAsia="宋体"/>
                <w:bCs/>
                <w:kern w:val="2"/>
                <w:sz w:val="24"/>
                <w:szCs w:val="24"/>
                <w:lang w:bidi="ar-SA"/>
              </w:rPr>
              <w:t>是</w:t>
            </w:r>
            <w:r>
              <w:rPr>
                <w:rFonts w:hint="eastAsia" w:ascii="Times New Roman" w:hAnsi="Times New Roman" w:eastAsia="宋体"/>
                <w:bCs/>
                <w:kern w:val="2"/>
                <w:sz w:val="24"/>
                <w:szCs w:val="24"/>
                <w:lang w:bidi="ar-SA"/>
              </w:rPr>
              <w:t>一家全球投资者，</w:t>
            </w:r>
            <w:r>
              <w:rPr>
                <w:rFonts w:ascii="Times New Roman" w:hAnsi="Times New Roman" w:eastAsia="宋体"/>
                <w:bCs/>
                <w:kern w:val="2"/>
                <w:sz w:val="24"/>
                <w:szCs w:val="24"/>
                <w:lang w:bidi="ar-SA"/>
              </w:rPr>
              <w:t>专注于可持续基础设施领域，特别是能源基础设施、长寿基础设施、数字基础设施、房地产和私募股权领域。</w:t>
            </w:r>
          </w:p>
          <w:p w14:paraId="0B768F94">
            <w:pPr>
              <w:widowControl w:val="0"/>
              <w:adjustRightInd w:val="0"/>
              <w:snapToGrid w:val="0"/>
              <w:spacing w:after="120"/>
              <w:jc w:val="both"/>
              <w:rPr>
                <w:rFonts w:ascii="Times New Roman" w:hAnsi="Times New Roman" w:eastAsia="宋体"/>
                <w:bCs/>
                <w:kern w:val="2"/>
                <w:sz w:val="24"/>
                <w:szCs w:val="24"/>
                <w:lang w:bidi="ar-SA"/>
              </w:rPr>
            </w:pPr>
            <w:r>
              <w:rPr>
                <w:rFonts w:hint="eastAsia" w:ascii="Times New Roman" w:hAnsi="Times New Roman" w:eastAsia="宋体"/>
                <w:bCs/>
                <w:kern w:val="2"/>
                <w:sz w:val="24"/>
                <w:szCs w:val="24"/>
                <w:lang w:bidi="ar-SA"/>
              </w:rPr>
              <w:t>英联的最终控制人是泛大西洋投资合伙有限合伙，连同其关联基金和控制的投资组合公司，合称为泛大西洋投资集团。泛大西洋投资集团</w:t>
            </w:r>
            <w:r>
              <w:rPr>
                <w:rFonts w:ascii="Times New Roman" w:hAnsi="Times New Roman" w:eastAsia="宋体"/>
                <w:bCs/>
                <w:kern w:val="2"/>
                <w:sz w:val="24"/>
                <w:szCs w:val="24"/>
                <w:lang w:bidi="ar-SA"/>
              </w:rPr>
              <w:t>是一家全球成长型</w:t>
            </w:r>
            <w:r>
              <w:rPr>
                <w:rFonts w:hint="eastAsia" w:ascii="Times New Roman" w:hAnsi="Times New Roman" w:eastAsia="宋体"/>
                <w:bCs/>
                <w:kern w:val="2"/>
                <w:sz w:val="24"/>
                <w:szCs w:val="24"/>
                <w:lang w:bidi="ar-SA"/>
              </w:rPr>
              <w:t>投资者。</w:t>
            </w:r>
          </w:p>
        </w:tc>
      </w:tr>
      <w:tr w14:paraId="4B43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36" w:type="dxa"/>
            <w:vMerge w:val="continue"/>
            <w:tcBorders>
              <w:left w:val="single" w:color="auto" w:sz="4" w:space="0"/>
              <w:right w:val="single" w:color="auto" w:sz="4" w:space="0"/>
            </w:tcBorders>
            <w:shd w:val="clear" w:color="auto" w:fill="D9D9D9"/>
          </w:tcPr>
          <w:p w14:paraId="6B01CCC7">
            <w:pPr>
              <w:widowControl w:val="0"/>
              <w:adjustRightInd w:val="0"/>
              <w:snapToGrid w:val="0"/>
              <w:spacing w:after="120"/>
              <w:rPr>
                <w:rFonts w:ascii="Times New Roman" w:hAnsi="Times New Roman" w:eastAsia="宋体"/>
                <w:kern w:val="2"/>
                <w:sz w:val="24"/>
                <w:szCs w:val="24"/>
                <w:lang w:bidi="ar-SA"/>
              </w:rPr>
            </w:pPr>
          </w:p>
        </w:tc>
        <w:tc>
          <w:tcPr>
            <w:tcW w:w="2429" w:type="dxa"/>
            <w:tcBorders>
              <w:top w:val="single" w:color="auto" w:sz="4" w:space="0"/>
              <w:left w:val="single" w:color="auto" w:sz="4" w:space="0"/>
              <w:bottom w:val="single" w:color="auto" w:sz="4" w:space="0"/>
              <w:right w:val="single" w:color="auto" w:sz="4" w:space="0"/>
            </w:tcBorders>
          </w:tcPr>
          <w:p w14:paraId="3F19D5C5">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kern w:val="2"/>
                <w:sz w:val="24"/>
                <w:szCs w:val="24"/>
                <w:lang w:bidi="ar-SA"/>
              </w:rPr>
              <w:t xml:space="preserve">2. </w:t>
            </w:r>
            <w:r>
              <w:rPr>
                <w:rFonts w:hint="eastAsia" w:ascii="Times New Roman" w:hAnsi="Times New Roman" w:eastAsia="宋体"/>
                <w:kern w:val="2"/>
                <w:sz w:val="24"/>
                <w:szCs w:val="24"/>
                <w:lang w:bidi="ar-SA"/>
              </w:rPr>
              <w:t>沃灵顿</w:t>
            </w:r>
          </w:p>
        </w:tc>
        <w:tc>
          <w:tcPr>
            <w:tcW w:w="4110" w:type="dxa"/>
            <w:tcBorders>
              <w:top w:val="single" w:color="auto" w:sz="4" w:space="0"/>
              <w:left w:val="single" w:color="auto" w:sz="4" w:space="0"/>
              <w:bottom w:val="single" w:color="auto" w:sz="4" w:space="0"/>
              <w:right w:val="single" w:color="auto" w:sz="4" w:space="0"/>
            </w:tcBorders>
          </w:tcPr>
          <w:p w14:paraId="2430CB54">
            <w:pPr>
              <w:widowControl w:val="0"/>
              <w:adjustRightInd w:val="0"/>
              <w:snapToGrid w:val="0"/>
              <w:spacing w:after="120"/>
              <w:jc w:val="both"/>
              <w:rPr>
                <w:rFonts w:ascii="Times New Roman" w:hAnsi="Times New Roman" w:eastAsia="宋体"/>
                <w:bCs/>
                <w:kern w:val="2"/>
                <w:sz w:val="24"/>
                <w:szCs w:val="24"/>
                <w:lang w:bidi="ar-SA"/>
              </w:rPr>
            </w:pPr>
            <w:r>
              <w:rPr>
                <w:rFonts w:hint="eastAsia" w:ascii="Times New Roman" w:hAnsi="Times New Roman" w:eastAsia="宋体"/>
                <w:bCs/>
                <w:kern w:val="2"/>
                <w:sz w:val="24"/>
                <w:szCs w:val="24"/>
                <w:lang w:bidi="ar-SA"/>
              </w:rPr>
              <w:t>沃灵顿于</w:t>
            </w:r>
            <w:r>
              <w:rPr>
                <w:rFonts w:ascii="Times New Roman" w:hAnsi="Times New Roman" w:eastAsia="宋体"/>
                <w:bCs/>
                <w:kern w:val="2"/>
                <w:sz w:val="24"/>
                <w:szCs w:val="24"/>
                <w:lang w:bidi="ar-SA"/>
              </w:rPr>
              <w:t>2010</w:t>
            </w:r>
            <w:r>
              <w:rPr>
                <w:rFonts w:hint="eastAsia" w:ascii="Times New Roman" w:hAnsi="Times New Roman" w:eastAsia="宋体"/>
                <w:bCs/>
                <w:kern w:val="2"/>
                <w:sz w:val="24"/>
                <w:szCs w:val="24"/>
                <w:lang w:bidi="ar-SA"/>
              </w:rPr>
              <w:t>年</w:t>
            </w:r>
            <w:r>
              <w:rPr>
                <w:rFonts w:ascii="Times New Roman" w:hAnsi="Times New Roman" w:eastAsia="宋体"/>
                <w:bCs/>
                <w:kern w:val="2"/>
                <w:sz w:val="24"/>
                <w:szCs w:val="24"/>
                <w:lang w:bidi="ar-SA"/>
              </w:rPr>
              <w:t>8</w:t>
            </w:r>
            <w:r>
              <w:rPr>
                <w:rFonts w:hint="eastAsia" w:ascii="Times New Roman" w:hAnsi="Times New Roman" w:eastAsia="宋体"/>
                <w:bCs/>
                <w:kern w:val="2"/>
                <w:sz w:val="24"/>
                <w:szCs w:val="24"/>
                <w:lang w:bidi="ar-SA"/>
              </w:rPr>
              <w:t>月</w:t>
            </w:r>
            <w:r>
              <w:rPr>
                <w:rFonts w:ascii="Times New Roman" w:hAnsi="Times New Roman" w:eastAsia="宋体"/>
                <w:bCs/>
                <w:kern w:val="2"/>
                <w:sz w:val="24"/>
                <w:szCs w:val="24"/>
                <w:lang w:bidi="ar-SA"/>
              </w:rPr>
              <w:t>23</w:t>
            </w:r>
            <w:r>
              <w:rPr>
                <w:rFonts w:hint="eastAsia" w:ascii="Times New Roman" w:hAnsi="Times New Roman" w:eastAsia="宋体"/>
                <w:bCs/>
                <w:kern w:val="2"/>
                <w:sz w:val="24"/>
                <w:szCs w:val="24"/>
                <w:lang w:bidi="ar-SA"/>
              </w:rPr>
              <w:t>日成立于新加坡。沃灵顿是一家投资公司，其成立的目的是进行私募股权和基础设施投资。</w:t>
            </w:r>
          </w:p>
          <w:p w14:paraId="5D2ABA8F">
            <w:pPr>
              <w:widowControl w:val="0"/>
              <w:adjustRightInd w:val="0"/>
              <w:snapToGrid w:val="0"/>
              <w:spacing w:after="120"/>
              <w:jc w:val="both"/>
              <w:rPr>
                <w:rFonts w:ascii="Times New Roman" w:hAnsi="Times New Roman" w:eastAsia="宋体"/>
                <w:kern w:val="2"/>
                <w:sz w:val="24"/>
              </w:rPr>
            </w:pPr>
            <w:r>
              <w:rPr>
                <w:rFonts w:hint="eastAsia" w:ascii="Times New Roman" w:hAnsi="Times New Roman" w:eastAsia="宋体"/>
                <w:bCs/>
                <w:kern w:val="2"/>
                <w:sz w:val="24"/>
                <w:szCs w:val="24"/>
                <w:lang w:bidi="ar-SA"/>
              </w:rPr>
              <w:t>沃灵顿的最终控制人是</w:t>
            </w:r>
            <w:r>
              <w:rPr>
                <w:rFonts w:ascii="Times New Roman" w:hAnsi="Times New Roman" w:eastAsia="宋体"/>
                <w:bCs/>
                <w:kern w:val="2"/>
                <w:sz w:val="24"/>
                <w:szCs w:val="24"/>
                <w:lang w:bidi="ar-SA"/>
              </w:rPr>
              <w:t>GIC (Ventures) Pt</w:t>
            </w:r>
            <w:r>
              <w:rPr>
                <w:rFonts w:hint="eastAsia" w:ascii="Times New Roman" w:hAnsi="Times New Roman" w:eastAsia="宋体"/>
                <w:bCs/>
                <w:kern w:val="2"/>
                <w:sz w:val="24"/>
                <w:szCs w:val="24"/>
                <w:lang w:bidi="ar-SA"/>
              </w:rPr>
              <w:t>e</w:t>
            </w:r>
            <w:r>
              <w:rPr>
                <w:rFonts w:ascii="Times New Roman" w:hAnsi="Times New Roman" w:eastAsia="宋体"/>
                <w:bCs/>
                <w:kern w:val="2"/>
                <w:sz w:val="24"/>
                <w:szCs w:val="24"/>
                <w:lang w:bidi="ar-SA"/>
              </w:rPr>
              <w:t>. Ltd.</w:t>
            </w:r>
            <w:r>
              <w:rPr>
                <w:rFonts w:hint="eastAsia" w:ascii="Times New Roman" w:hAnsi="Times New Roman" w:eastAsia="宋体"/>
                <w:bCs/>
                <w:kern w:val="2"/>
                <w:sz w:val="24"/>
                <w:szCs w:val="24"/>
                <w:lang w:bidi="ar-SA"/>
              </w:rPr>
              <w:t>（“</w:t>
            </w:r>
            <w:r>
              <w:rPr>
                <w:rFonts w:ascii="Times New Roman" w:hAnsi="Times New Roman" w:eastAsia="宋体"/>
                <w:b/>
                <w:kern w:val="2"/>
                <w:sz w:val="24"/>
                <w:szCs w:val="24"/>
                <w:lang w:bidi="ar-SA"/>
              </w:rPr>
              <w:t>GIC Ventures</w:t>
            </w:r>
            <w:r>
              <w:rPr>
                <w:rFonts w:hint="eastAsia" w:ascii="Times New Roman" w:hAnsi="Times New Roman" w:eastAsia="宋体"/>
                <w:bCs/>
                <w:kern w:val="2"/>
                <w:sz w:val="24"/>
                <w:szCs w:val="24"/>
                <w:lang w:bidi="ar-SA"/>
              </w:rPr>
              <w:t>”）。</w:t>
            </w:r>
            <w:r>
              <w:rPr>
                <w:rFonts w:ascii="Times New Roman" w:hAnsi="Times New Roman" w:eastAsia="宋体"/>
                <w:bCs/>
                <w:kern w:val="2"/>
                <w:sz w:val="24"/>
                <w:szCs w:val="24"/>
                <w:lang w:bidi="ar-SA"/>
              </w:rPr>
              <w:t>GIC Ventures</w:t>
            </w:r>
            <w:r>
              <w:rPr>
                <w:rFonts w:hint="eastAsia" w:ascii="Times New Roman" w:hAnsi="Times New Roman" w:eastAsia="宋体"/>
                <w:bCs/>
                <w:kern w:val="2"/>
                <w:sz w:val="24"/>
                <w:szCs w:val="24"/>
                <w:lang w:bidi="ar-SA"/>
              </w:rPr>
              <w:t>是一家投资控股公司，主要从事私募股权和基础设施投资。</w:t>
            </w:r>
          </w:p>
        </w:tc>
      </w:tr>
      <w:tr w14:paraId="3D4B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36" w:type="dxa"/>
            <w:vMerge w:val="continue"/>
            <w:tcBorders>
              <w:left w:val="single" w:color="auto" w:sz="4" w:space="0"/>
              <w:bottom w:val="single" w:color="auto" w:sz="4" w:space="0"/>
              <w:right w:val="single" w:color="auto" w:sz="4" w:space="0"/>
            </w:tcBorders>
            <w:shd w:val="clear" w:color="auto" w:fill="D9D9D9"/>
          </w:tcPr>
          <w:p w14:paraId="3F039B3F">
            <w:pPr>
              <w:widowControl w:val="0"/>
              <w:adjustRightInd w:val="0"/>
              <w:snapToGrid w:val="0"/>
              <w:spacing w:after="120"/>
              <w:rPr>
                <w:rFonts w:ascii="Times New Roman" w:hAnsi="Times New Roman" w:eastAsia="宋体"/>
                <w:kern w:val="2"/>
                <w:sz w:val="24"/>
                <w:szCs w:val="24"/>
                <w:lang w:bidi="ar-SA"/>
              </w:rPr>
            </w:pPr>
          </w:p>
        </w:tc>
        <w:tc>
          <w:tcPr>
            <w:tcW w:w="2429" w:type="dxa"/>
            <w:tcBorders>
              <w:top w:val="single" w:color="auto" w:sz="4" w:space="0"/>
              <w:left w:val="single" w:color="auto" w:sz="4" w:space="0"/>
              <w:bottom w:val="single" w:color="auto" w:sz="4" w:space="0"/>
              <w:right w:val="single" w:color="auto" w:sz="4" w:space="0"/>
            </w:tcBorders>
          </w:tcPr>
          <w:p w14:paraId="0867A0C6">
            <w:pPr>
              <w:widowControl w:val="0"/>
              <w:adjustRightInd w:val="0"/>
              <w:snapToGrid w:val="0"/>
              <w:spacing w:after="120"/>
              <w:rPr>
                <w:rFonts w:ascii="Times New Roman" w:hAnsi="Times New Roman" w:eastAsia="宋体"/>
                <w:kern w:val="2"/>
                <w:sz w:val="24"/>
                <w:szCs w:val="24"/>
                <w:lang w:bidi="ar-SA"/>
              </w:rPr>
            </w:pPr>
            <w:r>
              <w:rPr>
                <w:rFonts w:hint="eastAsia" w:ascii="Times New Roman" w:hAnsi="Times New Roman" w:eastAsia="宋体"/>
                <w:kern w:val="2"/>
                <w:sz w:val="24"/>
                <w:szCs w:val="24"/>
                <w:lang w:bidi="ar-SA"/>
              </w:rPr>
              <w:t>3. 目标公司</w:t>
            </w:r>
          </w:p>
        </w:tc>
        <w:tc>
          <w:tcPr>
            <w:tcW w:w="4110" w:type="dxa"/>
            <w:tcBorders>
              <w:top w:val="single" w:color="auto" w:sz="4" w:space="0"/>
              <w:left w:val="single" w:color="auto" w:sz="4" w:space="0"/>
              <w:bottom w:val="single" w:color="auto" w:sz="4" w:space="0"/>
              <w:right w:val="single" w:color="auto" w:sz="4" w:space="0"/>
            </w:tcBorders>
          </w:tcPr>
          <w:p w14:paraId="5E24604F">
            <w:pPr>
              <w:widowControl w:val="0"/>
              <w:adjustRightInd w:val="0"/>
              <w:snapToGrid w:val="0"/>
              <w:spacing w:after="120"/>
              <w:jc w:val="both"/>
              <w:rPr>
                <w:rFonts w:ascii="Times New Roman" w:hAnsi="Times New Roman" w:eastAsia="宋体"/>
                <w:bCs/>
                <w:kern w:val="2"/>
                <w:sz w:val="24"/>
                <w:szCs w:val="24"/>
                <w:lang w:bidi="ar-SA"/>
              </w:rPr>
            </w:pPr>
            <w:r>
              <w:rPr>
                <w:rFonts w:hint="eastAsia" w:ascii="Times New Roman" w:hAnsi="Times New Roman" w:eastAsia="宋体"/>
                <w:bCs/>
                <w:kern w:val="2"/>
                <w:sz w:val="24"/>
                <w:szCs w:val="24"/>
                <w:lang w:bidi="ar-SA"/>
              </w:rPr>
              <w:t>目标公司于2021年6月28日成立于巴西，为巴西圣保罗证券、商品和期货交易所上市公司，</w:t>
            </w:r>
            <w:r>
              <w:rPr>
                <w:rFonts w:hint="eastAsia" w:ascii="Times New Roman" w:hAnsi="Times New Roman" w:eastAsia="宋体"/>
                <w:bCs/>
                <w:sz w:val="24"/>
                <w:szCs w:val="24"/>
              </w:rPr>
              <w:t>在中国境外从事发电和电力销售业务，其主要在巴西开展业务活动</w:t>
            </w:r>
            <w:r>
              <w:rPr>
                <w:rFonts w:hint="eastAsia" w:ascii="Times New Roman" w:hAnsi="Times New Roman" w:eastAsia="宋体"/>
                <w:bCs/>
                <w:kern w:val="2"/>
                <w:sz w:val="24"/>
                <w:szCs w:val="24"/>
                <w:lang w:bidi="ar-SA"/>
              </w:rPr>
              <w:t>。</w:t>
            </w:r>
          </w:p>
          <w:p w14:paraId="0A8F7A17">
            <w:pPr>
              <w:widowControl w:val="0"/>
              <w:adjustRightInd w:val="0"/>
              <w:snapToGrid w:val="0"/>
              <w:spacing w:after="120"/>
              <w:jc w:val="both"/>
              <w:rPr>
                <w:rFonts w:ascii="Times New Roman" w:hAnsi="Times New Roman" w:eastAsia="宋体"/>
                <w:bCs/>
                <w:kern w:val="2"/>
                <w:sz w:val="24"/>
                <w:szCs w:val="24"/>
                <w:lang w:bidi="ar-SA"/>
              </w:rPr>
            </w:pPr>
            <w:r>
              <w:rPr>
                <w:rFonts w:hint="eastAsia" w:ascii="Times New Roman" w:hAnsi="Times New Roman" w:eastAsia="宋体"/>
                <w:bCs/>
                <w:kern w:val="2"/>
                <w:sz w:val="24"/>
                <w:szCs w:val="24"/>
                <w:lang w:bidi="ar-SA"/>
              </w:rPr>
              <w:t>目标公司的最终控制人是</w:t>
            </w:r>
            <w:r>
              <w:rPr>
                <w:rFonts w:ascii="Times New Roman" w:hAnsi="Times New Roman" w:eastAsia="宋体"/>
                <w:kern w:val="2"/>
                <w:sz w:val="24"/>
              </w:rPr>
              <w:t>Tarpon Gestora de Recursos</w:t>
            </w:r>
            <w:r>
              <w:rPr>
                <w:rFonts w:hint="eastAsia" w:ascii="Times New Roman" w:hAnsi="Times New Roman" w:eastAsia="宋体"/>
                <w:kern w:val="2"/>
                <w:sz w:val="24"/>
              </w:rPr>
              <w:t>有限责任公司（通过</w:t>
            </w:r>
            <w:r>
              <w:rPr>
                <w:rFonts w:hint="eastAsia" w:ascii="Times New Roman" w:hAnsi="Times New Roman" w:eastAsia="宋体"/>
                <w:bCs/>
                <w:sz w:val="24"/>
                <w:szCs w:val="24"/>
              </w:rPr>
              <w:t>Tarpon基金</w:t>
            </w:r>
            <w:r>
              <w:rPr>
                <w:rFonts w:hint="eastAsia" w:ascii="Times New Roman" w:hAnsi="Times New Roman" w:eastAsia="宋体"/>
                <w:kern w:val="2"/>
                <w:sz w:val="24"/>
              </w:rPr>
              <w:t>）和一名自然人（通过</w:t>
            </w:r>
            <w:r>
              <w:rPr>
                <w:rFonts w:hint="eastAsia" w:ascii="Times New Roman" w:hAnsi="Times New Roman" w:eastAsia="宋体"/>
                <w:bCs/>
                <w:sz w:val="24"/>
                <w:szCs w:val="24"/>
              </w:rPr>
              <w:t>Lambda投资工具</w:t>
            </w:r>
            <w:r>
              <w:rPr>
                <w:rFonts w:hint="eastAsia" w:ascii="Times New Roman" w:hAnsi="Times New Roman" w:eastAsia="宋体"/>
                <w:kern w:val="2"/>
                <w:sz w:val="24"/>
              </w:rPr>
              <w:t>）。</w:t>
            </w:r>
            <w:r>
              <w:rPr>
                <w:rFonts w:ascii="Times New Roman" w:hAnsi="Times New Roman" w:eastAsia="宋体"/>
                <w:kern w:val="2"/>
                <w:sz w:val="24"/>
              </w:rPr>
              <w:t>Tarpon Gestora de Recursos</w:t>
            </w:r>
            <w:r>
              <w:rPr>
                <w:rFonts w:hint="eastAsia" w:ascii="Times New Roman" w:hAnsi="Times New Roman" w:eastAsia="宋体"/>
                <w:kern w:val="2"/>
                <w:sz w:val="24"/>
              </w:rPr>
              <w:t>有限责任公司是一家总部位于巴西的投资管理公司。该自然人通过Lambda投资工具从事投资活动。</w:t>
            </w:r>
          </w:p>
        </w:tc>
      </w:tr>
      <w:tr w14:paraId="54CD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736" w:type="dxa"/>
            <w:vMerge w:val="restart"/>
            <w:tcBorders>
              <w:top w:val="single" w:color="auto" w:sz="4" w:space="0"/>
              <w:left w:val="single" w:color="auto" w:sz="4" w:space="0"/>
              <w:bottom w:val="single" w:color="auto" w:sz="4" w:space="0"/>
              <w:right w:val="single" w:color="auto" w:sz="4" w:space="0"/>
            </w:tcBorders>
            <w:shd w:val="clear" w:color="auto" w:fill="D9D9D9"/>
          </w:tcPr>
          <w:p w14:paraId="31680ADC">
            <w:pPr>
              <w:widowControl w:val="0"/>
              <w:adjustRightInd w:val="0"/>
              <w:snapToGrid w:val="0"/>
              <w:spacing w:after="120"/>
              <w:rPr>
                <w:rFonts w:ascii="Times New Roman" w:hAnsi="Times New Roman" w:eastAsia="宋体"/>
                <w:kern w:val="2"/>
                <w:sz w:val="24"/>
                <w:szCs w:val="24"/>
                <w:lang w:bidi="ar-SA"/>
              </w:rPr>
            </w:pPr>
            <w:r>
              <w:rPr>
                <w:rFonts w:hint="eastAsia" w:ascii="Times New Roman" w:hAnsi="Times New Roman" w:eastAsia="宋体"/>
                <w:kern w:val="2"/>
                <w:sz w:val="24"/>
                <w:szCs w:val="24"/>
                <w:lang w:bidi="ar-SA"/>
              </w:rPr>
              <w:t>简易案件理由（可以单选，也可以多选）</w:t>
            </w:r>
          </w:p>
        </w:tc>
        <w:tc>
          <w:tcPr>
            <w:tcW w:w="6539" w:type="dxa"/>
            <w:gridSpan w:val="2"/>
            <w:tcBorders>
              <w:top w:val="single" w:color="auto" w:sz="4" w:space="0"/>
              <w:left w:val="single" w:color="auto" w:sz="4" w:space="0"/>
              <w:bottom w:val="single" w:color="auto" w:sz="4" w:space="0"/>
              <w:right w:val="single" w:color="auto" w:sz="4" w:space="0"/>
            </w:tcBorders>
          </w:tcPr>
          <w:p w14:paraId="7F755F14">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bCs/>
                <w:kern w:val="2"/>
                <w:sz w:val="24"/>
                <w:szCs w:val="24"/>
                <w:lang w:bidi="ar-SA"/>
              </w:rPr>
              <w:sym w:font="Wingdings" w:char="F0A8"/>
            </w:r>
            <w:r>
              <w:rPr>
                <w:rFonts w:ascii="Times New Roman" w:hAnsi="Times New Roman" w:eastAsia="宋体"/>
                <w:bCs/>
                <w:kern w:val="2"/>
                <w:sz w:val="24"/>
                <w:szCs w:val="24"/>
                <w:lang w:bidi="ar-SA"/>
              </w:rPr>
              <w:t xml:space="preserve"> </w:t>
            </w:r>
            <w:r>
              <w:rPr>
                <w:rFonts w:hint="eastAsia" w:ascii="Times New Roman" w:hAnsi="Times New Roman" w:eastAsia="宋体"/>
                <w:bCs/>
                <w:kern w:val="2"/>
                <w:sz w:val="24"/>
                <w:szCs w:val="24"/>
                <w:lang w:bidi="ar-SA"/>
              </w:rPr>
              <w:t>1、</w:t>
            </w:r>
            <w:r>
              <w:rPr>
                <w:rFonts w:hint="eastAsia" w:ascii="Times New Roman" w:hAnsi="Times New Roman" w:eastAsia="宋体"/>
                <w:kern w:val="2"/>
                <w:sz w:val="24"/>
                <w:szCs w:val="24"/>
                <w:lang w:bidi="ar-SA"/>
              </w:rPr>
              <w:t>在同一相关市场，参与集中的经营者所占的市场份额之和小于</w:t>
            </w:r>
            <w:r>
              <w:rPr>
                <w:rFonts w:ascii="Times New Roman" w:hAnsi="Times New Roman" w:eastAsia="宋体"/>
                <w:kern w:val="2"/>
                <w:sz w:val="24"/>
                <w:szCs w:val="24"/>
                <w:lang w:bidi="ar-SA"/>
              </w:rPr>
              <w:t>15%</w:t>
            </w:r>
            <w:r>
              <w:rPr>
                <w:rFonts w:hint="eastAsia" w:ascii="Times New Roman" w:hAnsi="Times New Roman" w:eastAsia="宋体"/>
                <w:kern w:val="2"/>
                <w:sz w:val="24"/>
                <w:szCs w:val="24"/>
                <w:lang w:bidi="ar-SA"/>
              </w:rPr>
              <w:t>。</w:t>
            </w:r>
          </w:p>
        </w:tc>
      </w:tr>
      <w:tr w14:paraId="49CF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163E4E">
            <w:pPr>
              <w:adjustRightInd w:val="0"/>
              <w:snapToGrid w:val="0"/>
              <w:spacing w:after="120"/>
              <w:rPr>
                <w:rFonts w:ascii="Times New Roman" w:hAnsi="Times New Roman" w:eastAsia="宋体"/>
                <w:kern w:val="2"/>
                <w:sz w:val="24"/>
                <w:szCs w:val="24"/>
                <w:lang w:bidi="ar-SA"/>
              </w:rPr>
            </w:pPr>
          </w:p>
        </w:tc>
        <w:tc>
          <w:tcPr>
            <w:tcW w:w="6539" w:type="dxa"/>
            <w:gridSpan w:val="2"/>
            <w:tcBorders>
              <w:top w:val="single" w:color="auto" w:sz="4" w:space="0"/>
              <w:left w:val="single" w:color="auto" w:sz="4" w:space="0"/>
              <w:bottom w:val="single" w:color="auto" w:sz="4" w:space="0"/>
              <w:right w:val="single" w:color="auto" w:sz="4" w:space="0"/>
            </w:tcBorders>
          </w:tcPr>
          <w:p w14:paraId="15611E31">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bCs/>
                <w:kern w:val="2"/>
                <w:sz w:val="24"/>
                <w:szCs w:val="24"/>
                <w:lang w:bidi="ar-SA"/>
              </w:rPr>
              <w:sym w:font="Wingdings" w:char="F0A8"/>
            </w:r>
            <w:r>
              <w:rPr>
                <w:rFonts w:ascii="Times New Roman" w:hAnsi="Times New Roman" w:eastAsia="宋体"/>
                <w:bCs/>
                <w:kern w:val="2"/>
                <w:sz w:val="24"/>
                <w:szCs w:val="24"/>
                <w:lang w:bidi="ar-SA"/>
              </w:rPr>
              <w:t xml:space="preserve"> </w:t>
            </w:r>
            <w:r>
              <w:rPr>
                <w:rFonts w:hint="eastAsia" w:ascii="Times New Roman" w:hAnsi="Times New Roman" w:eastAsia="宋体"/>
                <w:bCs/>
                <w:kern w:val="2"/>
                <w:sz w:val="24"/>
                <w:szCs w:val="24"/>
                <w:lang w:bidi="ar-SA"/>
              </w:rPr>
              <w:t>2、在上下游市场，参与集中的经营者所占的市场份额均小于</w:t>
            </w:r>
            <w:r>
              <w:rPr>
                <w:rFonts w:ascii="Times New Roman" w:hAnsi="Times New Roman" w:eastAsia="宋体"/>
                <w:bCs/>
                <w:kern w:val="2"/>
                <w:sz w:val="24"/>
                <w:szCs w:val="24"/>
                <w:lang w:bidi="ar-SA"/>
              </w:rPr>
              <w:t>25%</w:t>
            </w:r>
            <w:r>
              <w:rPr>
                <w:rFonts w:hint="eastAsia" w:ascii="Times New Roman" w:hAnsi="Times New Roman" w:eastAsia="宋体"/>
                <w:bCs/>
                <w:kern w:val="2"/>
                <w:sz w:val="24"/>
                <w:szCs w:val="24"/>
                <w:lang w:bidi="ar-SA"/>
              </w:rPr>
              <w:t>。</w:t>
            </w:r>
          </w:p>
        </w:tc>
      </w:tr>
      <w:tr w14:paraId="4DB1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FDD2C2">
            <w:pPr>
              <w:adjustRightInd w:val="0"/>
              <w:snapToGrid w:val="0"/>
              <w:spacing w:after="120"/>
              <w:rPr>
                <w:rFonts w:ascii="Times New Roman" w:hAnsi="Times New Roman" w:eastAsia="宋体"/>
                <w:kern w:val="2"/>
                <w:sz w:val="24"/>
                <w:szCs w:val="24"/>
                <w:lang w:bidi="ar-SA"/>
              </w:rPr>
            </w:pPr>
          </w:p>
        </w:tc>
        <w:tc>
          <w:tcPr>
            <w:tcW w:w="6539" w:type="dxa"/>
            <w:gridSpan w:val="2"/>
            <w:tcBorders>
              <w:top w:val="single" w:color="auto" w:sz="4" w:space="0"/>
              <w:left w:val="single" w:color="auto" w:sz="4" w:space="0"/>
              <w:bottom w:val="single" w:color="auto" w:sz="4" w:space="0"/>
              <w:right w:val="single" w:color="auto" w:sz="4" w:space="0"/>
            </w:tcBorders>
          </w:tcPr>
          <w:p w14:paraId="6F8B4A65">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bCs/>
                <w:kern w:val="2"/>
                <w:sz w:val="24"/>
                <w:szCs w:val="24"/>
                <w:lang w:bidi="ar-SA"/>
              </w:rPr>
              <w:sym w:font="Wingdings" w:char="F0A8"/>
            </w:r>
            <w:r>
              <w:rPr>
                <w:rFonts w:ascii="Times New Roman" w:hAnsi="Times New Roman" w:eastAsia="宋体"/>
                <w:bCs/>
                <w:kern w:val="2"/>
                <w:sz w:val="24"/>
                <w:szCs w:val="24"/>
                <w:lang w:bidi="ar-SA"/>
              </w:rPr>
              <w:t xml:space="preserve"> 3</w:t>
            </w:r>
            <w:r>
              <w:rPr>
                <w:rFonts w:hint="eastAsia" w:ascii="Times New Roman" w:hAnsi="Times New Roman" w:eastAsia="宋体"/>
                <w:bCs/>
                <w:kern w:val="2"/>
                <w:sz w:val="24"/>
                <w:szCs w:val="24"/>
                <w:lang w:bidi="ar-SA"/>
              </w:rPr>
              <w:t>、不在同一相关市场也不存在上下游关系的参与集中的经营者，在与交易有关的每个市场所占的市场份额均小于</w:t>
            </w:r>
            <w:r>
              <w:rPr>
                <w:rFonts w:ascii="Times New Roman" w:hAnsi="Times New Roman" w:eastAsia="宋体"/>
                <w:bCs/>
                <w:kern w:val="2"/>
                <w:sz w:val="24"/>
                <w:szCs w:val="24"/>
                <w:lang w:bidi="ar-SA"/>
              </w:rPr>
              <w:t>25%</w:t>
            </w:r>
            <w:r>
              <w:rPr>
                <w:rFonts w:hint="eastAsia" w:ascii="Times New Roman" w:hAnsi="Times New Roman" w:eastAsia="宋体"/>
                <w:bCs/>
                <w:kern w:val="2"/>
                <w:sz w:val="24"/>
                <w:szCs w:val="24"/>
                <w:lang w:bidi="ar-SA"/>
              </w:rPr>
              <w:t>。</w:t>
            </w:r>
          </w:p>
        </w:tc>
      </w:tr>
      <w:tr w14:paraId="0B64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61DA52">
            <w:pPr>
              <w:adjustRightInd w:val="0"/>
              <w:snapToGrid w:val="0"/>
              <w:spacing w:after="120"/>
              <w:rPr>
                <w:rFonts w:ascii="Times New Roman" w:hAnsi="Times New Roman" w:eastAsia="宋体"/>
                <w:kern w:val="2"/>
                <w:sz w:val="24"/>
                <w:szCs w:val="24"/>
                <w:lang w:bidi="ar-SA"/>
              </w:rPr>
            </w:pPr>
          </w:p>
        </w:tc>
        <w:tc>
          <w:tcPr>
            <w:tcW w:w="6539" w:type="dxa"/>
            <w:gridSpan w:val="2"/>
            <w:tcBorders>
              <w:top w:val="single" w:color="auto" w:sz="4" w:space="0"/>
              <w:left w:val="single" w:color="auto" w:sz="4" w:space="0"/>
              <w:bottom w:val="single" w:color="auto" w:sz="4" w:space="0"/>
              <w:right w:val="single" w:color="auto" w:sz="4" w:space="0"/>
            </w:tcBorders>
          </w:tcPr>
          <w:p w14:paraId="4B014944">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bCs/>
                <w:kern w:val="2"/>
                <w:sz w:val="24"/>
                <w:szCs w:val="24"/>
                <w:lang w:bidi="ar-SA"/>
              </w:rPr>
              <w:sym w:font="Wingdings" w:char="F0A8"/>
            </w:r>
            <w:r>
              <w:rPr>
                <w:rFonts w:ascii="Times New Roman" w:hAnsi="Times New Roman" w:eastAsia="宋体"/>
                <w:bCs/>
                <w:kern w:val="2"/>
                <w:sz w:val="24"/>
                <w:szCs w:val="24"/>
                <w:lang w:bidi="ar-SA"/>
              </w:rPr>
              <w:t xml:space="preserve"> 4、参与集中的经营者在中国境外设立合营企业，合营企业不在中国境内从事经济活动。</w:t>
            </w:r>
          </w:p>
        </w:tc>
      </w:tr>
      <w:tr w14:paraId="3CD4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D56554">
            <w:pPr>
              <w:adjustRightInd w:val="0"/>
              <w:snapToGrid w:val="0"/>
              <w:spacing w:after="120"/>
              <w:rPr>
                <w:rFonts w:ascii="Times New Roman" w:hAnsi="Times New Roman" w:eastAsia="宋体"/>
                <w:kern w:val="2"/>
                <w:sz w:val="24"/>
                <w:szCs w:val="24"/>
                <w:lang w:bidi="ar-SA"/>
              </w:rPr>
            </w:pPr>
          </w:p>
        </w:tc>
        <w:tc>
          <w:tcPr>
            <w:tcW w:w="6539" w:type="dxa"/>
            <w:gridSpan w:val="2"/>
            <w:tcBorders>
              <w:top w:val="single" w:color="auto" w:sz="4" w:space="0"/>
              <w:left w:val="single" w:color="auto" w:sz="4" w:space="0"/>
              <w:bottom w:val="single" w:color="auto" w:sz="4" w:space="0"/>
              <w:right w:val="single" w:color="auto" w:sz="4" w:space="0"/>
            </w:tcBorders>
          </w:tcPr>
          <w:p w14:paraId="579CFE49">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bCs/>
                <w:kern w:val="2"/>
                <w:sz w:val="24"/>
                <w:szCs w:val="24"/>
                <w:lang w:bidi="ar-SA"/>
              </w:rPr>
              <w:sym w:font="Wingdings" w:char="F0FE"/>
            </w:r>
            <w:r>
              <w:rPr>
                <w:rFonts w:ascii="Times New Roman" w:hAnsi="Times New Roman" w:eastAsia="宋体"/>
                <w:bCs/>
                <w:kern w:val="2"/>
                <w:sz w:val="24"/>
                <w:szCs w:val="24"/>
                <w:lang w:bidi="ar-SA"/>
              </w:rPr>
              <w:t xml:space="preserve"> 5、参与集中的经营者收购境外企业股权或资产的，该境外企业不在中国境内从事经济活动。</w:t>
            </w:r>
          </w:p>
        </w:tc>
      </w:tr>
      <w:tr w14:paraId="22DE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FF577E">
            <w:pPr>
              <w:adjustRightInd w:val="0"/>
              <w:snapToGrid w:val="0"/>
              <w:spacing w:after="120"/>
              <w:rPr>
                <w:rFonts w:ascii="Times New Roman" w:hAnsi="Times New Roman" w:eastAsia="宋体"/>
                <w:kern w:val="2"/>
                <w:sz w:val="24"/>
                <w:szCs w:val="24"/>
                <w:lang w:bidi="ar-SA"/>
              </w:rPr>
            </w:pPr>
          </w:p>
        </w:tc>
        <w:tc>
          <w:tcPr>
            <w:tcW w:w="6539" w:type="dxa"/>
            <w:gridSpan w:val="2"/>
            <w:tcBorders>
              <w:top w:val="single" w:color="auto" w:sz="4" w:space="0"/>
              <w:left w:val="single" w:color="auto" w:sz="4" w:space="0"/>
              <w:bottom w:val="single" w:color="auto" w:sz="4" w:space="0"/>
              <w:right w:val="single" w:color="auto" w:sz="4" w:space="0"/>
            </w:tcBorders>
          </w:tcPr>
          <w:p w14:paraId="08CC5B7D">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bCs/>
                <w:kern w:val="2"/>
                <w:sz w:val="24"/>
                <w:szCs w:val="24"/>
                <w:lang w:bidi="ar-SA"/>
              </w:rPr>
              <w:sym w:font="Wingdings" w:char="F0A8"/>
            </w:r>
            <w:r>
              <w:rPr>
                <w:rFonts w:ascii="Times New Roman" w:hAnsi="Times New Roman" w:eastAsia="宋体"/>
                <w:kern w:val="2"/>
                <w:sz w:val="24"/>
                <w:szCs w:val="24"/>
                <w:lang w:bidi="ar-SA"/>
              </w:rPr>
              <w:t xml:space="preserve"> 6、由两个以上的经营者共同控制的合营企业，通过集中被其中一个或一个以上经营者控制。</w:t>
            </w:r>
          </w:p>
        </w:tc>
      </w:tr>
      <w:tr w14:paraId="0EF6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Borders>
              <w:top w:val="single" w:color="auto" w:sz="4" w:space="0"/>
              <w:left w:val="single" w:color="auto" w:sz="4" w:space="0"/>
              <w:bottom w:val="single" w:color="auto" w:sz="4" w:space="0"/>
              <w:right w:val="single" w:color="auto" w:sz="4" w:space="0"/>
            </w:tcBorders>
            <w:shd w:val="clear" w:color="auto" w:fill="D9D9D9"/>
          </w:tcPr>
          <w:p w14:paraId="4A3A5A09">
            <w:pPr>
              <w:widowControl w:val="0"/>
              <w:adjustRightInd w:val="0"/>
              <w:snapToGrid w:val="0"/>
              <w:spacing w:after="120"/>
              <w:rPr>
                <w:rFonts w:ascii="Times New Roman" w:hAnsi="Times New Roman" w:eastAsia="宋体"/>
                <w:kern w:val="2"/>
                <w:sz w:val="24"/>
                <w:szCs w:val="24"/>
                <w:lang w:bidi="ar-SA"/>
              </w:rPr>
            </w:pPr>
            <w:r>
              <w:rPr>
                <w:rFonts w:ascii="Times New Roman" w:hAnsi="Times New Roman" w:eastAsia="宋体"/>
                <w:kern w:val="2"/>
                <w:sz w:val="24"/>
                <w:szCs w:val="24"/>
                <w:lang w:bidi="ar-SA"/>
              </w:rPr>
              <w:t>备注</w:t>
            </w:r>
          </w:p>
        </w:tc>
        <w:tc>
          <w:tcPr>
            <w:tcW w:w="6539" w:type="dxa"/>
            <w:gridSpan w:val="2"/>
            <w:tcBorders>
              <w:top w:val="single" w:color="auto" w:sz="4" w:space="0"/>
              <w:left w:val="single" w:color="auto" w:sz="4" w:space="0"/>
              <w:bottom w:val="single" w:color="auto" w:sz="4" w:space="0"/>
              <w:right w:val="single" w:color="auto" w:sz="4" w:space="0"/>
            </w:tcBorders>
          </w:tcPr>
          <w:p w14:paraId="3B9CF1D9">
            <w:pPr>
              <w:widowControl w:val="0"/>
              <w:adjustRightInd w:val="0"/>
              <w:snapToGrid w:val="0"/>
              <w:spacing w:after="120"/>
              <w:rPr>
                <w:rFonts w:ascii="Times New Roman" w:hAnsi="Times New Roman" w:eastAsia="宋体"/>
                <w:kern w:val="2"/>
                <w:sz w:val="24"/>
                <w:szCs w:val="24"/>
                <w:lang w:bidi="ar-SA"/>
              </w:rPr>
            </w:pPr>
            <w:r>
              <w:rPr>
                <w:rFonts w:hint="eastAsia" w:ascii="Times New Roman" w:hAnsi="Times New Roman" w:eastAsia="宋体"/>
                <w:kern w:val="2"/>
                <w:sz w:val="24"/>
                <w:szCs w:val="24"/>
                <w:lang w:bidi="ar-SA"/>
              </w:rPr>
              <w:t>不适用</w:t>
            </w:r>
          </w:p>
        </w:tc>
      </w:tr>
    </w:tbl>
    <w:p w14:paraId="2C2BF227">
      <w:pPr>
        <w:adjustRightInd w:val="0"/>
        <w:snapToGrid w:val="0"/>
        <w:spacing w:after="120"/>
        <w:rPr>
          <w:rFonts w:ascii="Times New Roman" w:hAnsi="Times New Roman"/>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MS Mincho">
    <w:altName w:val="仿宋_GB2312"/>
    <w:panose1 w:val="02020609040205080304"/>
    <w:charset w:val="80"/>
    <w:family w:val="modern"/>
    <w:pitch w:val="default"/>
    <w:sig w:usb0="00000000" w:usb1="00000000" w:usb2="08000012" w:usb3="00000000" w:csb0="0002009F"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Simplified Arabic">
    <w:altName w:val="Times New Roman"/>
    <w:panose1 w:val="02020603050405020304"/>
    <w:charset w:val="00"/>
    <w:family w:val="roman"/>
    <w:pitch w:val="default"/>
    <w:sig w:usb0="00000000" w:usb1="00000000" w:usb2="00000008" w:usb3="00000000" w:csb0="00000041" w:csb1="00000000"/>
  </w:font>
  <w:font w:name="Arial">
    <w:altName w:val="Times New Roman"/>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66"/>
    <w:rsid w:val="00001AC1"/>
    <w:rsid w:val="00003809"/>
    <w:rsid w:val="00016071"/>
    <w:rsid w:val="00016134"/>
    <w:rsid w:val="00020180"/>
    <w:rsid w:val="000233E9"/>
    <w:rsid w:val="0003430F"/>
    <w:rsid w:val="00034478"/>
    <w:rsid w:val="000345F0"/>
    <w:rsid w:val="00047F45"/>
    <w:rsid w:val="00053284"/>
    <w:rsid w:val="00053688"/>
    <w:rsid w:val="00056816"/>
    <w:rsid w:val="000765C7"/>
    <w:rsid w:val="00080335"/>
    <w:rsid w:val="000868F1"/>
    <w:rsid w:val="000919FC"/>
    <w:rsid w:val="000A52F5"/>
    <w:rsid w:val="000A587C"/>
    <w:rsid w:val="000B267A"/>
    <w:rsid w:val="000B3631"/>
    <w:rsid w:val="000C0BFB"/>
    <w:rsid w:val="000C12D5"/>
    <w:rsid w:val="000C347D"/>
    <w:rsid w:val="000C5EB0"/>
    <w:rsid w:val="000C64AF"/>
    <w:rsid w:val="000C7D1C"/>
    <w:rsid w:val="000C7EF1"/>
    <w:rsid w:val="000D150B"/>
    <w:rsid w:val="000D18ED"/>
    <w:rsid w:val="000E0AC8"/>
    <w:rsid w:val="000E18EA"/>
    <w:rsid w:val="000E2C8C"/>
    <w:rsid w:val="000E307E"/>
    <w:rsid w:val="000E3514"/>
    <w:rsid w:val="000E5173"/>
    <w:rsid w:val="000E586D"/>
    <w:rsid w:val="000F4685"/>
    <w:rsid w:val="000F6022"/>
    <w:rsid w:val="0010648A"/>
    <w:rsid w:val="001102CC"/>
    <w:rsid w:val="00114785"/>
    <w:rsid w:val="001147F0"/>
    <w:rsid w:val="001165E7"/>
    <w:rsid w:val="00116BC0"/>
    <w:rsid w:val="001418DE"/>
    <w:rsid w:val="00141D1F"/>
    <w:rsid w:val="00142570"/>
    <w:rsid w:val="0014519F"/>
    <w:rsid w:val="00147D9A"/>
    <w:rsid w:val="00153078"/>
    <w:rsid w:val="00153384"/>
    <w:rsid w:val="001535E6"/>
    <w:rsid w:val="001562CB"/>
    <w:rsid w:val="001576A6"/>
    <w:rsid w:val="00157928"/>
    <w:rsid w:val="00161C31"/>
    <w:rsid w:val="0016252D"/>
    <w:rsid w:val="00162DB3"/>
    <w:rsid w:val="00166BEC"/>
    <w:rsid w:val="00176023"/>
    <w:rsid w:val="00177F47"/>
    <w:rsid w:val="00181202"/>
    <w:rsid w:val="001842EB"/>
    <w:rsid w:val="00184FE6"/>
    <w:rsid w:val="001859E3"/>
    <w:rsid w:val="0018718A"/>
    <w:rsid w:val="00190083"/>
    <w:rsid w:val="001905BE"/>
    <w:rsid w:val="00191F7D"/>
    <w:rsid w:val="00195F09"/>
    <w:rsid w:val="001A0EEE"/>
    <w:rsid w:val="001A3A2E"/>
    <w:rsid w:val="001A3CBC"/>
    <w:rsid w:val="001A3E84"/>
    <w:rsid w:val="001A40EF"/>
    <w:rsid w:val="001A4BBD"/>
    <w:rsid w:val="001B297A"/>
    <w:rsid w:val="001D398F"/>
    <w:rsid w:val="001D3C12"/>
    <w:rsid w:val="001D54C5"/>
    <w:rsid w:val="001D6E16"/>
    <w:rsid w:val="001D6E99"/>
    <w:rsid w:val="001E0330"/>
    <w:rsid w:val="001E0EB2"/>
    <w:rsid w:val="001E4E36"/>
    <w:rsid w:val="001F2824"/>
    <w:rsid w:val="001F3576"/>
    <w:rsid w:val="001F46FB"/>
    <w:rsid w:val="001F48AB"/>
    <w:rsid w:val="001F7466"/>
    <w:rsid w:val="001F75C8"/>
    <w:rsid w:val="001F7607"/>
    <w:rsid w:val="00202ED9"/>
    <w:rsid w:val="00220FD0"/>
    <w:rsid w:val="00231B58"/>
    <w:rsid w:val="00237172"/>
    <w:rsid w:val="002402ED"/>
    <w:rsid w:val="00242460"/>
    <w:rsid w:val="002434F0"/>
    <w:rsid w:val="00246389"/>
    <w:rsid w:val="00246915"/>
    <w:rsid w:val="00247ABE"/>
    <w:rsid w:val="002502C5"/>
    <w:rsid w:val="00256E35"/>
    <w:rsid w:val="00261B96"/>
    <w:rsid w:val="00271DF8"/>
    <w:rsid w:val="00274C2E"/>
    <w:rsid w:val="00281320"/>
    <w:rsid w:val="002832FB"/>
    <w:rsid w:val="00283303"/>
    <w:rsid w:val="00283718"/>
    <w:rsid w:val="00286A5D"/>
    <w:rsid w:val="0028726A"/>
    <w:rsid w:val="002945F2"/>
    <w:rsid w:val="002A629F"/>
    <w:rsid w:val="002A6394"/>
    <w:rsid w:val="002A7D1C"/>
    <w:rsid w:val="002B089A"/>
    <w:rsid w:val="002B13F8"/>
    <w:rsid w:val="002B1EBD"/>
    <w:rsid w:val="002B2A16"/>
    <w:rsid w:val="002C522B"/>
    <w:rsid w:val="002C7140"/>
    <w:rsid w:val="002D2768"/>
    <w:rsid w:val="002D2BB1"/>
    <w:rsid w:val="002E1886"/>
    <w:rsid w:val="002F5410"/>
    <w:rsid w:val="002F5BAD"/>
    <w:rsid w:val="002F6989"/>
    <w:rsid w:val="00303929"/>
    <w:rsid w:val="00307E12"/>
    <w:rsid w:val="00307EA7"/>
    <w:rsid w:val="003128FF"/>
    <w:rsid w:val="003233E5"/>
    <w:rsid w:val="003322AB"/>
    <w:rsid w:val="00335C9E"/>
    <w:rsid w:val="00343AB9"/>
    <w:rsid w:val="003501DE"/>
    <w:rsid w:val="00372A86"/>
    <w:rsid w:val="003738D2"/>
    <w:rsid w:val="00375F69"/>
    <w:rsid w:val="003867D6"/>
    <w:rsid w:val="00387AFF"/>
    <w:rsid w:val="0039633C"/>
    <w:rsid w:val="003A3E79"/>
    <w:rsid w:val="003A51DE"/>
    <w:rsid w:val="003A5FBE"/>
    <w:rsid w:val="003A72C7"/>
    <w:rsid w:val="003A7624"/>
    <w:rsid w:val="003B570E"/>
    <w:rsid w:val="003B7D47"/>
    <w:rsid w:val="003C319C"/>
    <w:rsid w:val="003D3EA0"/>
    <w:rsid w:val="003D5487"/>
    <w:rsid w:val="003E2461"/>
    <w:rsid w:val="003F3E65"/>
    <w:rsid w:val="003F7EAA"/>
    <w:rsid w:val="004005C2"/>
    <w:rsid w:val="004056A6"/>
    <w:rsid w:val="0040750E"/>
    <w:rsid w:val="0041083C"/>
    <w:rsid w:val="00415F5B"/>
    <w:rsid w:val="00417054"/>
    <w:rsid w:val="00417122"/>
    <w:rsid w:val="004231B0"/>
    <w:rsid w:val="00431DAF"/>
    <w:rsid w:val="00432E72"/>
    <w:rsid w:val="0043725D"/>
    <w:rsid w:val="00437FE4"/>
    <w:rsid w:val="0044696B"/>
    <w:rsid w:val="00462180"/>
    <w:rsid w:val="00463DBF"/>
    <w:rsid w:val="00465222"/>
    <w:rsid w:val="00471566"/>
    <w:rsid w:val="00473B1C"/>
    <w:rsid w:val="00474E1F"/>
    <w:rsid w:val="00483F47"/>
    <w:rsid w:val="0048772B"/>
    <w:rsid w:val="004B3221"/>
    <w:rsid w:val="004B397A"/>
    <w:rsid w:val="004B4C9C"/>
    <w:rsid w:val="004B7AAC"/>
    <w:rsid w:val="004C2632"/>
    <w:rsid w:val="004C591F"/>
    <w:rsid w:val="004C7648"/>
    <w:rsid w:val="004D1DE0"/>
    <w:rsid w:val="004D3E49"/>
    <w:rsid w:val="004E3413"/>
    <w:rsid w:val="004E6502"/>
    <w:rsid w:val="004E70A6"/>
    <w:rsid w:val="004F00C2"/>
    <w:rsid w:val="004F1E72"/>
    <w:rsid w:val="004F3E51"/>
    <w:rsid w:val="004F5984"/>
    <w:rsid w:val="004F7CFC"/>
    <w:rsid w:val="0051367F"/>
    <w:rsid w:val="00515C33"/>
    <w:rsid w:val="00523D80"/>
    <w:rsid w:val="00524FDF"/>
    <w:rsid w:val="0053652F"/>
    <w:rsid w:val="00541733"/>
    <w:rsid w:val="00542199"/>
    <w:rsid w:val="0054649F"/>
    <w:rsid w:val="00560917"/>
    <w:rsid w:val="0056183D"/>
    <w:rsid w:val="00570B0D"/>
    <w:rsid w:val="005774EC"/>
    <w:rsid w:val="00577904"/>
    <w:rsid w:val="00577F66"/>
    <w:rsid w:val="00581D5A"/>
    <w:rsid w:val="00585613"/>
    <w:rsid w:val="00585F5A"/>
    <w:rsid w:val="00590C40"/>
    <w:rsid w:val="00591564"/>
    <w:rsid w:val="00594C2E"/>
    <w:rsid w:val="005A0196"/>
    <w:rsid w:val="005A5167"/>
    <w:rsid w:val="005A5866"/>
    <w:rsid w:val="005B0072"/>
    <w:rsid w:val="005B5C0A"/>
    <w:rsid w:val="005B5EF9"/>
    <w:rsid w:val="005B75DC"/>
    <w:rsid w:val="005C2974"/>
    <w:rsid w:val="005C4D42"/>
    <w:rsid w:val="005D0045"/>
    <w:rsid w:val="005D0450"/>
    <w:rsid w:val="005D05AA"/>
    <w:rsid w:val="005D4A5B"/>
    <w:rsid w:val="005D78D2"/>
    <w:rsid w:val="005E1004"/>
    <w:rsid w:val="005E1E32"/>
    <w:rsid w:val="005E3AF0"/>
    <w:rsid w:val="005E6C87"/>
    <w:rsid w:val="005F08C8"/>
    <w:rsid w:val="005F11B4"/>
    <w:rsid w:val="005F194D"/>
    <w:rsid w:val="005F4293"/>
    <w:rsid w:val="005F4E16"/>
    <w:rsid w:val="005F7118"/>
    <w:rsid w:val="0060132F"/>
    <w:rsid w:val="00601A7C"/>
    <w:rsid w:val="00613FFC"/>
    <w:rsid w:val="00615DA0"/>
    <w:rsid w:val="0061603A"/>
    <w:rsid w:val="00616A29"/>
    <w:rsid w:val="00620283"/>
    <w:rsid w:val="006203E4"/>
    <w:rsid w:val="006208E8"/>
    <w:rsid w:val="00631B2E"/>
    <w:rsid w:val="0063227D"/>
    <w:rsid w:val="00641861"/>
    <w:rsid w:val="00647656"/>
    <w:rsid w:val="0065625D"/>
    <w:rsid w:val="0065766D"/>
    <w:rsid w:val="00660C8D"/>
    <w:rsid w:val="006649A1"/>
    <w:rsid w:val="006673F1"/>
    <w:rsid w:val="00670591"/>
    <w:rsid w:val="00671D94"/>
    <w:rsid w:val="006805AA"/>
    <w:rsid w:val="00681AC7"/>
    <w:rsid w:val="0068593E"/>
    <w:rsid w:val="00692BF8"/>
    <w:rsid w:val="006A15A8"/>
    <w:rsid w:val="006A52F1"/>
    <w:rsid w:val="006A7932"/>
    <w:rsid w:val="006B2D53"/>
    <w:rsid w:val="006C182E"/>
    <w:rsid w:val="006C1C7D"/>
    <w:rsid w:val="006C5ECC"/>
    <w:rsid w:val="006C75A3"/>
    <w:rsid w:val="006E04AB"/>
    <w:rsid w:val="006F166E"/>
    <w:rsid w:val="006F535E"/>
    <w:rsid w:val="00700A03"/>
    <w:rsid w:val="00702742"/>
    <w:rsid w:val="0070694B"/>
    <w:rsid w:val="007139A0"/>
    <w:rsid w:val="00714C5A"/>
    <w:rsid w:val="00724531"/>
    <w:rsid w:val="007251D3"/>
    <w:rsid w:val="00726918"/>
    <w:rsid w:val="007278F6"/>
    <w:rsid w:val="0073398A"/>
    <w:rsid w:val="007360F6"/>
    <w:rsid w:val="00736B02"/>
    <w:rsid w:val="00744C62"/>
    <w:rsid w:val="00750F1E"/>
    <w:rsid w:val="0075428C"/>
    <w:rsid w:val="00763461"/>
    <w:rsid w:val="00765061"/>
    <w:rsid w:val="007654F5"/>
    <w:rsid w:val="00766AB2"/>
    <w:rsid w:val="00767B3F"/>
    <w:rsid w:val="00771DDE"/>
    <w:rsid w:val="00774BF3"/>
    <w:rsid w:val="00784623"/>
    <w:rsid w:val="0078559F"/>
    <w:rsid w:val="007902B9"/>
    <w:rsid w:val="007943D9"/>
    <w:rsid w:val="00795F11"/>
    <w:rsid w:val="007A1DB2"/>
    <w:rsid w:val="007A440A"/>
    <w:rsid w:val="007A74A9"/>
    <w:rsid w:val="007B2281"/>
    <w:rsid w:val="007B25AA"/>
    <w:rsid w:val="007B28B8"/>
    <w:rsid w:val="007B4E8F"/>
    <w:rsid w:val="007C0A76"/>
    <w:rsid w:val="007C2322"/>
    <w:rsid w:val="007C506D"/>
    <w:rsid w:val="007C77D6"/>
    <w:rsid w:val="007D0315"/>
    <w:rsid w:val="007D0386"/>
    <w:rsid w:val="007D09D8"/>
    <w:rsid w:val="007D46EB"/>
    <w:rsid w:val="007D6D0E"/>
    <w:rsid w:val="007E0127"/>
    <w:rsid w:val="007E28F2"/>
    <w:rsid w:val="007E292A"/>
    <w:rsid w:val="007E4362"/>
    <w:rsid w:val="007F1E70"/>
    <w:rsid w:val="007F266F"/>
    <w:rsid w:val="007F430C"/>
    <w:rsid w:val="007F59C2"/>
    <w:rsid w:val="007F7F07"/>
    <w:rsid w:val="00800383"/>
    <w:rsid w:val="00802622"/>
    <w:rsid w:val="008031E1"/>
    <w:rsid w:val="0080350C"/>
    <w:rsid w:val="00804588"/>
    <w:rsid w:val="008062EB"/>
    <w:rsid w:val="00812BED"/>
    <w:rsid w:val="008175E7"/>
    <w:rsid w:val="00817B22"/>
    <w:rsid w:val="008253DE"/>
    <w:rsid w:val="00826B9D"/>
    <w:rsid w:val="00836176"/>
    <w:rsid w:val="00836556"/>
    <w:rsid w:val="00840C72"/>
    <w:rsid w:val="0084160A"/>
    <w:rsid w:val="008449BD"/>
    <w:rsid w:val="00845545"/>
    <w:rsid w:val="00851978"/>
    <w:rsid w:val="00852DD6"/>
    <w:rsid w:val="00860D36"/>
    <w:rsid w:val="00863655"/>
    <w:rsid w:val="00871405"/>
    <w:rsid w:val="0087407B"/>
    <w:rsid w:val="00876123"/>
    <w:rsid w:val="00882D14"/>
    <w:rsid w:val="00894186"/>
    <w:rsid w:val="008945BA"/>
    <w:rsid w:val="008A7A56"/>
    <w:rsid w:val="008B01AE"/>
    <w:rsid w:val="008B12FC"/>
    <w:rsid w:val="008B4999"/>
    <w:rsid w:val="008B5A77"/>
    <w:rsid w:val="008B6F01"/>
    <w:rsid w:val="008C2490"/>
    <w:rsid w:val="008C4E22"/>
    <w:rsid w:val="008C4E41"/>
    <w:rsid w:val="008E4465"/>
    <w:rsid w:val="008E75DC"/>
    <w:rsid w:val="008F7F2F"/>
    <w:rsid w:val="009025D6"/>
    <w:rsid w:val="009116F4"/>
    <w:rsid w:val="00922E7D"/>
    <w:rsid w:val="00922FAA"/>
    <w:rsid w:val="00936344"/>
    <w:rsid w:val="00956C04"/>
    <w:rsid w:val="0096008F"/>
    <w:rsid w:val="009662BD"/>
    <w:rsid w:val="00966B4C"/>
    <w:rsid w:val="0097298A"/>
    <w:rsid w:val="009763D3"/>
    <w:rsid w:val="00980819"/>
    <w:rsid w:val="0098418D"/>
    <w:rsid w:val="00985653"/>
    <w:rsid w:val="0098683D"/>
    <w:rsid w:val="00993238"/>
    <w:rsid w:val="0099333F"/>
    <w:rsid w:val="00995F06"/>
    <w:rsid w:val="0099631E"/>
    <w:rsid w:val="009967B0"/>
    <w:rsid w:val="009A010D"/>
    <w:rsid w:val="009A1805"/>
    <w:rsid w:val="009A18D8"/>
    <w:rsid w:val="009A53AF"/>
    <w:rsid w:val="009B343C"/>
    <w:rsid w:val="009B3C44"/>
    <w:rsid w:val="009B5FFD"/>
    <w:rsid w:val="009C285C"/>
    <w:rsid w:val="009C398C"/>
    <w:rsid w:val="009C5A1C"/>
    <w:rsid w:val="009C6EE4"/>
    <w:rsid w:val="009D0E64"/>
    <w:rsid w:val="009D1103"/>
    <w:rsid w:val="009D680B"/>
    <w:rsid w:val="009D6D57"/>
    <w:rsid w:val="009E3E24"/>
    <w:rsid w:val="009F548B"/>
    <w:rsid w:val="009F5587"/>
    <w:rsid w:val="009F7721"/>
    <w:rsid w:val="00A003E8"/>
    <w:rsid w:val="00A02388"/>
    <w:rsid w:val="00A04A42"/>
    <w:rsid w:val="00A05865"/>
    <w:rsid w:val="00A07521"/>
    <w:rsid w:val="00A11201"/>
    <w:rsid w:val="00A11297"/>
    <w:rsid w:val="00A12328"/>
    <w:rsid w:val="00A13720"/>
    <w:rsid w:val="00A16183"/>
    <w:rsid w:val="00A224A4"/>
    <w:rsid w:val="00A279E7"/>
    <w:rsid w:val="00A30761"/>
    <w:rsid w:val="00A30F26"/>
    <w:rsid w:val="00A3172F"/>
    <w:rsid w:val="00A34290"/>
    <w:rsid w:val="00A37BF6"/>
    <w:rsid w:val="00A477E2"/>
    <w:rsid w:val="00A506D0"/>
    <w:rsid w:val="00A53964"/>
    <w:rsid w:val="00A63872"/>
    <w:rsid w:val="00A6604F"/>
    <w:rsid w:val="00A7256A"/>
    <w:rsid w:val="00A74B97"/>
    <w:rsid w:val="00A874E7"/>
    <w:rsid w:val="00A95E21"/>
    <w:rsid w:val="00AA4408"/>
    <w:rsid w:val="00AA6315"/>
    <w:rsid w:val="00AA6F3E"/>
    <w:rsid w:val="00AB3FF0"/>
    <w:rsid w:val="00AB6510"/>
    <w:rsid w:val="00AC4B34"/>
    <w:rsid w:val="00AD0E45"/>
    <w:rsid w:val="00AD2F90"/>
    <w:rsid w:val="00AD356B"/>
    <w:rsid w:val="00AD41CB"/>
    <w:rsid w:val="00AD54FA"/>
    <w:rsid w:val="00AE3748"/>
    <w:rsid w:val="00AE463B"/>
    <w:rsid w:val="00AF59E7"/>
    <w:rsid w:val="00AF616A"/>
    <w:rsid w:val="00B0026F"/>
    <w:rsid w:val="00B01FEA"/>
    <w:rsid w:val="00B02D82"/>
    <w:rsid w:val="00B0740D"/>
    <w:rsid w:val="00B105FE"/>
    <w:rsid w:val="00B10CD9"/>
    <w:rsid w:val="00B115C9"/>
    <w:rsid w:val="00B13A1D"/>
    <w:rsid w:val="00B14CDA"/>
    <w:rsid w:val="00B1548E"/>
    <w:rsid w:val="00B24528"/>
    <w:rsid w:val="00B33322"/>
    <w:rsid w:val="00B33E21"/>
    <w:rsid w:val="00B47F67"/>
    <w:rsid w:val="00B53CFB"/>
    <w:rsid w:val="00B546BE"/>
    <w:rsid w:val="00B57907"/>
    <w:rsid w:val="00B624D3"/>
    <w:rsid w:val="00B635EC"/>
    <w:rsid w:val="00B67FB0"/>
    <w:rsid w:val="00B70415"/>
    <w:rsid w:val="00B71282"/>
    <w:rsid w:val="00B905B6"/>
    <w:rsid w:val="00B96664"/>
    <w:rsid w:val="00BB3E91"/>
    <w:rsid w:val="00BB4F8B"/>
    <w:rsid w:val="00BB7CF0"/>
    <w:rsid w:val="00BC01AD"/>
    <w:rsid w:val="00BC078C"/>
    <w:rsid w:val="00BC0AE3"/>
    <w:rsid w:val="00BC655C"/>
    <w:rsid w:val="00BD29FB"/>
    <w:rsid w:val="00BD57E7"/>
    <w:rsid w:val="00BF36BB"/>
    <w:rsid w:val="00BF3751"/>
    <w:rsid w:val="00BF5191"/>
    <w:rsid w:val="00C02005"/>
    <w:rsid w:val="00C03A66"/>
    <w:rsid w:val="00C110BB"/>
    <w:rsid w:val="00C15187"/>
    <w:rsid w:val="00C173D9"/>
    <w:rsid w:val="00C266B4"/>
    <w:rsid w:val="00C27E95"/>
    <w:rsid w:val="00C35FB5"/>
    <w:rsid w:val="00C46EAA"/>
    <w:rsid w:val="00C52398"/>
    <w:rsid w:val="00C55BD4"/>
    <w:rsid w:val="00C60634"/>
    <w:rsid w:val="00C61024"/>
    <w:rsid w:val="00C7144B"/>
    <w:rsid w:val="00C71770"/>
    <w:rsid w:val="00C71D1F"/>
    <w:rsid w:val="00C75958"/>
    <w:rsid w:val="00C813DD"/>
    <w:rsid w:val="00C81F31"/>
    <w:rsid w:val="00C82106"/>
    <w:rsid w:val="00C92C69"/>
    <w:rsid w:val="00C93A81"/>
    <w:rsid w:val="00C94B73"/>
    <w:rsid w:val="00CA3F9B"/>
    <w:rsid w:val="00CA4733"/>
    <w:rsid w:val="00CA50C8"/>
    <w:rsid w:val="00CB26E9"/>
    <w:rsid w:val="00CB32DB"/>
    <w:rsid w:val="00CB38C4"/>
    <w:rsid w:val="00CB552C"/>
    <w:rsid w:val="00CB7C8E"/>
    <w:rsid w:val="00CC130B"/>
    <w:rsid w:val="00CD09B0"/>
    <w:rsid w:val="00CD31C8"/>
    <w:rsid w:val="00CD38BF"/>
    <w:rsid w:val="00CD4120"/>
    <w:rsid w:val="00CE1B03"/>
    <w:rsid w:val="00CE283E"/>
    <w:rsid w:val="00CE7451"/>
    <w:rsid w:val="00CF61AD"/>
    <w:rsid w:val="00CF6EC6"/>
    <w:rsid w:val="00D007B0"/>
    <w:rsid w:val="00D01025"/>
    <w:rsid w:val="00D02701"/>
    <w:rsid w:val="00D10592"/>
    <w:rsid w:val="00D1156B"/>
    <w:rsid w:val="00D15099"/>
    <w:rsid w:val="00D16194"/>
    <w:rsid w:val="00D16AD1"/>
    <w:rsid w:val="00D213B6"/>
    <w:rsid w:val="00D22D42"/>
    <w:rsid w:val="00D241CE"/>
    <w:rsid w:val="00D255AC"/>
    <w:rsid w:val="00D30F39"/>
    <w:rsid w:val="00D31576"/>
    <w:rsid w:val="00D317EF"/>
    <w:rsid w:val="00D31A30"/>
    <w:rsid w:val="00D44A80"/>
    <w:rsid w:val="00D45D24"/>
    <w:rsid w:val="00D53E07"/>
    <w:rsid w:val="00D60215"/>
    <w:rsid w:val="00D60B2D"/>
    <w:rsid w:val="00D6272A"/>
    <w:rsid w:val="00D64CC9"/>
    <w:rsid w:val="00D76295"/>
    <w:rsid w:val="00D83832"/>
    <w:rsid w:val="00D90F9E"/>
    <w:rsid w:val="00D97BD4"/>
    <w:rsid w:val="00DA04FE"/>
    <w:rsid w:val="00DA2155"/>
    <w:rsid w:val="00DA2B89"/>
    <w:rsid w:val="00DA5202"/>
    <w:rsid w:val="00DB6246"/>
    <w:rsid w:val="00DB684E"/>
    <w:rsid w:val="00DC631B"/>
    <w:rsid w:val="00DD1AAF"/>
    <w:rsid w:val="00DD47C4"/>
    <w:rsid w:val="00DD5685"/>
    <w:rsid w:val="00DD74DD"/>
    <w:rsid w:val="00DE07C2"/>
    <w:rsid w:val="00DE0C66"/>
    <w:rsid w:val="00DE3031"/>
    <w:rsid w:val="00DE75CF"/>
    <w:rsid w:val="00DE7713"/>
    <w:rsid w:val="00DE7EBA"/>
    <w:rsid w:val="00DF0D77"/>
    <w:rsid w:val="00DF25A9"/>
    <w:rsid w:val="00DF2F1A"/>
    <w:rsid w:val="00DF34B8"/>
    <w:rsid w:val="00DF4C78"/>
    <w:rsid w:val="00DF54A6"/>
    <w:rsid w:val="00DF60CC"/>
    <w:rsid w:val="00DF7ED3"/>
    <w:rsid w:val="00E003EA"/>
    <w:rsid w:val="00E012C8"/>
    <w:rsid w:val="00E03535"/>
    <w:rsid w:val="00E11251"/>
    <w:rsid w:val="00E1780A"/>
    <w:rsid w:val="00E20692"/>
    <w:rsid w:val="00E21625"/>
    <w:rsid w:val="00E23BDC"/>
    <w:rsid w:val="00E27569"/>
    <w:rsid w:val="00E32236"/>
    <w:rsid w:val="00E33ACF"/>
    <w:rsid w:val="00E33BD1"/>
    <w:rsid w:val="00E40258"/>
    <w:rsid w:val="00E44851"/>
    <w:rsid w:val="00E45B4B"/>
    <w:rsid w:val="00E612A0"/>
    <w:rsid w:val="00E621AC"/>
    <w:rsid w:val="00E661A0"/>
    <w:rsid w:val="00E66A19"/>
    <w:rsid w:val="00E7236B"/>
    <w:rsid w:val="00E76898"/>
    <w:rsid w:val="00E9275D"/>
    <w:rsid w:val="00E93713"/>
    <w:rsid w:val="00E97422"/>
    <w:rsid w:val="00EA03EC"/>
    <w:rsid w:val="00EA0738"/>
    <w:rsid w:val="00EA53D8"/>
    <w:rsid w:val="00EA744B"/>
    <w:rsid w:val="00EB04D9"/>
    <w:rsid w:val="00EB6471"/>
    <w:rsid w:val="00EB7F60"/>
    <w:rsid w:val="00EC0783"/>
    <w:rsid w:val="00EC3FE9"/>
    <w:rsid w:val="00EC665A"/>
    <w:rsid w:val="00ED4B44"/>
    <w:rsid w:val="00ED4DE9"/>
    <w:rsid w:val="00EE15B1"/>
    <w:rsid w:val="00EE554F"/>
    <w:rsid w:val="00EF0205"/>
    <w:rsid w:val="00EF0271"/>
    <w:rsid w:val="00EF04C7"/>
    <w:rsid w:val="00EF564F"/>
    <w:rsid w:val="00EF73A8"/>
    <w:rsid w:val="00EF7B97"/>
    <w:rsid w:val="00F02FC9"/>
    <w:rsid w:val="00F04890"/>
    <w:rsid w:val="00F14D16"/>
    <w:rsid w:val="00F2296B"/>
    <w:rsid w:val="00F26FD2"/>
    <w:rsid w:val="00F30E46"/>
    <w:rsid w:val="00F32553"/>
    <w:rsid w:val="00F35C93"/>
    <w:rsid w:val="00F35CBD"/>
    <w:rsid w:val="00F40019"/>
    <w:rsid w:val="00F41988"/>
    <w:rsid w:val="00F42CBB"/>
    <w:rsid w:val="00F46D5B"/>
    <w:rsid w:val="00F57C05"/>
    <w:rsid w:val="00F6253F"/>
    <w:rsid w:val="00F6362E"/>
    <w:rsid w:val="00F650BB"/>
    <w:rsid w:val="00F660D2"/>
    <w:rsid w:val="00F667BE"/>
    <w:rsid w:val="00F66B31"/>
    <w:rsid w:val="00F7037F"/>
    <w:rsid w:val="00F74621"/>
    <w:rsid w:val="00F7661D"/>
    <w:rsid w:val="00F824C6"/>
    <w:rsid w:val="00F90164"/>
    <w:rsid w:val="00F951E6"/>
    <w:rsid w:val="00F9666F"/>
    <w:rsid w:val="00FA364D"/>
    <w:rsid w:val="00FA4B1D"/>
    <w:rsid w:val="00FA6401"/>
    <w:rsid w:val="00FA674A"/>
    <w:rsid w:val="00FA7556"/>
    <w:rsid w:val="00FB02E2"/>
    <w:rsid w:val="00FB553E"/>
    <w:rsid w:val="00FB695B"/>
    <w:rsid w:val="00FB76A9"/>
    <w:rsid w:val="00FC7231"/>
    <w:rsid w:val="00FC735A"/>
    <w:rsid w:val="00FC7512"/>
    <w:rsid w:val="00FD1871"/>
    <w:rsid w:val="00FD1D48"/>
    <w:rsid w:val="00FD2D34"/>
    <w:rsid w:val="00FD697F"/>
    <w:rsid w:val="00FD7CAE"/>
    <w:rsid w:val="00FE094B"/>
    <w:rsid w:val="00FE4FAD"/>
    <w:rsid w:val="00FE62C2"/>
    <w:rsid w:val="00FE7562"/>
    <w:rsid w:val="00FF09D4"/>
    <w:rsid w:val="00FF645C"/>
    <w:rsid w:val="00FF67B5"/>
    <w:rsid w:val="FB4F68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MS Mincho" w:cs="Times New Roman"/>
      <w:sz w:val="20"/>
      <w:szCs w:val="20"/>
      <w:lang w:val="en-US" w:eastAsia="zh-CN" w:bidi="he-I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style>
  <w:style w:type="paragraph" w:styleId="3">
    <w:name w:val="Body Text"/>
    <w:basedOn w:val="1"/>
    <w:link w:val="15"/>
    <w:qFormat/>
    <w:uiPriority w:val="0"/>
    <w:pPr>
      <w:spacing w:after="240"/>
      <w:jc w:val="both"/>
    </w:pPr>
    <w:rPr>
      <w:rFonts w:ascii="Times New Roman" w:hAnsi="Times New Roman" w:cs="Simplified Arabic" w:eastAsiaTheme="minorEastAsia"/>
      <w:sz w:val="24"/>
      <w:szCs w:val="24"/>
      <w:lang w:val="en-GB" w:eastAsia="en-GB" w:bidi="ar-AE"/>
    </w:rPr>
  </w:style>
  <w:style w:type="paragraph" w:styleId="4">
    <w:name w:val="Balloon Text"/>
    <w:basedOn w:val="1"/>
    <w:link w:val="14"/>
    <w:semiHidden/>
    <w:unhideWhenUsed/>
    <w:qFormat/>
    <w:uiPriority w:val="99"/>
    <w:rPr>
      <w:rFonts w:ascii="Segoe UI" w:hAnsi="Segoe UI" w:cs="Segoe UI"/>
      <w:sz w:val="18"/>
      <w:szCs w:val="18"/>
    </w:rPr>
  </w:style>
  <w:style w:type="paragraph" w:styleId="5">
    <w:name w:val="footer"/>
    <w:basedOn w:val="1"/>
    <w:link w:val="12"/>
    <w:unhideWhenUsed/>
    <w:qFormat/>
    <w:uiPriority w:val="99"/>
    <w:pPr>
      <w:tabs>
        <w:tab w:val="center" w:pos="4153"/>
        <w:tab w:val="right" w:pos="8306"/>
      </w:tabs>
    </w:pPr>
    <w:rPr>
      <w:rFonts w:asciiTheme="minorHAnsi" w:hAnsiTheme="minorHAnsi" w:eastAsiaTheme="minorEastAsia" w:cstheme="minorBidi"/>
      <w:sz w:val="22"/>
      <w:szCs w:val="22"/>
      <w:lang w:val="en-GB" w:bidi="ar-SA"/>
    </w:rPr>
  </w:style>
  <w:style w:type="paragraph" w:styleId="6">
    <w:name w:val="header"/>
    <w:basedOn w:val="1"/>
    <w:link w:val="11"/>
    <w:unhideWhenUsed/>
    <w:qFormat/>
    <w:uiPriority w:val="99"/>
    <w:pPr>
      <w:tabs>
        <w:tab w:val="center" w:pos="4153"/>
        <w:tab w:val="right" w:pos="8306"/>
      </w:tabs>
    </w:pPr>
    <w:rPr>
      <w:rFonts w:asciiTheme="minorHAnsi" w:hAnsiTheme="minorHAnsi" w:eastAsiaTheme="minorEastAsia" w:cstheme="minorBidi"/>
      <w:sz w:val="22"/>
      <w:szCs w:val="22"/>
      <w:lang w:val="en-GB" w:bidi="ar-SA"/>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16"/>
      <w:szCs w:val="16"/>
    </w:rPr>
  </w:style>
  <w:style w:type="character" w:customStyle="1" w:styleId="11">
    <w:name w:val="Header Char"/>
    <w:basedOn w:val="9"/>
    <w:link w:val="6"/>
    <w:qFormat/>
    <w:uiPriority w:val="99"/>
  </w:style>
  <w:style w:type="character" w:customStyle="1" w:styleId="12">
    <w:name w:val="Footer Char"/>
    <w:basedOn w:val="9"/>
    <w:link w:val="5"/>
    <w:qFormat/>
    <w:uiPriority w:val="99"/>
  </w:style>
  <w:style w:type="paragraph" w:customStyle="1" w:styleId="13">
    <w:name w:val="Revision"/>
    <w:hidden/>
    <w:semiHidden/>
    <w:qFormat/>
    <w:uiPriority w:val="99"/>
    <w:pPr>
      <w:spacing w:after="0" w:line="240" w:lineRule="auto"/>
    </w:pPr>
    <w:rPr>
      <w:rFonts w:ascii="Calibri" w:hAnsi="Calibri" w:eastAsia="MS Mincho" w:cs="Times New Roman"/>
      <w:sz w:val="20"/>
      <w:szCs w:val="20"/>
      <w:lang w:val="en-US" w:eastAsia="zh-CN" w:bidi="he-IL"/>
    </w:rPr>
  </w:style>
  <w:style w:type="character" w:customStyle="1" w:styleId="14">
    <w:name w:val="Balloon Text Char"/>
    <w:basedOn w:val="9"/>
    <w:link w:val="4"/>
    <w:semiHidden/>
    <w:qFormat/>
    <w:uiPriority w:val="99"/>
    <w:rPr>
      <w:rFonts w:ascii="Segoe UI" w:hAnsi="Segoe UI" w:eastAsia="MS Mincho" w:cs="Segoe UI"/>
      <w:sz w:val="18"/>
      <w:szCs w:val="18"/>
      <w:lang w:val="en-US" w:bidi="he-IL"/>
    </w:rPr>
  </w:style>
  <w:style w:type="character" w:customStyle="1" w:styleId="15">
    <w:name w:val="Body Text Char"/>
    <w:basedOn w:val="9"/>
    <w:link w:val="3"/>
    <w:qFormat/>
    <w:uiPriority w:val="0"/>
    <w:rPr>
      <w:rFonts w:ascii="Times New Roman" w:hAnsi="Times New Roman" w:cs="Simplified Arabic"/>
      <w:sz w:val="24"/>
      <w:szCs w:val="24"/>
      <w:lang w:eastAsia="en-GB" w:bidi="ar-AE"/>
    </w:rPr>
  </w:style>
  <w:style w:type="character" w:customStyle="1" w:styleId="16">
    <w:name w:val="Comment Text Char"/>
    <w:basedOn w:val="9"/>
    <w:link w:val="2"/>
    <w:qFormat/>
    <w:uiPriority w:val="99"/>
    <w:rPr>
      <w:rFonts w:ascii="Calibri" w:hAnsi="Calibri" w:eastAsia="MS Mincho" w:cs="Times New Roman"/>
      <w:sz w:val="20"/>
      <w:szCs w:val="20"/>
      <w:lang w:val="en-US" w:bidi="he-IL"/>
    </w:rPr>
  </w:style>
  <w:style w:type="character" w:customStyle="1" w:styleId="17">
    <w:name w:val="Comment Subject Char"/>
    <w:basedOn w:val="16"/>
    <w:link w:val="7"/>
    <w:semiHidden/>
    <w:qFormat/>
    <w:uiPriority w:val="99"/>
    <w:rPr>
      <w:rFonts w:ascii="Calibri" w:hAnsi="Calibri" w:eastAsia="MS Mincho" w:cs="Times New Roman"/>
      <w:b/>
      <w:bCs/>
      <w:sz w:val="20"/>
      <w:szCs w:val="20"/>
      <w:lang w:val="en-US" w:bidi="he-IL"/>
    </w:rPr>
  </w:style>
  <w:style w:type="paragraph" w:styleId="18">
    <w:name w:val="List Paragraph"/>
    <w:basedOn w:val="1"/>
    <w:link w:val="19"/>
    <w:unhideWhenUsed/>
    <w:qFormat/>
    <w:uiPriority w:val="34"/>
    <w:pPr>
      <w:ind w:left="720"/>
      <w:contextualSpacing/>
    </w:pPr>
  </w:style>
  <w:style w:type="character" w:customStyle="1" w:styleId="19">
    <w:name w:val="List Paragraph Char"/>
    <w:link w:val="18"/>
    <w:qFormat/>
    <w:locked/>
    <w:uiPriority w:val="34"/>
    <w:rPr>
      <w:rFonts w:ascii="Calibri" w:hAnsi="Calibri" w:eastAsia="MS Mincho" w:cs="Times New Roman"/>
      <w:sz w:val="20"/>
      <w:szCs w:val="20"/>
      <w:lang w:val="en-US" w:bidi="he-IL"/>
    </w:rPr>
  </w:style>
  <w:style w:type="paragraph" w:customStyle="1" w:styleId="20">
    <w:name w:val="Body"/>
    <w:basedOn w:val="1"/>
    <w:qFormat/>
    <w:uiPriority w:val="0"/>
    <w:pPr>
      <w:spacing w:after="140" w:line="290" w:lineRule="auto"/>
      <w:jc w:val="both"/>
    </w:pPr>
    <w:rPr>
      <w:rFonts w:ascii="Arial" w:hAnsi="Arial" w:eastAsia="宋体"/>
      <w:kern w:val="20"/>
      <w:szCs w:val="24"/>
      <w:lang w:val="en-GB" w:eastAsia="en-US" w:bidi="ar-SA"/>
    </w:rPr>
  </w:style>
  <w:style w:type="paragraph" w:customStyle="1" w:styleId="21">
    <w:name w:val="Table Paragraph"/>
    <w:basedOn w:val="1"/>
    <w:qFormat/>
    <w:uiPriority w:val="1"/>
    <w:pPr>
      <w:widowControl w:val="0"/>
      <w:autoSpaceDE w:val="0"/>
      <w:autoSpaceDN w:val="0"/>
    </w:pPr>
    <w:rPr>
      <w:rFonts w:ascii="微软雅黑" w:hAnsi="微软雅黑" w:eastAsia="微软雅黑" w:cs="微软雅黑"/>
      <w:sz w:val="22"/>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a97c454-82a7-458e-b02b-a23c149c4c8f" PreviousValue="false" ContentTypeId="0x01010066AAA4A189E15340A8F90A14B5E3178D01"/>
</file>

<file path=customXml/item2.xml><?xml version="1.0" encoding="utf-8"?>
<?mso-contentType ?>
<FormTemplates xmlns="http://schemas.microsoft.com/sharepoint/v3/contenttype/forms">
  <Display xmlns="http://schemas.microsoft.com/sharepoint/v3/contenttype/forms">DocumentLibraryForm</Display>
  <Edit xmlns="http://schemas.microsoft.com/sharepoint/v3/contenttype/forms">DocumentLibraryForm</Edit>
  <New xmlns="http://schemas.microsoft.com/sharepoint/v3/contenttype/forms">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4.xml><?xml version="1.0" encoding="utf-8"?>
<ct:contentTypeSchema xmlns:ct="http://schemas.microsoft.com/office/2006/metadata/contentType" xmlns:ma="http://schemas.microsoft.com/office/2006/metadata/properties/metaAttributes" contentTypeID="0x01010066AAA4A189E15340A8F90A14B5E3178D010093B0E8CA13B14C41BAFE6564DDF24F70" contentTypeVersion="10" _="" versionID="55d8de168f3016d4409b2f23f92bc6fa" contentTypeName="Legal Document" contentTypeDescription="Stores client and matter information common to all Legal Documents" contentTypeScope="">
  <xsd:schema xmlns:xsd="http://www.w3.org/2001/XMLSchema" xmlns:ma="http://schemas.microsoft.com/office/2006/metadata/properties/metaAttributes" targetNamespace="http://schemas.microsoft.com/office/2006/metadata/properties" _="" ma:root="true" ma:fieldsID="fa1843d975238ecc664f6d4a15c8169a">
    <xsd:import xmlns:xsd="http://www.w3.org/2001/XMLSchema" namespace="http://schemas.microsoft.com/sharepoint/v3"/>
    <xsd:import xmlns:xsd="http://www.w3.org/2001/XMLSchema" namespace="http://schema.microsoft.com/sharepoint/v3/fields"/>
    <xsd:import xmlns:xsd="http://www.w3.org/2001/XMLSchema" namespace="84e8189d-2f07-4d07-be7d-de46b9fe3006"/>
    <xsd:import xmlns:xsd="http://www.w3.org/2001/XMLSchema" namespace="2346a981-3d4d-4356-9bea-698e0ff2abfd"/>
    <xsd:import xmlns:xsd="http://www.w3.org/2001/XMLSchema" namespace="abe85721-301c-4cdd-bb97-abd071f66392"/>
    <xsd:element xmlns:xsd="http://www.w3.org/2001/XMLSchema" name="properties">
      <xsd:complexType xmlns:xsd="http://www.w3.org/2001/XMLSchema">
        <xsd:sequence xmlns:xsd="http://www.w3.org/2001/XMLSchema">
          <xsd:element xmlns:xsd="http://www.w3.org/2001/XMLSchema" name="documentManagement">
            <xsd:complexType xmlns:xsd="http://www.w3.org/2001/XMLSchema">
              <xsd:all xmlns:xsd="http://www.w3.org/2001/XMLSchema">
                <xsd:element xmlns:xsd="http://www.w3.org/2001/XMLSchema" minOccurs="0" ref="ns2:DocumentOwner"/>
                <xsd:element xmlns:xsd="http://www.w3.org/2001/XMLSchema" minOccurs="0" ref="ns2:LegacyDocumentID"/>
                <xsd:element xmlns:xsd="http://www.w3.org/2001/XMLSchema" minOccurs="0" ref="ns2:LegacyInformation"/>
                <xsd:element xmlns:xsd="http://www.w3.org/2001/XMLSchema" minOccurs="0" ref="ns2:ConfigListSynch"/>
                <xsd:element xmlns:xsd="http://www.w3.org/2001/XMLSchema" minOccurs="0" ref="ns2:KeyDocument"/>
                <xsd:element xmlns:xsd="http://www.w3.org/2001/XMLSchema" minOccurs="0" ref="ns3:LegalTopicTaxHTField0"/>
                <xsd:element xmlns:xsd="http://www.w3.org/2001/XMLSchema" minOccurs="0" ref="ns3:LegalDocumentTypeTaxHTField0"/>
                <xsd:element xmlns:xsd="http://www.w3.org/2001/XMLSchema" minOccurs="0" ref="ns3:JurisdictionTaxHTField0"/>
                <xsd:element xmlns:xsd="http://www.w3.org/2001/XMLSchema" minOccurs="0" ref="ns2:MatterNumber"/>
                <xsd:element xmlns:xsd="http://www.w3.org/2001/XMLSchema" minOccurs="0" ref="ns2:MatterName"/>
                <xsd:element xmlns:xsd="http://www.w3.org/2001/XMLSchema" minOccurs="0" ref="ns2:MatterStatus"/>
                <xsd:element xmlns:xsd="http://www.w3.org/2001/XMLSchema" minOccurs="0" ref="ns2:ClientNumber"/>
                <xsd:element xmlns:xsd="http://www.w3.org/2001/XMLSchema" minOccurs="0" ref="ns2:ClientName"/>
                <xsd:element xmlns:xsd="http://www.w3.org/2001/XMLSchema" minOccurs="0" ref="ns2:ClientReference"/>
                <xsd:element xmlns:xsd="http://www.w3.org/2001/XMLSchema" minOccurs="0" ref="ns2:CCOffice"/>
                <xsd:element xmlns:xsd="http://www.w3.org/2001/XMLSchema" minOccurs="0" ref="ns2:PracticeArea"/>
                <xsd:element xmlns:xsd="http://www.w3.org/2001/XMLSchema" minOccurs="0" ref="ns2:PracticeGroup"/>
                <xsd:element xmlns:xsd="http://www.w3.org/2001/XMLSchema" minOccurs="0" ref="ns3:SectorTaxHTField0"/>
                <xsd:element xmlns:xsd="http://www.w3.org/2001/XMLSchema" minOccurs="0" ref="ns2:DocumentIcons"/>
                <xsd:element xmlns:xsd="http://www.w3.org/2001/XMLSchema" minOccurs="0" ref="ns3:_dlc_DocId"/>
                <xsd:element xmlns:xsd="http://www.w3.org/2001/XMLSchema" minOccurs="0" ref="ns3:_dlc_DocIdUrl"/>
                <xsd:element xmlns:xsd="http://www.w3.org/2001/XMLSchema" minOccurs="0" ref="ns3:_dlc_DocIdPersistId"/>
                <xsd:element xmlns:xsd="http://www.w3.org/2001/XMLSchema" minOccurs="0" ref="ns2:WorkType"/>
                <xsd:element xmlns:xsd="http://www.w3.org/2001/XMLSchema" minOccurs="0" ref="ns4:TaxCatchAll"/>
                <xsd:element xmlns:xsd="http://www.w3.org/2001/XMLSchema" minOccurs="0" ref="ns1:_dlc_Exempt"/>
                <xsd:element xmlns:xsd="http://www.w3.org/2001/XMLSchema" minOccurs="0" ref="ns5:DLCPolicyLabelValue"/>
                <xsd:element xmlns:xsd="http://www.w3.org/2001/XMLSchema" minOccurs="0" ref="ns5:DLCPolicyLabelClientValue"/>
                <xsd:element xmlns:xsd="http://www.w3.org/2001/XMLSchema" minOccurs="0" ref="ns5:DLCPolicyLabelLock"/>
              </xsd:all>
            </xsd:complexType>
          </xsd:element>
        </xsd:sequence>
      </xsd:complexType>
    </xsd:element>
  </xsd:schema>
  <xsd:schema xmlns:xsd="http://www.w3.org/2001/XMLSchema" targetNamespace="http://schemas.microsoft.com/sharepoint/v3" elementFormDefault="qualified">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name="_dlc_Exempt" ma:displayName="Exempt from Policy" ma:readOnly="true" ma:index="36" ma:hidden="true" ma:internalName="_dlc_Exempt" nillable="true">
      <xsd:simpleType xmlns:xsd="http://www.w3.org/2001/XMLSchema">
        <xsd:restriction xmlns:xsd="http://www.w3.org/2001/XMLSchema" base="dms:Unknown"/>
      </xsd:simpleType>
    </xsd:element>
  </xsd:schema>
  <xsd:schema xmlns:xsd="http://www.w3.org/2001/XMLSchema" targetNamespace="http://schema.microsoft.com/sharepoint/v3/fields" elementFormDefault="qualified">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name="DocumentOwner" ma:list="UserInfo" ma:displayName="Document Owner" ma:index="8" ma:internalName="DocumentOwner" nillable="true">
      <xsd:complexType xmlns:xsd="http://www.w3.org/2001/XMLSchema">
        <xsd:complexContent xmlns:xsd="http://www.w3.org/2001/XMLSchema">
          <xsd:extension xmlns:xsd="http://www.w3.org/2001/XMLSchema" base="dms:User">
            <xsd:sequence xmlns:xsd="http://www.w3.org/2001/XMLSchema">
              <xsd:element xmlns:xsd="http://www.w3.org/2001/XMLSchema" name="UserInfo" maxOccurs="unbounded" minOccurs="0">
                <xsd:complexType xmlns:xsd="http://www.w3.org/2001/XMLSchema">
                  <xsd:sequence xmlns:xsd="http://www.w3.org/2001/XMLSchema">
                    <xsd:element xmlns:xsd="http://www.w3.org/2001/XMLSchema" name="DisplayName" type="xsd:string" minOccurs="0"/>
                    <xsd:element xmlns:xsd="http://www.w3.org/2001/XMLSchema" name="AccountId" type="dms:UserId" minOccurs="0" nillable="true"/>
                    <xsd:element xmlns:xsd="http://www.w3.org/2001/XMLSchema" name="AccountType" type="xsd:string" minOccurs="0"/>
                  </xsd:sequence>
                </xsd:complexType>
              </xsd:element>
            </xsd:sequence>
          </xsd:extension>
        </xsd:complexContent>
      </xsd:complexType>
    </xsd:element>
    <xsd:element xmlns:xsd="http://www.w3.org/2001/XMLSchema" xmlns:ma="http://schemas.microsoft.com/office/2006/metadata/properties/metaAttributes" name="LegacyDocumentID" ma:displayName="Legacy Document ID" ma:index="9" ma:hidden="true" ma:internalName="LegacyDocumentID" nillable="true">
      <xsd:simpleType xmlns:xsd="http://www.w3.org/2001/XMLSchema">
        <xsd:restriction xmlns:xsd="http://www.w3.org/2001/XMLSchema" base="dms:Text">
          <xsd:maxLength xmlns:xsd="http://www.w3.org/2001/XMLSchema" value="255"/>
        </xsd:restriction>
      </xsd:simpleType>
    </xsd:element>
    <xsd:element xmlns:xsd="http://www.w3.org/2001/XMLSchema" xmlns:ma="http://schemas.microsoft.com/office/2006/metadata/properties/metaAttributes" name="LegacyInformation" ma:displayName="Legacy Information" ma:index="10" ma:hidden="true" ma:internalName="LegacyInformation" nillable="true">
      <xsd:simpleType xmlns:xsd="http://www.w3.org/2001/XMLSchema">
        <xsd:restriction xmlns:xsd="http://www.w3.org/2001/XMLSchema" base="dms:Note"/>
      </xsd:simpleType>
    </xsd:element>
    <xsd:element xmlns:xsd="http://www.w3.org/2001/XMLSchema" xmlns:ma="http://schemas.microsoft.com/office/2006/metadata/properties/metaAttributes" name="ConfigListSynch" ma:displayName="Config List Synch" ma:format="DateTime" ma:index="11" ma:hidden="true" ma:internalName="ConfigListSynch" nillable="true">
      <xsd:simpleType xmlns:xsd="http://www.w3.org/2001/XMLSchema">
        <xsd:restriction xmlns:xsd="http://www.w3.org/2001/XMLSchema" base="dms:DateTime"/>
      </xsd:simpleType>
    </xsd:element>
    <xsd:element xmlns:xsd="http://www.w3.org/2001/XMLSchema" xmlns:ma="http://schemas.microsoft.com/office/2006/metadata/properties/metaAttributes" name="KeyDocument" ma:default="0" ma:displayName="Key Document" ma:index="12" ma:internalName="KeyDocument" nillable="true">
      <xsd:simpleType xmlns:xsd="http://www.w3.org/2001/XMLSchema">
        <xsd:restriction xmlns:xsd="http://www.w3.org/2001/XMLSchema" base="dms:Boolean"/>
      </xsd:simpleType>
    </xsd:element>
    <xsd:element xmlns:xsd="http://www.w3.org/2001/XMLSchema" xmlns:ma="http://schemas.microsoft.com/office/2006/metadata/properties/metaAttributes" name="MatterNumber" ma:default="CN-2000-02-OFF2" ma:displayName="Matter Number" ma:index="19" ma:hidden="true" ma:internalName="MatterNumber" nillable="true">
      <xsd:simpleType xmlns:xsd="http://www.w3.org/2001/XMLSchema">
        <xsd:restriction xmlns:xsd="http://www.w3.org/2001/XMLSchema" base="dms:Text">
          <xsd:maxLength xmlns:xsd="http://www.w3.org/2001/XMLSchema" value="15"/>
        </xsd:restriction>
      </xsd:simpleType>
    </xsd:element>
    <xsd:element xmlns:xsd="http://www.w3.org/2001/XMLSchema" xmlns:ma="http://schemas.microsoft.com/office/2006/metadata/properties/metaAttributes" name="MatterName" ma:default="Corporate office documents 2015" ma:displayName="Matter Name" ma:index="20" ma:hidden="true" ma:internalName="MatterName" nillable="true">
      <xsd:simpleType xmlns:xsd="http://www.w3.org/2001/XMLSchema">
        <xsd:restriction xmlns:xsd="http://www.w3.org/2001/XMLSchema" base="dms:Text">
          <xsd:maxLength xmlns:xsd="http://www.w3.org/2001/XMLSchema" value="255"/>
        </xsd:restriction>
      </xsd:simpleType>
    </xsd:element>
    <xsd:element xmlns:xsd="http://www.w3.org/2001/XMLSchema" xmlns:ma="http://schemas.microsoft.com/office/2006/metadata/properties/metaAttributes" name="MatterStatus" ma:default="Current" ma:displayName="Matter Status" ma:index="21" ma:hidden="true" ma:internalName="MatterStatus" nillable="true">
      <xsd:simpleType xmlns:xsd="http://www.w3.org/2001/XMLSchema">
        <xsd:restriction xmlns:xsd="http://www.w3.org/2001/XMLSchema" base="dms:Choice">
          <xsd:enumeration xmlns:xsd="http://www.w3.org/2001/XMLSchema" value="Current"/>
          <xsd:enumeration xmlns:xsd="http://www.w3.org/2001/XMLSchema" value="Dormant"/>
        </xsd:restriction>
      </xsd:simpleType>
    </xsd:element>
    <xsd:element xmlns:xsd="http://www.w3.org/2001/XMLSchema" xmlns:ma="http://schemas.microsoft.com/office/2006/metadata/properties/metaAttributes" name="ClientNumber" ma:displayName="Client Number" ma:index="22" ma:hidden="true" ma:internalName="ClientNumber" nillable="true">
      <xsd:simpleType xmlns:xsd="http://www.w3.org/2001/XMLSchema">
        <xsd:restriction xmlns:xsd="http://www.w3.org/2001/XMLSchema" base="dms:Text">
          <xsd:maxLength xmlns:xsd="http://www.w3.org/2001/XMLSchema" value="50"/>
        </xsd:restriction>
      </xsd:simpleType>
    </xsd:element>
    <xsd:element xmlns:xsd="http://www.w3.org/2001/XMLSchema" xmlns:ma="http://schemas.microsoft.com/office/2006/metadata/properties/metaAttributes" name="ClientName" ma:displayName="Client Name" ma:index="23" ma:hidden="true" ma:internalName="ClientName" nillable="true">
      <xsd:simpleType xmlns:xsd="http://www.w3.org/2001/XMLSchema">
        <xsd:restriction xmlns:xsd="http://www.w3.org/2001/XMLSchema" base="dms:Text">
          <xsd:maxLength xmlns:xsd="http://www.w3.org/2001/XMLSchema" value="255"/>
        </xsd:restriction>
      </xsd:simpleType>
    </xsd:element>
    <xsd:element xmlns:xsd="http://www.w3.org/2001/XMLSchema" xmlns:ma="http://schemas.microsoft.com/office/2006/metadata/properties/metaAttributes" name="ClientReference" ma:displayName="Client Reference" ma:index="24" ma:hidden="true" ma:internalName="ClientReference" nillable="true">
      <xsd:simpleType xmlns:xsd="http://www.w3.org/2001/XMLSchema">
        <xsd:restriction xmlns:xsd="http://www.w3.org/2001/XMLSchema" base="dms:Text">
          <xsd:maxLength xmlns:xsd="http://www.w3.org/2001/XMLSchema" value="255"/>
        </xsd:restriction>
      </xsd:simpleType>
    </xsd:element>
    <xsd:element xmlns:xsd="http://www.w3.org/2001/XMLSchema" xmlns:ma="http://schemas.microsoft.com/office/2006/metadata/properties/metaAttributes" name="CCOffice" ma:default="Beijing" ma:displayName="CC Office" ma:index="25" ma:hidden="true" ma:internalName="CCOffice" nillable="true">
      <xsd:simpleType xmlns:xsd="http://www.w3.org/2001/XMLSchema">
        <xsd:restriction xmlns:xsd="http://www.w3.org/2001/XMLSchema" base="dms:Text">
          <xsd:maxLength xmlns:xsd="http://www.w3.org/2001/XMLSchema" value="255"/>
        </xsd:restriction>
      </xsd:simpleType>
    </xsd:element>
    <xsd:element xmlns:xsd="http://www.w3.org/2001/XMLSchema" xmlns:ma="http://schemas.microsoft.com/office/2006/metadata/properties/metaAttributes" name="PracticeArea" ma:default="Corporate" ma:displayName="Practice Area" ma:index="26" ma:hidden="true" ma:internalName="PracticeArea" nillable="true">
      <xsd:simpleType xmlns:xsd="http://www.w3.org/2001/XMLSchema">
        <xsd:restriction xmlns:xsd="http://www.w3.org/2001/XMLSchema" base="dms:Text">
          <xsd:maxLength xmlns:xsd="http://www.w3.org/2001/XMLSchema" value="255"/>
        </xsd:restriction>
      </xsd:simpleType>
    </xsd:element>
    <xsd:element xmlns:xsd="http://www.w3.org/2001/XMLSchema" xmlns:ma="http://schemas.microsoft.com/office/2006/metadata/properties/metaAttributes" name="PracticeGroup" ma:default="Corporate Group" ma:displayName="Practice Group" ma:index="27" ma:hidden="true" ma:internalName="PracticeGroup" nillable="true">
      <xsd:simpleType xmlns:xsd="http://www.w3.org/2001/XMLSchema">
        <xsd:restriction xmlns:xsd="http://www.w3.org/2001/XMLSchema" base="dms:Text">
          <xsd:maxLength xmlns:xsd="http://www.w3.org/2001/XMLSchema" value="255"/>
        </xsd:restriction>
      </xsd:simpleType>
    </xsd:element>
    <xsd:element xmlns:xsd="http://www.w3.org/2001/XMLSchema" xmlns:ma="http://schemas.microsoft.com/office/2006/metadata/properties/metaAttributes" name="DocumentIcons" ma:displayName="Relationship Icons" ma:readOnly="true" ma:index="30" ma:internalName="DocumentIcons" nillable="true">
      <xsd:simpleType xmlns:xsd="http://www.w3.org/2001/XMLSchema">
        <xsd:restriction xmlns:xsd="http://www.w3.org/2001/XMLSchema" base="dms:Note"/>
      </xsd:simpleType>
    </xsd:element>
    <xsd:element xmlns:xsd="http://www.w3.org/2001/XMLSchema" xmlns:ma="http://schemas.microsoft.com/office/2006/metadata/properties/metaAttributes" name="WorkType" ma:displayName="Work Type" ma:index="34" ma:internalName="WorkType" nillable="true">
      <xsd:simpleType xmlns:xsd="http://www.w3.org/2001/XMLSchema">
        <xsd:restriction xmlns:xsd="http://www.w3.org/2001/XMLSchema" base="dms:Text">
          <xsd:maxLength xmlns:xsd="http://www.w3.org/2001/XMLSchema" value="255"/>
        </xsd:restriction>
      </xsd:simpleType>
    </xsd:element>
  </xsd:schema>
  <xsd:schema xmlns:xsd="http://www.w3.org/2001/XMLSchema" targetNamespace="84e8189d-2f07-4d07-be7d-de46b9fe3006" elementFormDefault="qualified">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name="LegalTopicTaxHTField0" ma:taxonomyMulti="true" ma:open="false" ma:displayName="Legal Topic" ma:fieldId="{298694be-6880-4cab-a213-05b418c55f8d}" ma:anchorId="00000000-0000-0000-0000-000000000000" ma:sspId="da97c454-82a7-458e-b02b-a23c149c4c8f" ma:isKeyword="false" ma:index="13" ma:taxonomy="true" ma:taxonomyFieldName="LegalTopic" ma:termSetId="4eade391-4385-4947-91c4-c7e0045c62f5" ma:internalName="LegalTopicTaxHTField0" nillable="true">
      <xsd:complexType xmlns:xsd="http://www.w3.org/2001/XMLSchema">
        <xsd:sequence xmlns:xsd="http://www.w3.org/2001/XMLSchema">
          <xsd:element xmlns:xsd="http://www.w3.org/2001/XMLSchema" maxOccurs="1" minOccurs="0" ref="pc:Terms"/>
        </xsd:sequence>
      </xsd:complexType>
    </xsd:element>
    <xsd:element xmlns:xsd="http://www.w3.org/2001/XMLSchema" xmlns:ma="http://schemas.microsoft.com/office/2006/metadata/properties/metaAttributes" name="LegalDocumentTypeTaxHTField0" ma:taxonomyMulti="true" ma:open="false" ma:displayName="Legal Document Type" ma:fieldId="{cee04788-c694-4d93-868f-7a1bb6a22dc9}" ma:anchorId="00000000-0000-0000-0000-000000000000" ma:sspId="da97c454-82a7-458e-b02b-a23c149c4c8f" ma:isKeyword="false" ma:index="15" ma:taxonomy="true" ma:taxonomyFieldName="LegalDocumentType" ma:termSetId="3893581f-22c8-437d-8e06-6a9355261526" ma:internalName="LegalDocumentTypeTaxHTField0" nillable="true">
      <xsd:complexType xmlns:xsd="http://www.w3.org/2001/XMLSchema">
        <xsd:sequence xmlns:xsd="http://www.w3.org/2001/XMLSchema">
          <xsd:element xmlns:xsd="http://www.w3.org/2001/XMLSchema" maxOccurs="1" minOccurs="0" ref="pc:Terms"/>
        </xsd:sequence>
      </xsd:complexType>
    </xsd:element>
    <xsd:element xmlns:xsd="http://www.w3.org/2001/XMLSchema" xmlns:ma="http://schemas.microsoft.com/office/2006/metadata/properties/metaAttributes" name="JurisdictionTaxHTField0" ma:open="false" ma:displayName="Jurisdiction" ma:fieldId="{9a9a92f4-56e3-4d35-a012-d7b34af74b8b}" ma:anchorId="00000000-0000-0000-0000-000000000000" ma:sspId="da97c454-82a7-458e-b02b-a23c149c4c8f" ma:isKeyword="false" ma:index="17" ma:taxonomy="true" ma:taxonomyFieldName="Jurisdiction" ma:termSetId="fb719a8b-b148-4c96-bf3d-16d5d6b87eba" ma:internalName="JurisdictionTaxHTField0" nillable="true">
      <xsd:complexType xmlns:xsd="http://www.w3.org/2001/XMLSchema">
        <xsd:sequence xmlns:xsd="http://www.w3.org/2001/XMLSchema">
          <xsd:element xmlns:xsd="http://www.w3.org/2001/XMLSchema" maxOccurs="1" minOccurs="0" ref="pc:Terms"/>
        </xsd:sequence>
      </xsd:complexType>
    </xsd:element>
    <xsd:element xmlns:xsd="http://www.w3.org/2001/XMLSchema" xmlns:ma="http://schemas.microsoft.com/office/2006/metadata/properties/metaAttributes" name="SectorTaxHTField0" ma:default="" ma:open="false" ma:displayName="Sector" ma:fieldId="{593f98d8-f2a9-43f5-ba02-84af10bfacc9}" ma:anchorId="00000000-0000-0000-0000-000000000000" ma:sspId="da97c454-82a7-458e-b02b-a23c149c4c8f" ma:isKeyword="false" ma:index="28" ma:taxonomy="true" ma:taxonomyFieldName="Sector" ma:termSetId="ecebdddb-d213-4950-88a7-c092025248aa" ma:internalName="SectorTaxHTField0" nillable="true">
      <xsd:complexType xmlns:xsd="http://www.w3.org/2001/XMLSchema">
        <xsd:sequence xmlns:xsd="http://www.w3.org/2001/XMLSchema">
          <xsd:element xmlns:xsd="http://www.w3.org/2001/XMLSchema" maxOccurs="1" minOccurs="0" ref="pc:Terms"/>
        </xsd:sequence>
      </xsd:complexType>
    </xsd:element>
    <xsd:element xmlns:xsd="http://www.w3.org/2001/XMLSchema" xmlns:ma="http://schemas.microsoft.com/office/2006/metadata/properties/metaAttributes" name="_dlc_DocId" ma:displayName="Document ID Value" ma:description="The value of the document ID assigned to this item." ma:readOnly="true" ma:index="31" ma:internalName="_dlc_DocId" nillable="true">
      <xsd:simpleType xmlns:xsd="http://www.w3.org/2001/XMLSchema">
        <xsd:restriction xmlns:xsd="http://www.w3.org/2001/XMLSchema" base="dms:Text"/>
      </xsd:simpleType>
    </xsd:element>
    <xsd:element xmlns:xsd="http://www.w3.org/2001/XMLSchema" xmlns:ma="http://schemas.microsoft.com/office/2006/metadata/properties/metaAttributes" name="_dlc_DocIdUrl" ma:displayName="Document ID" ma:description="Permanent link to this document." ma:readOnly="true" ma:index="32" ma:hidden="true" ma:internalName="_dlc_DocIdUrl" nillable="true">
      <xsd:complexType xmlns:xsd="http://www.w3.org/2001/XMLSchema">
        <xsd:complexContent xmlns:xsd="http://www.w3.org/2001/XMLSchema">
          <xsd:extension xmlns:xsd="http://www.w3.org/2001/XMLSchema" base="dms:URL">
            <xsd:sequence xmlns:xsd="http://www.w3.org/2001/XMLSchema">
              <xsd:element xmlns:xsd="http://www.w3.org/2001/XMLSchema" name="Url" type="dms:ValidUrl" minOccurs="0" nillable="true"/>
              <xsd:element xmlns:xsd="http://www.w3.org/2001/XMLSchema" name="Description" type="xsd:string" nillable="true"/>
            </xsd:sequence>
          </xsd:extension>
        </xsd:complexContent>
      </xsd:complexType>
    </xsd:element>
    <xsd:element xmlns:xsd="http://www.w3.org/2001/XMLSchema" xmlns:ma="http://schemas.microsoft.com/office/2006/metadata/properties/metaAttributes" name="_dlc_DocIdPersistId" ma:displayName="Persist ID" ma:description="Keep ID on add." ma:readOnly="true" ma:index="33" ma:hidden="true" ma:internalName="_dlc_DocIdPersistId" nillable="true">
      <xsd:simpleType xmlns:xsd="http://www.w3.org/2001/XMLSchema">
        <xsd:restriction xmlns:xsd="http://www.w3.org/2001/XMLSchema" base="dms:Boolean"/>
      </xsd:simpleType>
    </xsd:element>
  </xsd:schema>
  <xsd:schema xmlns:xsd="http://www.w3.org/2001/XMLSchema" targetNamespace="2346a981-3d4d-4356-9bea-698e0ff2abfd" elementFormDefault="qualified">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name="TaxCatchAll" ma:list="{99a01833-94aa-498a-b909-6e06adff7963}" ma:web="2346a981-3d4d-4356-9bea-698e0ff2abfd" ma:displayName="Taxonomy Catch All Column" ma:showField="CatchAllData" ma:index="35" ma:hidden="true" ma:internalName="TaxCatchAll" nillable="true">
      <xsd:complexType xmlns:xsd="http://www.w3.org/2001/XMLSchema">
        <xsd:complexContent xmlns:xsd="http://www.w3.org/2001/XMLSchema">
          <xsd:extension xmlns:xsd="http://www.w3.org/2001/XMLSchema" base="dms:MultiChoiceLookup">
            <xsd:sequence xmlns:xsd="http://www.w3.org/2001/XMLSchema">
              <xsd:element xmlns:xsd="http://www.w3.org/2001/XMLSchema" name="Value" type="dms:Lookup" maxOccurs="unbounded" minOccurs="0" nillable="true"/>
            </xsd:sequence>
          </xsd:extension>
        </xsd:complexContent>
      </xsd:complexType>
    </xsd:element>
  </xsd:schema>
  <xsd:schema xmlns:xsd="http://www.w3.org/2001/XMLSchema" targetNamespace="abe85721-301c-4cdd-bb97-abd071f66392" elementFormDefault="qualified">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name="DLCPolicyLabelValue" ma:displayName="Label" ma:description="Stores the current value of the label." ma:readOnly="true" ma:index="37" ma:internalName="DLCPolicyLabelValue" nillable="true">
      <xsd:simpleType xmlns:xsd="http://www.w3.org/2001/XMLSchema">
        <xsd:restriction xmlns:xsd="http://www.w3.org/2001/XMLSchema" base="dms:Note">
          <xsd:maxLength xmlns:xsd="http://www.w3.org/2001/XMLSchema" value="255"/>
        </xsd:restriction>
      </xsd:simpleType>
    </xsd:element>
    <xsd:element xmlns:xsd="http://www.w3.org/2001/XMLSchema" xmlns:ma="http://schemas.microsoft.com/office/2006/metadata/properties/metaAttributes" name="DLCPolicyLabelClientValue" ma:displayName="Client Label Value" ma:description="Stores the last label value computed on the client." ma:readOnly="false" ma:index="38" ma:hidden="true" ma:internalName="DLCPolicyLabelClientValue" nillable="true">
      <xsd:simpleType xmlns:xsd="http://www.w3.org/2001/XMLSchema">
        <xsd:restriction xmlns:xsd="http://www.w3.org/2001/XMLSchema" base="dms:Note"/>
      </xsd:simpleType>
    </xsd:element>
    <xsd:element xmlns:xsd="http://www.w3.org/2001/XMLSchema" xmlns:ma="http://schemas.microsoft.com/office/2006/metadata/properties/metaAttributes" name="DLCPolicyLabelLock" ma:displayName="Label Locked" ma:description="Indicates whether the label should be updated when item properties are modified." ma:readOnly="false" ma:index="39" ma:hidden="true" ma:internalName="DLCPolicyLabelLock" nillable="true">
      <xsd:simpleType xmlns:xsd="http://www.w3.org/2001/XMLSchema">
        <xsd:restriction xmlns:xsd="http://www.w3.org/2001/XMLSchema" base="dms:Text"/>
      </xsd:simpleType>
    </xsd:element>
  </xsd:schema>
  <xsd:schema xmlns:xsd="http://www.w3.org/2001/XMLSchema" targetNamespace="http://schemas.openxmlformats.org/package/2006/metadata/core-properties" attributeFormDefault="unqualified" elementFormDefault="qualified" blockDefault="#all">
    <xsd:import xmlns:xsd="http://www.w3.org/2001/XMLSchema" schemaLocation="http://dublincore.org/schemas/xmls/qdc/2003/04/02/dc.xsd" namespace="http://purl.org/dc/elements/1.1/"/>
    <xsd:import xmlns:xsd="http://www.w3.org/2001/XMLSchema" schemaLocation="http://dublincore.org/schemas/xmls/qdc/2003/04/02/dcterms.xsd" namespace="http://purl.org/dc/terms/"/>
    <xsd:element xmlns:xsd="http://www.w3.org/2001/XMLSchema" name="coreProperties" type="CT_coreProperties"/>
    <xsd:complexType xmlns:xsd="http://www.w3.org/2001/XMLSchema" name="CT_coreProperties">
      <xsd:all xmlns:xsd="http://www.w3.org/2001/XMLSchema">
        <xsd:element xmlns:xsd="http://www.w3.org/2001/XMLSchema" maxOccurs="1" minOccurs="0" ref="dc:creator"/>
        <xsd:element xmlns:xsd="http://www.w3.org/2001/XMLSchema" maxOccurs="1" minOccurs="0" ref="dcterms:created"/>
        <xsd:element xmlns:xsd="http://www.w3.org/2001/XMLSchema" maxOccurs="1" minOccurs="0" ref="dc:identifier"/>
        <xsd:element xmlns:xsd="http://www.w3.org/2001/XMLSchema" xmlns:ma="http://schemas.microsoft.com/office/2006/metadata/properties/metaAttributes" name="contentType" ma:displayName="Content Type" type="xsd:string" maxOccurs="1" minOccurs="0" ma:index="0"/>
        <xsd:element xmlns:xsd="http://www.w3.org/2001/XMLSchema" xmlns:ma="http://schemas.microsoft.com/office/2006/metadata/properties/metaAttributes" ma:displayName="Title" maxOccurs="1" minOccurs="0" ma:index="4" ref="dc:title"/>
        <xsd:element xmlns:xsd="http://www.w3.org/2001/XMLSchema" maxOccurs="1" minOccurs="0" ref="dc:subject"/>
        <xsd:element xmlns:xsd="http://www.w3.org/2001/XMLSchema" maxOccurs="1" minOccurs="0" ref="dc:description"/>
        <xsd:element xmlns:xsd="http://www.w3.org/2001/XMLSchema" name="keywords" type="xsd:string" maxOccurs="1" minOccurs="0"/>
        <xsd:element xmlns:xsd="http://www.w3.org/2001/XMLSchema" maxOccurs="1" minOccurs="0" ref="dc:language"/>
        <xsd:element xmlns:xsd="http://www.w3.org/2001/XMLSchema" name="category" type="xsd:string" maxOccurs="1" minOccurs="0"/>
        <xsd:element xmlns:xsd="http://www.w3.org/2001/XMLSchema" name="version" type="xsd:string" maxOccurs="1" minOccurs="0"/>
        <xsd:element xmlns:xsd="http://www.w3.org/2001/XMLSchema" name="revision" type="xsd:string" maxOccurs="1" minOccurs="0">
          <xsd:annotation xmlns:xsd="http://www.w3.org/2001/XMLSchema">
            <xsd:documentation xmlns:xsd="http://www.w3.org/2001/XMLSchema">
                        This value indicates the number of saves or revisions. The application is responsible for updating this value after each revision.
                    </xsd:documentation>
          </xsd:annotation>
        </xsd:element>
        <xsd:element xmlns:xsd="http://www.w3.org/2001/XMLSchema" name="lastModifiedBy" type="xsd:string" maxOccurs="1" minOccurs="0"/>
        <xsd:element xmlns:xsd="http://www.w3.org/2001/XMLSchema" maxOccurs="1" minOccurs="0" ref="dcterms:modified"/>
        <xsd:element xmlns:xsd="http://www.w3.org/2001/XMLSchema" name="contentStatus" type="xsd:string" maxOccurs="1" minOccurs="0"/>
      </xsd:all>
    </xsd:complexType>
  </xsd:schema>
  <xs:schema xmlns:xs="http://www.w3.org/2001/XMLSchema" targetNamespace="http://schemas.microsoft.com/office/infopath/2007/PartnerControls" attributeFormDefault="unqualified" elementFormDefault="qualified">
    <xs:element xmlns:xs="http://www.w3.org/2001/XMLSchema" name="Person">
      <xs:complexType xmlns:xs="http://www.w3.org/2001/XMLSchema">
        <xs:sequence xmlns:xs="http://www.w3.org/2001/XMLSchema">
          <xs:element xmlns:xs="http://www.w3.org/2001/XMLSchema" minOccurs="0" ref="pc:DisplayName"/>
          <xs:element xmlns:xs="http://www.w3.org/2001/XMLSchema" minOccurs="0" ref="pc:AccountId"/>
          <xs:element xmlns:xs="http://www.w3.org/2001/XMLSchema" minOccurs="0" ref="pc:AccountType"/>
        </xs:sequence>
      </xs:complexType>
    </xs:element>
    <xs:element xmlns:xs="http://www.w3.org/2001/XMLSchema" name="DisplayName" type="xs:string"/>
    <xs:element xmlns:xs="http://www.w3.org/2001/XMLSchema" name="AccountId" type="xs:string"/>
    <xs:element xmlns:xs="http://www.w3.org/2001/XMLSchema" name="AccountType" type="xs:string"/>
    <xs:element xmlns:xs="http://www.w3.org/2001/XMLSchema" name="BDCAssociatedEntity">
      <xs:complexType xmlns:xs="http://www.w3.org/2001/XMLSchema">
        <xs:sequence xmlns:xs="http://www.w3.org/2001/XMLSchema">
          <xs:element xmlns:xs="http://www.w3.org/2001/XMLSchema" maxOccurs="unbounded" minOccurs="0" ref="pc:BDCEntity"/>
        </xs:sequence>
        <xs:attribute xmlns:xs="http://www.w3.org/2001/XMLSchema" ref="pc:EntityNamespace"/>
        <xs:attribute xmlns:xs="http://www.w3.org/2001/XMLSchema" ref="pc:EntityName"/>
        <xs:attribute xmlns:xs="http://www.w3.org/2001/XMLSchema" ref="pc:SystemInstanceName"/>
        <xs:attribute xmlns:xs="http://www.w3.org/2001/XMLSchema" ref="pc:AssociationName"/>
      </xs:complexType>
    </xs:element>
    <xs:attribute xmlns:xs="http://www.w3.org/2001/XMLSchema" name="EntityNamespace" type="xs:string"/>
    <xs:attribute xmlns:xs="http://www.w3.org/2001/XMLSchema" name="EntityName" type="xs:string"/>
    <xs:attribute xmlns:xs="http://www.w3.org/2001/XMLSchema" name="SystemInstanceName" type="xs:string"/>
    <xs:attribute xmlns:xs="http://www.w3.org/2001/XMLSchema" name="AssociationName" type="xs:string"/>
    <xs:element xmlns:xs="http://www.w3.org/2001/XMLSchema" name="BDCEntity">
      <xs:complexType xmlns:xs="http://www.w3.org/2001/XMLSchema">
        <xs:sequence xmlns:xs="http://www.w3.org/2001/XMLSchema">
          <xs:element xmlns:xs="http://www.w3.org/2001/XMLSchema" minOccurs="0" ref="pc:EntityDisplayName"/>
          <xs:element xmlns:xs="http://www.w3.org/2001/XMLSchema" minOccurs="0" ref="pc:EntityInstanceReference"/>
          <xs:element xmlns:xs="http://www.w3.org/2001/XMLSchema" minOccurs="0" ref="pc:EntityId1"/>
          <xs:element xmlns:xs="http://www.w3.org/2001/XMLSchema" minOccurs="0" ref="pc:EntityId2"/>
          <xs:element xmlns:xs="http://www.w3.org/2001/XMLSchema" minOccurs="0" ref="pc:EntityId3"/>
          <xs:element xmlns:xs="http://www.w3.org/2001/XMLSchema" minOccurs="0" ref="pc:EntityId4"/>
          <xs:element xmlns:xs="http://www.w3.org/2001/XMLSchema" minOccurs="0" ref="pc:EntityId5"/>
        </xs:sequence>
      </xs:complexType>
    </xs:element>
    <xs:element xmlns:xs="http://www.w3.org/2001/XMLSchema" name="EntityDisplayName" type="xs:string"/>
    <xs:element xmlns:xs="http://www.w3.org/2001/XMLSchema" name="EntityInstanceReference" type="xs:string"/>
    <xs:element xmlns:xs="http://www.w3.org/2001/XMLSchema" name="EntityId1" type="xs:string"/>
    <xs:element xmlns:xs="http://www.w3.org/2001/XMLSchema" name="EntityId2" type="xs:string"/>
    <xs:element xmlns:xs="http://www.w3.org/2001/XMLSchema" name="EntityId3" type="xs:string"/>
    <xs:element xmlns:xs="http://www.w3.org/2001/XMLSchema" name="EntityId4" type="xs:string"/>
    <xs:element xmlns:xs="http://www.w3.org/2001/XMLSchema" name="EntityId5" type="xs:string"/>
    <xs:element xmlns:xs="http://www.w3.org/2001/XMLSchema" name="Terms">
      <xs:complexType xmlns:xs="http://www.w3.org/2001/XMLSchema">
        <xs:sequence xmlns:xs="http://www.w3.org/2001/XMLSchema">
          <xs:element xmlns:xs="http://www.w3.org/2001/XMLSchema" maxOccurs="unbounded" minOccurs="0" ref="pc:TermInfo"/>
        </xs:sequence>
      </xs:complexType>
    </xs:element>
    <xs:element xmlns:xs="http://www.w3.org/2001/XMLSchema" name="TermInfo">
      <xs:complexType xmlns:xs="http://www.w3.org/2001/XMLSchema">
        <xs:sequence xmlns:xs="http://www.w3.org/2001/XMLSchema">
          <xs:element xmlns:xs="http://www.w3.org/2001/XMLSchema" minOccurs="0" ref="pc:TermName"/>
          <xs:element xmlns:xs="http://www.w3.org/2001/XMLSchema" minOccurs="0" ref="pc:TermId"/>
        </xs:sequence>
      </xs:complexType>
    </xs:element>
    <xs:element xmlns:xs="http://www.w3.org/2001/XMLSchema" name="TermName" type="xs:string"/>
    <xs:element xmlns:xs="http://www.w3.org/2001/XMLSchema" name="TermId" type="xs:string"/>
  </xs:schema>
</ct:contentTypeSchema>
</file>

<file path=customXml/item5.xml><?xml version='1.0' standalone='no'?>
<b:Sources xmlns:b="http://schemas.openxmlformats.org/officeDocument/2006/bibliography" Version="6" SelectedStyle="\APASixthEditionOfficeOnline.xsl" StyleName="APA" xmlns:b="http://schemas.openxmlformats.org/officeDocument/2006/bibliography"/>

</file>

<file path=customXml/item6.xml><?xml version="1.0" encoding="utf-8"?>
<?mso-contentType ?>
<p:Policy xmlns:p="office.server.policy" local="true" id="">
  <p:Name xmlns:p="office.server.policy">Legal Document</p:Name>
  <p:Description xmlns:p="office.server.policy"/>
  <p:Statement xmlns:p="office.server.policy"/>
  <p:PolicyItems xmlns:p="office.server.policy">
    <p:PolicyItem xmlns:p="office.server.policy" UniqueId="dae32e3f-24d4-4675-9401-233fbc0c37a8" staticId="0x01010066AAA4A189E15340A8F90A14B5E3178D010093B0E8CA13B14C41BAFE6564DDF24F70|689439171" featureId="Microsoft.Office.RecordsManagement.PolicyFeatures.PolicyLabel">
      <p:Name xmlns:p="office.server.policy">Labels</p:Name>
      <p:Description xmlns:p="office.server.policy">Generates labels that can be inserted in Microsoft Office documents to ensure that document properties or other important information are included when documents are printed. Labels can also be used to search for documents.</p:Description>
      <p:CustomData xmlns:p="office.server.policy">
        <label>
          <segment type="metadata">_dlc_DocId</segment>
          <segment type="literal">-v</segment>
          <segment type="metadata">_UIVersionString</segment>
        </label>
      </p:CustomData>
    </p:PolicyItem>
  </p:PolicyItems>
</p:Policy>
</file>

<file path=customXml/item7.xml><?xml version="1.0" encoding="utf-8"?>
<properties xmlns="http://www.imanage.com/work/xmlschema">
  <documentid xmlns="http://www.imanage.com/work/xmlschema">AMERICAS!24011418586.2</documentid>
  <senderid xmlns="http://www.imanage.com/work/xmlschema">620644</senderid>
  <senderemail xmlns="http://www.imanage.com/work/xmlschema">CHLOE.BARCLAY@CLIFFORDCHANCE.COM</senderemail>
  <lastmodified xmlns="http://www.imanage.com/work/xmlschema">2024-09-11T18:09:00.0000000+01:00</lastmodified>
  <database xmlns="http://www.imanage.com/work/xmlschema">AMERICAS</database>
</properties>
</file>

<file path=customXml/item8.xml><?xml version="1.0" encoding="utf-8"?>
<p:properties xmlns:p="http://schemas.microsoft.com/office/2006/metadata/properties" xmlns:pc="http://schemas.microsoft.com/office/infopath/2007/PartnerControls" xmlns:xsi="http://www.w3.org/2001/XMLSchema-instance">
  <documentManagement>
    <LegacyInformation xmlns="http://schema.microsoft.com/sharepoint/v3/fields" xmlns:xsi="http://www.w3.org/2001/XMLSchema-instance"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mlns:xsi="http://www.w3.org/2001/XMLSchema-instance" xsi:nil="true"/>
    <DLCPolicyLabelClientValue xmlns="abe85721-301c-4cdd-bb97-abd071f66392">516440-4-9814-v{_UIVersionString}</DLCPolicyLabelClientValue>
    <KeyDocument xmlns="http://schema.microsoft.com/sharepoint/v3/fields">false</KeyDocument>
    <ClientReference xmlns="http://schema.microsoft.com/sharepoint/v3/fields" xmlns:xsi="http://www.w3.org/2001/XMLSchema-instance" xsi:nil="true"/>
    <WorkType xmlns="http://schema.microsoft.com/sharepoint/v3/fields" xmlns:xsi="http://www.w3.org/2001/XMLSchema-instance" xsi:nil="true"/>
    <LegacyDocumentID xmlns="http://schema.microsoft.com/sharepoint/v3/fields" xmlns:xsi="http://www.w3.org/2001/XMLSchema-instance" xsi:nil="true"/>
    <ClientName xmlns="http://schema.microsoft.com/sharepoint/v3/fields" xmlns:xsi="http://www.w3.org/2001/XMLSchema-instance"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xmlns="http://schema.microsoft.com/sharepoint/v3/fields">
        <DisplayName xmlns="http://schema.microsoft.com/sharepoint/v3/fields">Wang, Pengfei (Antitrust-BEI)</DisplayName>
        <AccountId xmlns="http://schema.microsoft.com/sharepoint/v3/fields">1301</AccountId>
        <AccountType xmlns="http://schema.microsoft.com/sharepoint/v3/fields"/>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mlns:xsi="http://www.w3.org/2001/XMLSchema-instance" xsi:nil="true"/>
    <_dlc_DocId xmlns="84e8189d-2f07-4d07-be7d-de46b9fe3006">516440-4-9814</_dlc_DocId>
    <_dlc_DocIdUrl xmlns="84e8189d-2f07-4d07-be7d-de46b9fe3006">
      <Url xmlns="84e8189d-2f07-4d07-be7d-de46b9fe3006">http://spr3.intranet.cliffordchance.com/sites/CN-2000-02-OFF2/_layouts/DocIdRedir.aspx?ID=516440-4-9814</Url>
      <Description xmlns="84e8189d-2f07-4d07-be7d-de46b9fe3006">516440-4-9814</Description>
    </_dlc_DocIdUrl>
    <DLCPolicyLabelValue xmlns="abe85721-301c-4cdd-bb97-abd071f66392">516440-4-9814-v0.2</DLCPolicyLabelValue>
  </documentManagement>
</p:properties>
</file>

<file path=customXml/itemProps1.xml><?xml version="1.0" encoding="utf-8"?>
<ds:datastoreItem xmlns:ds="http://schemas.openxmlformats.org/officeDocument/2006/customXml" ds:itemID="{832D90BB-58AE-425B-9C28-9DAF98060895}">
  <ds:schemaRefs/>
</ds:datastoreItem>
</file>

<file path=customXml/itemProps2.xml><?xml version="1.0" encoding="utf-8"?>
<ds:datastoreItem xmlns:ds="http://schemas.openxmlformats.org/officeDocument/2006/customXml" ds:itemID="{8136E086-62D4-4DEF-BA3C-9336C271C4C0}">
  <ds:schemaRefs/>
</ds:datastoreItem>
</file>

<file path=customXml/itemProps3.xml><?xml version="1.0" encoding="utf-8"?>
<ds:datastoreItem xmlns:ds="http://schemas.openxmlformats.org/officeDocument/2006/customXml" ds:itemID="{323A3D86-E01D-4A56-84B2-246EC69D1318}">
  <ds:schemaRefs/>
</ds:datastoreItem>
</file>

<file path=customXml/itemProps4.xml><?xml version="1.0" encoding="utf-8"?>
<ds:datastoreItem xmlns:ds="http://schemas.openxmlformats.org/officeDocument/2006/customXml" ds:itemID="{529C6EEE-03E7-4FD3-9602-3673F4413C2C}">
  <ds:schemaRefs/>
</ds:datastoreItem>
</file>

<file path=customXml/itemProps5.xml><?xml version="1.0" encoding="utf-8"?>
<ds:datastoreItem xmlns:ds="http://schemas.openxmlformats.org/officeDocument/2006/customXml" ds:itemID="{EC353E08-2663-4CDC-A8CB-6115AB545A17}">
  <ds:schemaRefs/>
</ds:datastoreItem>
</file>

<file path=customXml/itemProps6.xml><?xml version="1.0" encoding="utf-8"?>
<ds:datastoreItem xmlns:ds="http://schemas.openxmlformats.org/officeDocument/2006/customXml" ds:itemID="{543E1638-0D33-4AD6-9DA5-127EFD9D8B80}">
  <ds:schemaRefs/>
</ds:datastoreItem>
</file>

<file path=customXml/itemProps7.xml><?xml version="1.0" encoding="utf-8"?>
<ds:datastoreItem xmlns:ds="http://schemas.openxmlformats.org/officeDocument/2006/customXml" ds:itemID="{E6DC8E71-FEF7-4D85-B1C1-E7FFFA3B6075}">
  <ds:schemaRefs/>
</ds:datastoreItem>
</file>

<file path=customXml/itemProps8.xml><?xml version="1.0" encoding="utf-8"?>
<ds:datastoreItem xmlns:ds="http://schemas.openxmlformats.org/officeDocument/2006/customXml" ds:itemID="{B9BCE6D0-F6FC-40C8-8194-DD1F6E81736F}">
  <ds:schemaRefs/>
</ds:datastoreItem>
</file>

<file path=docProps/app.xml><?xml version="1.0" encoding="utf-8"?>
<Properties xmlns="http://schemas.openxmlformats.org/officeDocument/2006/extended-properties" xmlns:vt="http://schemas.openxmlformats.org/officeDocument/2006/docPropsVTypes">
  <Template>Normal</Template>
  <Pages>2</Pages>
  <Words>590</Words>
  <Characters>685</Characters>
  <Lines>48</Lines>
  <Paragraphs>27</Paragraphs>
  <TotalTime>40</TotalTime>
  <ScaleCrop>false</ScaleCrop>
  <LinksUpToDate>false</LinksUpToDate>
  <CharactersWithSpaces>1248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2025-05-13T17:00:00Z</dcterms:created>
  <dc:creator>Wang, Pengfei (Intern-BEI)</dc:creator>
  <cp:lastModifiedBy>guest</cp:lastModifiedBy>
  <dcterms:modified xsi:type="dcterms:W3CDTF">2025-05-29T18:40:57Z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附件1 - 沃灵顿投资私人有限公司与英联普通合伙有限责任合伙企业收购Serena能源股份有限公司股权案 - 更新版简易案件公示表 - 29/05/2025 14:02:53</vt:lpwstr>
  </property>
  <property fmtid="{D5CDD505-2E9C-101B-9397-08002B2CF9AE}" pid="11" name="CCDocID">
    <vt:lpwstr>24011418586-v2</vt:lpwstr>
  </property>
  <property fmtid="{D5CDD505-2E9C-101B-9397-08002B2CF9AE}" pid="12" name="CCMatter">
    <vt:lpwstr>81-41078569</vt:lpwstr>
  </property>
  <property fmtid="{D5CDD505-2E9C-101B-9397-08002B2CF9AE}" pid="13" name="KSOProductBuildVer">
    <vt:lpwstr>2052-12.8.2.1119</vt:lpwstr>
  </property>
  <property fmtid="{D5CDD505-2E9C-101B-9397-08002B2CF9AE}" pid="14" name="ICV">
    <vt:lpwstr>8DD6106EDEDEA505B93938685B327E28_42</vt:lpwstr>
  </property>
</Properties>
</file>