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A687E">
      <w:pPr>
        <w:widowControl/>
        <w:spacing w:after="240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GB" w:bidi="ar-AE"/>
        </w:rPr>
      </w:pPr>
      <w:r>
        <w:rPr>
          <w:rFonts w:hint="default" w:ascii="Times New Roman" w:hAnsi="Times New Roman" w:eastAsia="黑体" w:cs="Times New Roman"/>
          <w:bCs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  <w:t>经营者集中简易案件公示表</w:t>
      </w:r>
      <w:bookmarkEnd w:id="0"/>
    </w:p>
    <w:tbl>
      <w:tblPr>
        <w:tblStyle w:val="10"/>
        <w:tblW w:w="893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5390"/>
      </w:tblGrid>
      <w:tr w14:paraId="7A49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noWrap w:val="0"/>
            <w:vAlign w:val="center"/>
          </w:tcPr>
          <w:p w14:paraId="32F2DF2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/>
              </w:rPr>
              <w:t>案件名称</w:t>
            </w:r>
          </w:p>
        </w:tc>
        <w:tc>
          <w:tcPr>
            <w:tcW w:w="6997" w:type="dxa"/>
            <w:gridSpan w:val="2"/>
            <w:noWrap w:val="0"/>
            <w:vAlign w:val="center"/>
          </w:tcPr>
          <w:p w14:paraId="1D538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家居目标（天津）物流基地有限公司与南网越秀双碳股权投资基金（广州）合伙企业（有限合伙）等经营者收购酒泉储创新能源有限公司股权案</w:t>
            </w:r>
          </w:p>
        </w:tc>
      </w:tr>
      <w:tr w14:paraId="0874C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noWrap w:val="0"/>
            <w:vAlign w:val="center"/>
          </w:tcPr>
          <w:p w14:paraId="4F6F637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/>
              </w:rPr>
              <w:t>交易概况（限200字内）</w:t>
            </w:r>
          </w:p>
        </w:tc>
        <w:tc>
          <w:tcPr>
            <w:tcW w:w="6997" w:type="dxa"/>
            <w:gridSpan w:val="2"/>
            <w:noWrap w:val="0"/>
            <w:vAlign w:val="center"/>
          </w:tcPr>
          <w:p w14:paraId="594F0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</w:pP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家居目标（天津）物流基地有限公司</w:t>
            </w:r>
            <w:r>
              <w:rPr>
                <w:rFonts w:hint="default"/>
                <w:kern w:val="0"/>
                <w:sz w:val="24"/>
                <w:lang w:val="en-GB" w:bidi="ar-AE"/>
              </w:rPr>
              <w:t>（</w:t>
            </w:r>
            <w:r>
              <w:rPr>
                <w:rFonts w:hint="eastAsia"/>
                <w:kern w:val="0"/>
                <w:sz w:val="24"/>
                <w:lang w:val="en-GB" w:eastAsia="zh-CN" w:bidi="ar-AE"/>
              </w:rPr>
              <w:t>“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家居目标</w:t>
            </w: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”</w:t>
            </w:r>
            <w:r>
              <w:rPr>
                <w:rFonts w:hint="default"/>
                <w:kern w:val="0"/>
                <w:sz w:val="24"/>
                <w:lang w:val="en-GB" w:bidi="ar-AE"/>
              </w:rPr>
              <w:t>）</w:t>
            </w:r>
            <w:r>
              <w:rPr>
                <w:rFonts w:hint="eastAsia"/>
                <w:kern w:val="0"/>
                <w:sz w:val="24"/>
                <w:lang w:val="en-GB" w:eastAsia="zh-CN" w:bidi="ar-AE"/>
              </w:rPr>
              <w:t>、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南网越秀双碳股权投资基金（广州）合伙企业（有限合伙）</w:t>
            </w: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（“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双碳基金</w:t>
            </w: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”）、海博思创（南京）新能源科技有限公司（“海博思创南京”）</w:t>
            </w:r>
            <w:r>
              <w:rPr>
                <w:rFonts w:hint="default"/>
                <w:kern w:val="0"/>
                <w:sz w:val="24"/>
                <w:lang w:val="en-GB" w:bidi="ar-AE"/>
              </w:rPr>
              <w:t>与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北京前沿科创私募基金管理中心（有限合伙）（</w:t>
            </w: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“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前沿科创基金</w:t>
            </w: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”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）</w:t>
            </w:r>
            <w:r>
              <w:rPr>
                <w:rFonts w:hint="default"/>
                <w:kern w:val="0"/>
                <w:sz w:val="24"/>
                <w:lang w:val="en-GB" w:bidi="ar-AE"/>
              </w:rPr>
              <w:t>签署协议，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家居目标</w:t>
            </w: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、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双碳基金</w:t>
            </w:r>
            <w:r>
              <w:rPr>
                <w:rFonts w:hint="default"/>
                <w:kern w:val="0"/>
                <w:sz w:val="24"/>
                <w:lang w:val="en-GB" w:bidi="ar-AE"/>
              </w:rPr>
              <w:t>和</w:t>
            </w: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海博思创南京</w:t>
            </w:r>
            <w:r>
              <w:rPr>
                <w:rFonts w:hint="default"/>
                <w:kern w:val="0"/>
                <w:sz w:val="24"/>
                <w:lang w:val="en-GB" w:bidi="ar-AE"/>
              </w:rPr>
              <w:t>收购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酒泉储创新能源有限公司</w:t>
            </w:r>
            <w:r>
              <w:rPr>
                <w:rFonts w:hint="default"/>
                <w:kern w:val="0"/>
                <w:sz w:val="24"/>
                <w:lang w:val="en-GB" w:bidi="ar-AE"/>
              </w:rPr>
              <w:t>（</w:t>
            </w:r>
            <w:r>
              <w:rPr>
                <w:rFonts w:hint="eastAsia"/>
                <w:kern w:val="0"/>
                <w:sz w:val="24"/>
                <w:lang w:val="en-GB" w:eastAsia="zh-CN" w:bidi="ar-AE"/>
              </w:rPr>
              <w:t>“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酒泉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储创</w:t>
            </w: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”</w:t>
            </w:r>
            <w:r>
              <w:rPr>
                <w:rFonts w:hint="default"/>
                <w:kern w:val="0"/>
                <w:sz w:val="24"/>
                <w:lang w:val="en-GB" w:bidi="ar-AE"/>
              </w:rPr>
              <w:t>）共计</w:t>
            </w:r>
            <w:r>
              <w:rPr>
                <w:rFonts w:hint="eastAsia"/>
                <w:kern w:val="0"/>
                <w:sz w:val="24"/>
                <w:lang w:val="en-US" w:eastAsia="zh-CN" w:bidi="ar-AE"/>
              </w:rPr>
              <w:t>100</w:t>
            </w:r>
            <w:r>
              <w:rPr>
                <w:rFonts w:hint="default"/>
                <w:kern w:val="0"/>
                <w:sz w:val="24"/>
                <w:lang w:val="en-GB" w:bidi="ar-AE"/>
              </w:rPr>
              <w:t>%股权。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酒泉储创</w:t>
            </w:r>
            <w:r>
              <w:rPr>
                <w:rFonts w:hint="default"/>
                <w:kern w:val="0"/>
                <w:sz w:val="24"/>
                <w:lang w:val="en-GB" w:bidi="ar-AE"/>
              </w:rPr>
              <w:t>主要从事</w:t>
            </w:r>
            <w:r>
              <w:rPr>
                <w:rFonts w:hint="eastAsia"/>
                <w:kern w:val="0"/>
                <w:sz w:val="24"/>
                <w:lang w:val="en-US" w:eastAsia="zh-CN" w:bidi="ar-AE"/>
              </w:rPr>
              <w:t>电化学</w:t>
            </w:r>
            <w:r>
              <w:rPr>
                <w:rFonts w:hint="default"/>
                <w:kern w:val="0"/>
                <w:sz w:val="24"/>
                <w:lang w:val="en-GB" w:bidi="ar-AE"/>
              </w:rPr>
              <w:t>储能电站的开发和运营业务。交易前，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前沿科创基金</w:t>
            </w:r>
            <w:r>
              <w:rPr>
                <w:rFonts w:hint="default"/>
                <w:kern w:val="0"/>
                <w:sz w:val="24"/>
                <w:lang w:val="en-GB" w:bidi="ar-AE"/>
              </w:rPr>
              <w:t>持有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酒泉储创</w:t>
            </w:r>
            <w:r>
              <w:rPr>
                <w:rFonts w:hint="default"/>
                <w:kern w:val="0"/>
                <w:sz w:val="24"/>
                <w:lang w:val="en-GB" w:bidi="ar-AE"/>
              </w:rPr>
              <w:t>100%的股权，单独控制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酒泉储创</w:t>
            </w:r>
            <w:r>
              <w:rPr>
                <w:rFonts w:hint="default"/>
                <w:kern w:val="0"/>
                <w:sz w:val="24"/>
                <w:lang w:val="en-GB" w:bidi="ar-AE"/>
              </w:rPr>
              <w:t>。交易后，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家居目标</w:t>
            </w:r>
            <w:r>
              <w:rPr>
                <w:rFonts w:hint="default"/>
                <w:kern w:val="0"/>
                <w:sz w:val="24"/>
                <w:lang w:val="en-GB" w:bidi="ar-AE"/>
              </w:rPr>
              <w:t>持有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酒泉储创</w:t>
            </w:r>
            <w:r>
              <w:rPr>
                <w:rFonts w:hint="eastAsia"/>
                <w:kern w:val="0"/>
                <w:sz w:val="24"/>
                <w:lang w:val="en-US" w:eastAsia="zh-CN" w:bidi="ar-AE"/>
              </w:rPr>
              <w:t>51</w:t>
            </w:r>
            <w:r>
              <w:rPr>
                <w:rFonts w:hint="default"/>
                <w:kern w:val="0"/>
                <w:sz w:val="24"/>
                <w:lang w:val="en-GB" w:bidi="ar-AE"/>
              </w:rPr>
              <w:t>%的股权，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双碳基金</w:t>
            </w:r>
            <w:r>
              <w:rPr>
                <w:rFonts w:hint="default"/>
                <w:kern w:val="0"/>
                <w:sz w:val="24"/>
                <w:lang w:val="en-GB" w:bidi="ar-AE"/>
              </w:rPr>
              <w:t>将持有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酒泉储创</w:t>
            </w:r>
            <w:r>
              <w:rPr>
                <w:rFonts w:hint="eastAsia"/>
                <w:kern w:val="0"/>
                <w:sz w:val="24"/>
                <w:lang w:val="en-US" w:eastAsia="zh-CN" w:bidi="ar-AE"/>
              </w:rPr>
              <w:t>47</w:t>
            </w:r>
            <w:r>
              <w:rPr>
                <w:rFonts w:hint="default"/>
                <w:kern w:val="0"/>
                <w:sz w:val="24"/>
                <w:lang w:val="en-GB" w:bidi="ar-AE"/>
              </w:rPr>
              <w:t>%股权，</w:t>
            </w: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海博思创南京</w:t>
            </w:r>
            <w:r>
              <w:rPr>
                <w:rFonts w:hint="default"/>
                <w:kern w:val="0"/>
                <w:sz w:val="24"/>
                <w:lang w:val="en-GB" w:bidi="ar-AE"/>
              </w:rPr>
              <w:t>将持有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酒泉储创</w:t>
            </w:r>
            <w:r>
              <w:rPr>
                <w:rFonts w:hint="eastAsia"/>
                <w:kern w:val="0"/>
                <w:sz w:val="24"/>
                <w:lang w:val="en-US" w:eastAsia="zh-CN" w:bidi="ar-AE"/>
              </w:rPr>
              <w:t>2</w:t>
            </w:r>
            <w:r>
              <w:rPr>
                <w:rFonts w:hint="default"/>
                <w:kern w:val="0"/>
                <w:sz w:val="24"/>
                <w:lang w:val="en-GB" w:bidi="ar-AE"/>
              </w:rPr>
              <w:t>%股权</w:t>
            </w:r>
            <w:r>
              <w:rPr>
                <w:rFonts w:hint="eastAsia"/>
                <w:kern w:val="0"/>
                <w:sz w:val="24"/>
                <w:lang w:val="en-GB" w:eastAsia="zh-CN" w:bidi="ar-AE"/>
              </w:rPr>
              <w:t>，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家居目标</w:t>
            </w: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、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双碳基金</w:t>
            </w:r>
            <w:r>
              <w:rPr>
                <w:rFonts w:hint="default"/>
                <w:kern w:val="0"/>
                <w:sz w:val="24"/>
                <w:lang w:val="en-GB" w:bidi="ar-AE"/>
              </w:rPr>
              <w:t>和</w:t>
            </w: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海博思创南京</w:t>
            </w:r>
            <w:r>
              <w:rPr>
                <w:rFonts w:hint="default"/>
                <w:kern w:val="0"/>
                <w:sz w:val="24"/>
                <w:lang w:val="en-GB" w:bidi="ar-AE"/>
              </w:rPr>
              <w:t>共同控制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酒泉储创</w:t>
            </w:r>
            <w:r>
              <w:rPr>
                <w:rFonts w:hint="default"/>
                <w:kern w:val="0"/>
                <w:sz w:val="24"/>
                <w:lang w:val="en-GB" w:bidi="ar-AE"/>
              </w:rPr>
              <w:t>。</w:t>
            </w:r>
          </w:p>
        </w:tc>
      </w:tr>
      <w:tr w14:paraId="732C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noWrap w:val="0"/>
            <w:vAlign w:val="center"/>
          </w:tcPr>
          <w:p w14:paraId="742F02C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/>
              </w:rPr>
              <w:t>参与集中的经营者简介（每个限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100字以内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/>
              </w:rPr>
              <w:t>）</w:t>
            </w:r>
          </w:p>
        </w:tc>
        <w:tc>
          <w:tcPr>
            <w:tcW w:w="1607" w:type="dxa"/>
            <w:noWrap w:val="0"/>
            <w:vAlign w:val="center"/>
          </w:tcPr>
          <w:p w14:paraId="7782748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1.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家居目标</w:t>
            </w:r>
          </w:p>
        </w:tc>
        <w:tc>
          <w:tcPr>
            <w:tcW w:w="5390" w:type="dxa"/>
            <w:noWrap w:val="0"/>
            <w:vAlign w:val="center"/>
          </w:tcPr>
          <w:p w14:paraId="42E6B4B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eastAsia="宋体"/>
                <w:bCs/>
                <w:color w:val="000000"/>
                <w:kern w:val="0"/>
                <w:sz w:val="24"/>
                <w:lang w:eastAsia="zh-CN" w:bidi="ar-AE"/>
              </w:rPr>
            </w:pP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家居目标</w:t>
            </w: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于1999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年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11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月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4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日成立于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天津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市，主要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业务为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国际家居产品、建筑装饰材料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等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产品的展示、展销及配送</w:t>
            </w: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。</w:t>
            </w:r>
          </w:p>
          <w:p w14:paraId="177C2F5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default"/>
                <w:bCs/>
                <w:color w:val="000000"/>
                <w:kern w:val="0"/>
                <w:sz w:val="24"/>
                <w:lang w:val="en-US" w:eastAsia="zh-CN" w:bidi="ar-AE"/>
              </w:rPr>
            </w:pP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家居目标最终控制人为天津保税区投资控股集团有限公司，主要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业务为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市政公用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事业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建设、能源供应、交通运输、房地产开发、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金融业务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等。</w:t>
            </w:r>
          </w:p>
        </w:tc>
      </w:tr>
      <w:tr w14:paraId="6BAD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noWrap w:val="0"/>
            <w:vAlign w:val="center"/>
          </w:tcPr>
          <w:p w14:paraId="575F0A2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54F9E2E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2.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双碳基金</w:t>
            </w:r>
          </w:p>
        </w:tc>
        <w:tc>
          <w:tcPr>
            <w:tcW w:w="5390" w:type="dxa"/>
            <w:noWrap w:val="0"/>
            <w:vAlign w:val="center"/>
          </w:tcPr>
          <w:p w14:paraId="62EEA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双碳基金</w:t>
            </w:r>
            <w:r>
              <w:rPr>
                <w:rFonts w:hint="default"/>
                <w:bCs/>
                <w:color w:val="000000"/>
                <w:kern w:val="0"/>
                <w:sz w:val="24"/>
                <w:lang w:val="en-GB" w:bidi="ar-AE"/>
              </w:rPr>
              <w:t>于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2024</w:t>
            </w:r>
            <w:r>
              <w:rPr>
                <w:rFonts w:hint="default"/>
                <w:bCs/>
                <w:color w:val="000000"/>
                <w:kern w:val="0"/>
                <w:sz w:val="24"/>
                <w:lang w:val="en-GB" w:bidi="ar-AE"/>
              </w:rPr>
              <w:t>年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3</w:t>
            </w:r>
            <w:r>
              <w:rPr>
                <w:rFonts w:hint="default"/>
                <w:bCs/>
                <w:color w:val="000000"/>
                <w:kern w:val="0"/>
                <w:sz w:val="24"/>
                <w:lang w:val="en-GB" w:bidi="ar-AE"/>
              </w:rPr>
              <w:t>月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18</w:t>
            </w:r>
            <w:r>
              <w:rPr>
                <w:rFonts w:hint="default"/>
                <w:bCs/>
                <w:color w:val="000000"/>
                <w:kern w:val="0"/>
                <w:sz w:val="24"/>
                <w:lang w:val="en-GB" w:bidi="ar-AE"/>
              </w:rPr>
              <w:t>日成立于广东省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广州</w:t>
            </w:r>
            <w:r>
              <w:rPr>
                <w:rFonts w:hint="default"/>
                <w:bCs/>
                <w:color w:val="000000"/>
                <w:kern w:val="0"/>
                <w:sz w:val="24"/>
                <w:lang w:val="en-GB" w:bidi="ar-AE"/>
              </w:rPr>
              <w:t>市，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主要以私募基金从事股权投资、投资管理、资产管理等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业务</w:t>
            </w: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。</w:t>
            </w:r>
          </w:p>
          <w:p w14:paraId="282AE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双碳基金</w:t>
            </w:r>
            <w:r>
              <w:rPr>
                <w:rFonts w:hint="default"/>
                <w:bCs/>
                <w:color w:val="000000"/>
                <w:kern w:val="0"/>
                <w:sz w:val="24"/>
                <w:lang w:val="en-GB" w:bidi="ar-AE"/>
              </w:rPr>
              <w:t>最终控制人为中国南方电网有限责任公司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GB" w:eastAsia="zh-CN" w:bidi="ar-AE"/>
              </w:rPr>
              <w:t>（“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南方电网”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GB" w:eastAsia="zh-CN" w:bidi="ar-AE"/>
              </w:rPr>
              <w:t>）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和</w:t>
            </w:r>
            <w:r>
              <w:rPr>
                <w:rFonts w:hint="default"/>
                <w:bCs/>
                <w:color w:val="000000"/>
                <w:kern w:val="0"/>
                <w:sz w:val="24"/>
                <w:lang w:val="en-GB" w:bidi="ar-AE"/>
              </w:rPr>
              <w:t>广州越秀集团股份有限公司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GB" w:eastAsia="zh-CN" w:bidi="ar-AE"/>
              </w:rPr>
              <w:t>（“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越秀集团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GB" w:eastAsia="zh-CN" w:bidi="ar-AE"/>
              </w:rPr>
              <w:t>”），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南方电网主要业务为投资、建设和经营管理南方区域电网等，越秀集团主要业务为房地产开发、金融投资、交通道路建设和运营管理、食品生产等。</w:t>
            </w:r>
          </w:p>
        </w:tc>
      </w:tr>
      <w:tr w14:paraId="0F36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noWrap w:val="0"/>
            <w:vAlign w:val="center"/>
          </w:tcPr>
          <w:p w14:paraId="0062755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000E3E7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3.</w:t>
            </w: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海博思创南京</w:t>
            </w:r>
          </w:p>
        </w:tc>
        <w:tc>
          <w:tcPr>
            <w:tcW w:w="5390" w:type="dxa"/>
            <w:noWrap w:val="0"/>
            <w:vAlign w:val="center"/>
          </w:tcPr>
          <w:p w14:paraId="2F190A1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eastAsia="宋体"/>
                <w:bCs/>
                <w:color w:val="000000"/>
                <w:kern w:val="0"/>
                <w:sz w:val="24"/>
                <w:lang w:eastAsia="zh-CN" w:bidi="ar-AE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海博思创南京</w:t>
            </w: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于2022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年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1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月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28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日成立于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江苏省南京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市，主要从事储能系统的研发、生产和销售</w:t>
            </w: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。</w:t>
            </w:r>
          </w:p>
          <w:p w14:paraId="52827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海博思创南京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最终控制人为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自然人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，主要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业务为通过北京海博思创科技股份有限公司（“海博思创”）开展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储能系统的研发、生产和销售。</w:t>
            </w:r>
          </w:p>
        </w:tc>
      </w:tr>
      <w:tr w14:paraId="1B9B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noWrap w:val="0"/>
            <w:vAlign w:val="center"/>
          </w:tcPr>
          <w:p w14:paraId="6F6AB39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0D94BE8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4.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酒泉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储创</w:t>
            </w:r>
          </w:p>
        </w:tc>
        <w:tc>
          <w:tcPr>
            <w:tcW w:w="5390" w:type="dxa"/>
            <w:noWrap w:val="0"/>
            <w:vAlign w:val="center"/>
          </w:tcPr>
          <w:p w14:paraId="75079ED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eastAsia="宋体"/>
                <w:bCs/>
                <w:color w:val="000000"/>
                <w:kern w:val="0"/>
                <w:sz w:val="24"/>
                <w:lang w:eastAsia="zh-CN" w:bidi="ar-AE"/>
              </w:rPr>
            </w:pP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酒泉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储创</w:t>
            </w: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于2024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年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5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月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14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日成立于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甘肃省酒泉市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，主要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业务为</w:t>
            </w:r>
            <w:r>
              <w:rPr>
                <w:rFonts w:hint="default"/>
                <w:kern w:val="0"/>
                <w:sz w:val="24"/>
                <w:lang w:val="en-GB" w:bidi="ar-AE"/>
              </w:rPr>
              <w:t>储能电站的开发和运营</w:t>
            </w:r>
            <w:r>
              <w:rPr>
                <w:rFonts w:hint="eastAsia"/>
                <w:bCs/>
                <w:color w:val="000000"/>
                <w:kern w:val="0"/>
                <w:sz w:val="24"/>
                <w:lang w:eastAsia="zh-CN" w:bidi="ar-AE"/>
              </w:rPr>
              <w:t>。</w:t>
            </w:r>
          </w:p>
          <w:p w14:paraId="6789E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酒泉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储创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最终控制人为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自然人，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主要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 w:bidi="ar-AE"/>
              </w:rPr>
              <w:t>业务为储能电站的开发和运营等</w:t>
            </w:r>
            <w:r>
              <w:rPr>
                <w:rFonts w:hint="default"/>
                <w:bCs/>
                <w:color w:val="000000"/>
                <w:kern w:val="0"/>
                <w:sz w:val="24"/>
                <w:lang w:bidi="ar-AE"/>
              </w:rPr>
              <w:t>。</w:t>
            </w:r>
          </w:p>
        </w:tc>
      </w:tr>
      <w:tr w14:paraId="5E34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noWrap w:val="0"/>
            <w:vAlign w:val="center"/>
          </w:tcPr>
          <w:p w14:paraId="52A917C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/>
              </w:rPr>
              <w:t>简易案件理由（可以单选，也可以多选）</w:t>
            </w:r>
          </w:p>
        </w:tc>
        <w:tc>
          <w:tcPr>
            <w:tcW w:w="6997" w:type="dxa"/>
            <w:gridSpan w:val="2"/>
            <w:noWrap w:val="0"/>
            <w:vAlign w:val="center"/>
          </w:tcPr>
          <w:p w14:paraId="2F75B95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  <w:sym w:font="Wingdings" w:char="00F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  <w:t xml:space="preserve"> 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  <w:t>在同一相关市场，参与集中的经营者所占的市场份额之和小于15%。</w:t>
            </w:r>
          </w:p>
        </w:tc>
      </w:tr>
      <w:tr w14:paraId="585C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noWrap w:val="0"/>
            <w:vAlign w:val="center"/>
          </w:tcPr>
          <w:p w14:paraId="79E8582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97" w:type="dxa"/>
            <w:gridSpan w:val="2"/>
            <w:noWrap w:val="0"/>
            <w:vAlign w:val="center"/>
          </w:tcPr>
          <w:p w14:paraId="55FAF7D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  <w:sym w:font="Wingdings" w:char="00F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  <w:t xml:space="preserve"> 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  <w:t>在上下游市场，参与集中的经营者所占的市场份额均小于25%。</w:t>
            </w:r>
          </w:p>
        </w:tc>
      </w:tr>
      <w:tr w14:paraId="41604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noWrap w:val="0"/>
            <w:vAlign w:val="center"/>
          </w:tcPr>
          <w:p w14:paraId="37C4511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97" w:type="dxa"/>
            <w:gridSpan w:val="2"/>
            <w:noWrap w:val="0"/>
            <w:vAlign w:val="center"/>
          </w:tcPr>
          <w:p w14:paraId="7321019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  <w:t>不在同一相关市场也不存在上下游关系的参与集中的经营者，在与交易有关的每个市场所占的市场份额均小于25%。</w:t>
            </w:r>
          </w:p>
        </w:tc>
      </w:tr>
      <w:tr w14:paraId="68FC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noWrap w:val="0"/>
            <w:vAlign w:val="center"/>
          </w:tcPr>
          <w:p w14:paraId="0A76226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97" w:type="dxa"/>
            <w:gridSpan w:val="2"/>
            <w:noWrap w:val="0"/>
            <w:vAlign w:val="center"/>
          </w:tcPr>
          <w:p w14:paraId="200189D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  <w:t xml:space="preserve"> 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  <w:t>参与集中的经营者在中国境外设立合营企业，合营企业不在中国境内从事经济活动。</w:t>
            </w:r>
          </w:p>
        </w:tc>
      </w:tr>
      <w:tr w14:paraId="10D2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noWrap w:val="0"/>
            <w:vAlign w:val="center"/>
          </w:tcPr>
          <w:p w14:paraId="658B961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97" w:type="dxa"/>
            <w:gridSpan w:val="2"/>
            <w:noWrap w:val="0"/>
            <w:vAlign w:val="center"/>
          </w:tcPr>
          <w:p w14:paraId="0114E55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  <w:t xml:space="preserve"> 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  <w:t>参与集中的经营者收购境外企业股权或资产的，该境外企业不在中国境内从事经济活动。</w:t>
            </w:r>
          </w:p>
        </w:tc>
      </w:tr>
      <w:tr w14:paraId="3B13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noWrap w:val="0"/>
            <w:vAlign w:val="center"/>
          </w:tcPr>
          <w:p w14:paraId="73B1E5F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97" w:type="dxa"/>
            <w:gridSpan w:val="2"/>
            <w:noWrap w:val="0"/>
            <w:vAlign w:val="center"/>
          </w:tcPr>
          <w:p w14:paraId="05D57D1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  <w:t xml:space="preserve"> 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GB" w:eastAsia="zh-CN" w:bidi="ar-AE"/>
              </w:rPr>
              <w:t>由两个以上的经营者共同控制的合营企业，通过集中被其中一个或一个以上经营者控制。</w:t>
            </w:r>
          </w:p>
        </w:tc>
      </w:tr>
      <w:tr w14:paraId="3E68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40" w:type="dxa"/>
            <w:shd w:val="clear" w:color="auto" w:fill="D9D9D9"/>
            <w:noWrap w:val="0"/>
            <w:vAlign w:val="center"/>
          </w:tcPr>
          <w:p w14:paraId="1851685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997" w:type="dxa"/>
            <w:gridSpan w:val="2"/>
            <w:noWrap w:val="0"/>
            <w:vAlign w:val="center"/>
          </w:tcPr>
          <w:p w14:paraId="49A7DFA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AE"/>
              </w:rPr>
              <w:t>横向重叠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  <w:lang w:val="en-GB" w:eastAsia="zh-CN" w:bidi="ar-AE"/>
              </w:rPr>
              <w:t>：</w:t>
            </w:r>
          </w:p>
          <w:p w14:paraId="4E256D9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2024年中国境内锂离子电池储能系统市场：</w:t>
            </w:r>
          </w:p>
          <w:p w14:paraId="6ED4415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default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海博思创</w:t>
            </w: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：5-10%，</w:t>
            </w:r>
            <w:r>
              <w:rPr>
                <w:rFonts w:hint="default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双碳基金</w:t>
            </w: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：0-5%，各方合计：10-15%</w:t>
            </w:r>
          </w:p>
          <w:p w14:paraId="1D88B04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</w:p>
          <w:p w14:paraId="0ACCA65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2024年中国境内电化学储能电站开发和运营市场：</w:t>
            </w:r>
          </w:p>
          <w:p w14:paraId="4E1B3C3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双碳基金：0-5%，家居目标：0-5%，酒泉储创（预估）：0-5%，各方合计：0-5%</w:t>
            </w:r>
          </w:p>
          <w:p w14:paraId="3D9FC53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</w:p>
          <w:p w14:paraId="5E06BEF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  <w:lang w:val="en-GB" w:eastAsia="zh-CN" w:bidi="ar-AE"/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AE"/>
              </w:rPr>
              <w:t>纵向关联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  <w:lang w:val="en-GB" w:eastAsia="zh-CN" w:bidi="ar-AE"/>
              </w:rPr>
              <w:t>：</w:t>
            </w:r>
          </w:p>
          <w:p w14:paraId="4C1DF66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上游：2024年中国境内锂离子电池储能系统市场：</w:t>
            </w:r>
          </w:p>
          <w:p w14:paraId="0DE47C0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如上所述</w:t>
            </w:r>
          </w:p>
          <w:p w14:paraId="643875A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</w:p>
          <w:p w14:paraId="07C25AA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下游：2024年中国境内电化学储能电站开发和运营市场：</w:t>
            </w:r>
          </w:p>
          <w:p w14:paraId="5C73C98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如上所述</w:t>
            </w:r>
          </w:p>
          <w:p w14:paraId="0B8DC8C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</w:p>
        </w:tc>
      </w:tr>
    </w:tbl>
    <w:p w14:paraId="3A487577">
      <w:pPr>
        <w:adjustRightInd w:val="0"/>
        <w:snapToGrid w:val="0"/>
        <w:rPr>
          <w:rFonts w:hint="default" w:ascii="Times New Roman" w:hAnsi="Times New Roman" w:cs="Times New Roman" w:eastAsiaTheme="minorEastAsia"/>
        </w:rPr>
      </w:pPr>
    </w:p>
    <w:p w14:paraId="1ABCAD8D">
      <w:pPr>
        <w:rPr>
          <w:rFonts w:hint="default" w:ascii="Times New Roman" w:hAnsi="Times New Roman" w:cs="Times New Roman" w:eastAsia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98B3577-DDE2-4DE2-904D-CC8E8066B32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17AF54-A085-4DE1-AE93-A0A507935E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C012A45-7C97-4978-80A3-0DFBB8785DB9}"/>
  </w:font>
  <w:font w:name="Simplified Arabic">
    <w:panose1 w:val="02020603050405020304"/>
    <w:charset w:val="B2"/>
    <w:family w:val="roman"/>
    <w:pitch w:val="default"/>
    <w:sig w:usb0="00002003" w:usb1="80000000" w:usb2="00000008" w:usb3="00000000" w:csb0="00000041" w:csb1="200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2CFE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4A697B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4A697B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MTI0ODhhNzFmMGU3MTZhMTA0ODYxYzI1N2YwYjIifQ=="/>
  </w:docVars>
  <w:rsids>
    <w:rsidRoot w:val="00172A27"/>
    <w:rsid w:val="00042BDD"/>
    <w:rsid w:val="0007692D"/>
    <w:rsid w:val="00087338"/>
    <w:rsid w:val="00114814"/>
    <w:rsid w:val="001B50F2"/>
    <w:rsid w:val="001C6148"/>
    <w:rsid w:val="001F1C3C"/>
    <w:rsid w:val="0022179C"/>
    <w:rsid w:val="00221FCA"/>
    <w:rsid w:val="00244DF9"/>
    <w:rsid w:val="00284710"/>
    <w:rsid w:val="00332EAC"/>
    <w:rsid w:val="00346B84"/>
    <w:rsid w:val="00367A54"/>
    <w:rsid w:val="004C4C54"/>
    <w:rsid w:val="00500F51"/>
    <w:rsid w:val="00504BEC"/>
    <w:rsid w:val="00507863"/>
    <w:rsid w:val="005C4EFC"/>
    <w:rsid w:val="0062408E"/>
    <w:rsid w:val="00627CE6"/>
    <w:rsid w:val="00646E32"/>
    <w:rsid w:val="006A20C6"/>
    <w:rsid w:val="006C3B44"/>
    <w:rsid w:val="00707821"/>
    <w:rsid w:val="0072474D"/>
    <w:rsid w:val="00734F51"/>
    <w:rsid w:val="007D63FA"/>
    <w:rsid w:val="007F706B"/>
    <w:rsid w:val="00816711"/>
    <w:rsid w:val="00826195"/>
    <w:rsid w:val="008472A3"/>
    <w:rsid w:val="00876497"/>
    <w:rsid w:val="009040AD"/>
    <w:rsid w:val="00934D60"/>
    <w:rsid w:val="00A73286"/>
    <w:rsid w:val="00B45330"/>
    <w:rsid w:val="00B93533"/>
    <w:rsid w:val="00BC4863"/>
    <w:rsid w:val="00BD3FB4"/>
    <w:rsid w:val="00BE051D"/>
    <w:rsid w:val="00C046B3"/>
    <w:rsid w:val="00D11F6E"/>
    <w:rsid w:val="00D14CED"/>
    <w:rsid w:val="00E40607"/>
    <w:rsid w:val="00E4263C"/>
    <w:rsid w:val="00E466FD"/>
    <w:rsid w:val="00F63099"/>
    <w:rsid w:val="00F7053E"/>
    <w:rsid w:val="00F90810"/>
    <w:rsid w:val="00FD5EA5"/>
    <w:rsid w:val="00FF42DD"/>
    <w:rsid w:val="011DF4EB"/>
    <w:rsid w:val="01B165CE"/>
    <w:rsid w:val="0217304F"/>
    <w:rsid w:val="02515359"/>
    <w:rsid w:val="030806B1"/>
    <w:rsid w:val="03490091"/>
    <w:rsid w:val="03D70EC9"/>
    <w:rsid w:val="049C628E"/>
    <w:rsid w:val="04B425C4"/>
    <w:rsid w:val="04B85AFF"/>
    <w:rsid w:val="05AB50DB"/>
    <w:rsid w:val="06075F29"/>
    <w:rsid w:val="072729B8"/>
    <w:rsid w:val="07D6476B"/>
    <w:rsid w:val="087232C3"/>
    <w:rsid w:val="088B2E64"/>
    <w:rsid w:val="08900485"/>
    <w:rsid w:val="08D6542E"/>
    <w:rsid w:val="08ED34FD"/>
    <w:rsid w:val="093446A7"/>
    <w:rsid w:val="096645E0"/>
    <w:rsid w:val="0AF22185"/>
    <w:rsid w:val="0B1835C3"/>
    <w:rsid w:val="0B63273E"/>
    <w:rsid w:val="0BD91CE7"/>
    <w:rsid w:val="0C6B60D7"/>
    <w:rsid w:val="0DE526A7"/>
    <w:rsid w:val="0E5C7E9D"/>
    <w:rsid w:val="0E6A5FE8"/>
    <w:rsid w:val="0EEC791B"/>
    <w:rsid w:val="0F272A69"/>
    <w:rsid w:val="0FA436B7"/>
    <w:rsid w:val="0FBBC6D8"/>
    <w:rsid w:val="10116269"/>
    <w:rsid w:val="10C02711"/>
    <w:rsid w:val="12ED74AA"/>
    <w:rsid w:val="130B6D76"/>
    <w:rsid w:val="13236AF1"/>
    <w:rsid w:val="13D6674E"/>
    <w:rsid w:val="150C1E94"/>
    <w:rsid w:val="15D94F21"/>
    <w:rsid w:val="15E47716"/>
    <w:rsid w:val="166D15EC"/>
    <w:rsid w:val="1680064E"/>
    <w:rsid w:val="16862E65"/>
    <w:rsid w:val="17436509"/>
    <w:rsid w:val="1AA11230"/>
    <w:rsid w:val="1B2D6269"/>
    <w:rsid w:val="1BF9394B"/>
    <w:rsid w:val="1BF9AB71"/>
    <w:rsid w:val="1C142509"/>
    <w:rsid w:val="1C361957"/>
    <w:rsid w:val="1DA24124"/>
    <w:rsid w:val="1DFE30C6"/>
    <w:rsid w:val="1EBF675C"/>
    <w:rsid w:val="1FC81833"/>
    <w:rsid w:val="20C2797E"/>
    <w:rsid w:val="2107263D"/>
    <w:rsid w:val="215B059A"/>
    <w:rsid w:val="21BA41E2"/>
    <w:rsid w:val="21FA04C3"/>
    <w:rsid w:val="23E36EF8"/>
    <w:rsid w:val="24606B41"/>
    <w:rsid w:val="246736EB"/>
    <w:rsid w:val="24840815"/>
    <w:rsid w:val="25C17900"/>
    <w:rsid w:val="261144B9"/>
    <w:rsid w:val="27675BE3"/>
    <w:rsid w:val="279572F8"/>
    <w:rsid w:val="27B435B3"/>
    <w:rsid w:val="27ED6C10"/>
    <w:rsid w:val="281C288D"/>
    <w:rsid w:val="289A6D28"/>
    <w:rsid w:val="29FA1BCD"/>
    <w:rsid w:val="2A8A2314"/>
    <w:rsid w:val="2B282291"/>
    <w:rsid w:val="2B795B9C"/>
    <w:rsid w:val="2C0C7CCC"/>
    <w:rsid w:val="2CAC25FF"/>
    <w:rsid w:val="2ECF569F"/>
    <w:rsid w:val="2F0902B7"/>
    <w:rsid w:val="3025112D"/>
    <w:rsid w:val="31592A40"/>
    <w:rsid w:val="319E78FD"/>
    <w:rsid w:val="327203BD"/>
    <w:rsid w:val="339B1A7D"/>
    <w:rsid w:val="34527864"/>
    <w:rsid w:val="35243365"/>
    <w:rsid w:val="356065C1"/>
    <w:rsid w:val="35741F7B"/>
    <w:rsid w:val="35764143"/>
    <w:rsid w:val="35927D49"/>
    <w:rsid w:val="36647739"/>
    <w:rsid w:val="36722108"/>
    <w:rsid w:val="37736187"/>
    <w:rsid w:val="37EC4B4C"/>
    <w:rsid w:val="3A7D25F4"/>
    <w:rsid w:val="3B0B59F7"/>
    <w:rsid w:val="3B6C128B"/>
    <w:rsid w:val="3BF42FA2"/>
    <w:rsid w:val="3C1B3849"/>
    <w:rsid w:val="3CF8328E"/>
    <w:rsid w:val="3DBE0E38"/>
    <w:rsid w:val="3DCF2C73"/>
    <w:rsid w:val="3E067AAC"/>
    <w:rsid w:val="3E3B322A"/>
    <w:rsid w:val="3EB7365E"/>
    <w:rsid w:val="3EBE2D3F"/>
    <w:rsid w:val="3ED7D01C"/>
    <w:rsid w:val="3EE73D98"/>
    <w:rsid w:val="3FFFF7A9"/>
    <w:rsid w:val="40B65CD5"/>
    <w:rsid w:val="40D7777E"/>
    <w:rsid w:val="41D779C0"/>
    <w:rsid w:val="436E421B"/>
    <w:rsid w:val="43E353FE"/>
    <w:rsid w:val="45966A0F"/>
    <w:rsid w:val="45E92E66"/>
    <w:rsid w:val="46845245"/>
    <w:rsid w:val="46F216C3"/>
    <w:rsid w:val="48567BBA"/>
    <w:rsid w:val="48604985"/>
    <w:rsid w:val="48C332AF"/>
    <w:rsid w:val="49857111"/>
    <w:rsid w:val="498A72A0"/>
    <w:rsid w:val="49DD6CEB"/>
    <w:rsid w:val="49E43B49"/>
    <w:rsid w:val="4B5B404A"/>
    <w:rsid w:val="4C824703"/>
    <w:rsid w:val="4CC01CF8"/>
    <w:rsid w:val="4CFD75DE"/>
    <w:rsid w:val="4D533669"/>
    <w:rsid w:val="4D611881"/>
    <w:rsid w:val="4D711912"/>
    <w:rsid w:val="4DB67BAD"/>
    <w:rsid w:val="4DBF710D"/>
    <w:rsid w:val="4DDB0C16"/>
    <w:rsid w:val="4E585190"/>
    <w:rsid w:val="4E626EA5"/>
    <w:rsid w:val="4F7D0643"/>
    <w:rsid w:val="502D711A"/>
    <w:rsid w:val="50CB3BDA"/>
    <w:rsid w:val="511505E7"/>
    <w:rsid w:val="5275657D"/>
    <w:rsid w:val="53192A7C"/>
    <w:rsid w:val="53701092"/>
    <w:rsid w:val="537471A6"/>
    <w:rsid w:val="53DE53F7"/>
    <w:rsid w:val="549363D0"/>
    <w:rsid w:val="54D26C3D"/>
    <w:rsid w:val="54DD7AC9"/>
    <w:rsid w:val="55413F6A"/>
    <w:rsid w:val="558A3AEC"/>
    <w:rsid w:val="55FF4F39"/>
    <w:rsid w:val="563C0C84"/>
    <w:rsid w:val="567C47AD"/>
    <w:rsid w:val="568C7EFA"/>
    <w:rsid w:val="5721053D"/>
    <w:rsid w:val="58AA3121"/>
    <w:rsid w:val="5A320350"/>
    <w:rsid w:val="5A4E1134"/>
    <w:rsid w:val="5A8F5421"/>
    <w:rsid w:val="5AB377AC"/>
    <w:rsid w:val="5ADB7A9F"/>
    <w:rsid w:val="5BBE4839"/>
    <w:rsid w:val="5BDF7AA8"/>
    <w:rsid w:val="5CC770F3"/>
    <w:rsid w:val="5E606197"/>
    <w:rsid w:val="5E758AD3"/>
    <w:rsid w:val="5F5B3889"/>
    <w:rsid w:val="5F7404E1"/>
    <w:rsid w:val="5F7BBE1B"/>
    <w:rsid w:val="60B85CFA"/>
    <w:rsid w:val="61AC7C2D"/>
    <w:rsid w:val="61F32521"/>
    <w:rsid w:val="63F6661D"/>
    <w:rsid w:val="64F94FB6"/>
    <w:rsid w:val="64FF0119"/>
    <w:rsid w:val="650C61D5"/>
    <w:rsid w:val="65183212"/>
    <w:rsid w:val="65AC0421"/>
    <w:rsid w:val="67090219"/>
    <w:rsid w:val="6754015D"/>
    <w:rsid w:val="675B4115"/>
    <w:rsid w:val="67885F66"/>
    <w:rsid w:val="67D469E8"/>
    <w:rsid w:val="685D233B"/>
    <w:rsid w:val="686A6F59"/>
    <w:rsid w:val="69C0748D"/>
    <w:rsid w:val="6A7D30C3"/>
    <w:rsid w:val="6B9261CD"/>
    <w:rsid w:val="6B9A71CB"/>
    <w:rsid w:val="6BCB1BF4"/>
    <w:rsid w:val="6BCC0CB3"/>
    <w:rsid w:val="6C45316D"/>
    <w:rsid w:val="6CBF87B4"/>
    <w:rsid w:val="6DED96DF"/>
    <w:rsid w:val="6DEFBAE0"/>
    <w:rsid w:val="6E372E5F"/>
    <w:rsid w:val="6E786ABC"/>
    <w:rsid w:val="6FDF5799"/>
    <w:rsid w:val="70213B99"/>
    <w:rsid w:val="710A7485"/>
    <w:rsid w:val="71394751"/>
    <w:rsid w:val="72131803"/>
    <w:rsid w:val="723024E6"/>
    <w:rsid w:val="73026B48"/>
    <w:rsid w:val="7360306B"/>
    <w:rsid w:val="737C511B"/>
    <w:rsid w:val="74566BED"/>
    <w:rsid w:val="74CE550B"/>
    <w:rsid w:val="767FE0B3"/>
    <w:rsid w:val="76CA40F3"/>
    <w:rsid w:val="77527FDF"/>
    <w:rsid w:val="77FFCFC3"/>
    <w:rsid w:val="78410251"/>
    <w:rsid w:val="793FB7A1"/>
    <w:rsid w:val="795A6D23"/>
    <w:rsid w:val="7A9C06E1"/>
    <w:rsid w:val="7AB91678"/>
    <w:rsid w:val="7B8F578C"/>
    <w:rsid w:val="7B9A66EF"/>
    <w:rsid w:val="7BE411F0"/>
    <w:rsid w:val="7BFFD823"/>
    <w:rsid w:val="7C527E8B"/>
    <w:rsid w:val="7C7918BC"/>
    <w:rsid w:val="7D8E8A18"/>
    <w:rsid w:val="7EBDA18C"/>
    <w:rsid w:val="7EE72273"/>
    <w:rsid w:val="7EF7CDD2"/>
    <w:rsid w:val="7F7BEB9D"/>
    <w:rsid w:val="7FB71A5B"/>
    <w:rsid w:val="7FBF2495"/>
    <w:rsid w:val="7FDCAB43"/>
    <w:rsid w:val="7FE91E78"/>
    <w:rsid w:val="7FFDE69B"/>
    <w:rsid w:val="9CBD0B1A"/>
    <w:rsid w:val="9EF6604C"/>
    <w:rsid w:val="A7F9C1DE"/>
    <w:rsid w:val="B593FB7D"/>
    <w:rsid w:val="BCB7048F"/>
    <w:rsid w:val="BF8E36EE"/>
    <w:rsid w:val="BFDFB85E"/>
    <w:rsid w:val="BFF5AD43"/>
    <w:rsid w:val="BFF739EC"/>
    <w:rsid w:val="D7FFD2F4"/>
    <w:rsid w:val="DDEFBA43"/>
    <w:rsid w:val="DEAFB90F"/>
    <w:rsid w:val="DF21B821"/>
    <w:rsid w:val="DFD76A11"/>
    <w:rsid w:val="E9F71F09"/>
    <w:rsid w:val="EAFD8D58"/>
    <w:rsid w:val="EB6C770B"/>
    <w:rsid w:val="EBCD181E"/>
    <w:rsid w:val="EF7C48A7"/>
    <w:rsid w:val="EFFFDD70"/>
    <w:rsid w:val="F1B778F1"/>
    <w:rsid w:val="F3FF743F"/>
    <w:rsid w:val="F4FF55F7"/>
    <w:rsid w:val="F7FD911C"/>
    <w:rsid w:val="F9DF2CA6"/>
    <w:rsid w:val="FB3326CC"/>
    <w:rsid w:val="FBCE4D19"/>
    <w:rsid w:val="FDBF10AA"/>
    <w:rsid w:val="FF6B92DC"/>
    <w:rsid w:val="FFBC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after="156" w:afterLines="50" w:line="640" w:lineRule="exact"/>
      <w:outlineLvl w:val="0"/>
    </w:pPr>
    <w:rPr>
      <w:rFonts w:ascii="方正小标宋简体" w:eastAsia="方正小标宋简体"/>
      <w:sz w:val="44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link w:val="18"/>
    <w:unhideWhenUsed/>
    <w:qFormat/>
    <w:uiPriority w:val="99"/>
    <w:pPr>
      <w:spacing w:after="120"/>
    </w:p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/>
      <w:sz w:val="30"/>
    </w:r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paragraph" w:customStyle="1" w:styleId="14">
    <w:name w:val="名称2"/>
    <w:basedOn w:val="15"/>
    <w:qFormat/>
    <w:uiPriority w:val="0"/>
    <w:pPr>
      <w:spacing w:after="312" w:afterLines="100"/>
    </w:pPr>
    <w:rPr>
      <w:b w:val="0"/>
      <w:sz w:val="20"/>
    </w:rPr>
  </w:style>
  <w:style w:type="paragraph" w:customStyle="1" w:styleId="15">
    <w:name w:val="名称"/>
    <w:basedOn w:val="1"/>
    <w:qFormat/>
    <w:uiPriority w:val="0"/>
    <w:pPr>
      <w:jc w:val="center"/>
    </w:pPr>
    <w:rPr>
      <w:b/>
      <w:kern w:val="0"/>
      <w:sz w:val="44"/>
      <w:szCs w:val="20"/>
    </w:rPr>
  </w:style>
  <w:style w:type="character" w:customStyle="1" w:styleId="16">
    <w:name w:val="页眉 字符"/>
    <w:basedOn w:val="12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脚 字符"/>
    <w:basedOn w:val="12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正文文本 字符"/>
    <w:basedOn w:val="12"/>
    <w:link w:val="5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Footer Right"/>
    <w:basedOn w:val="6"/>
    <w:qFormat/>
    <w:uiPriority w:val="0"/>
    <w:pPr>
      <w:jc w:val="right"/>
    </w:pPr>
  </w:style>
  <w:style w:type="paragraph" w:customStyle="1" w:styleId="21">
    <w:name w:val="KWMCN-标准"/>
    <w:qFormat/>
    <w:uiPriority w:val="0"/>
    <w:p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2</Pages>
  <Words>1278</Words>
  <Characters>1361</Characters>
  <Lines>1</Lines>
  <Paragraphs>1</Paragraphs>
  <TotalTime>623</TotalTime>
  <ScaleCrop>false</ScaleCrop>
  <LinksUpToDate>false</LinksUpToDate>
  <CharactersWithSpaces>1368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2023-02-24T17:34:00Z</dcterms:created>
  <dc:creator>张斌（反垄断处）</dc:creator>
  <cp:lastModifiedBy>律师-薛显仑</cp:lastModifiedBy>
  <cp:lastPrinted>2024-04-03T09:34:00Z</cp:lastPrinted>
  <dcterms:modified xsi:type="dcterms:W3CDTF">2025-10-10T02:14:07Z</dcterms:modified>
  <dc:title>关于经营者集中反垄断审查案件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0D9558001F6C4A1CA555C98DCA55F148_13</vt:lpwstr>
  </property>
  <property fmtid="{D5CDD505-2E9C-101B-9397-08002B2CF9AE}" pid="4" name="KSOTemplateDocerSaveRecord">
    <vt:lpwstr>eyJoZGlkIjoiN2E4NmQ4MDljNGUyYjMyNDgzMTM2NTI0M2NjYjUwN2IiLCJ1c2VySWQiOiIxMjczMTM3MDkxIn0=</vt:lpwstr>
  </property>
</Properties>
</file>