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A9F7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1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720"/>
        <w:gridCol w:w="5980"/>
      </w:tblGrid>
      <w:tr w14:paraId="244C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 w14:paraId="34713143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757BAA95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szCs w:val="21"/>
              </w:rPr>
              <w:t>挪威国家石油风电有限公司与挪威沃格隆公司新设合营企业案</w:t>
            </w:r>
          </w:p>
        </w:tc>
      </w:tr>
      <w:tr w14:paraId="35B2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14DF39C4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5FF191F7">
            <w:pPr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挪威国家石油风电有限公司（“挪威风电”）</w:t>
            </w:r>
            <w:r>
              <w:rPr>
                <w:szCs w:val="21"/>
                <w:lang w:val="en-US"/>
              </w:rPr>
              <w:t>与</w:t>
            </w:r>
            <w:r>
              <w:rPr>
                <w:rFonts w:hint="eastAsia"/>
                <w:szCs w:val="21"/>
              </w:rPr>
              <w:t>挪威沃格隆公司（“</w:t>
            </w:r>
            <w:r>
              <w:rPr>
                <w:szCs w:val="21"/>
                <w:lang w:val="en-US"/>
              </w:rPr>
              <w:t>挪威沃格隆</w:t>
            </w:r>
            <w:r>
              <w:rPr>
                <w:rFonts w:hint="eastAsia"/>
                <w:szCs w:val="21"/>
                <w:lang w:val="en-US"/>
              </w:rPr>
              <w:t>”）</w:t>
            </w:r>
            <w:r>
              <w:rPr>
                <w:szCs w:val="21"/>
                <w:lang w:val="en-US"/>
              </w:rPr>
              <w:t>签署《合作协议》，约定双方将通过其间接全资子公司</w:t>
            </w:r>
            <w:r>
              <w:rPr>
                <w:rFonts w:hint="eastAsia"/>
                <w:szCs w:val="21"/>
                <w:lang w:val="en-US"/>
              </w:rPr>
              <w:t>就</w:t>
            </w:r>
            <w:r>
              <w:rPr>
                <w:szCs w:val="21"/>
                <w:lang w:val="en-US"/>
              </w:rPr>
              <w:t>设立一家</w:t>
            </w:r>
            <w:r>
              <w:rPr>
                <w:rFonts w:hint="eastAsia"/>
                <w:szCs w:val="21"/>
                <w:lang w:val="en-US"/>
              </w:rPr>
              <w:t>合营企业</w:t>
            </w:r>
            <w:r>
              <w:rPr>
                <w:szCs w:val="21"/>
                <w:lang w:val="en-US"/>
              </w:rPr>
              <w:t>（“合营企业”）</w:t>
            </w:r>
            <w:r>
              <w:rPr>
                <w:rFonts w:hint="eastAsia"/>
                <w:szCs w:val="21"/>
                <w:lang w:val="en-US"/>
              </w:rPr>
              <w:t>达成协议</w:t>
            </w:r>
            <w:r>
              <w:rPr>
                <w:szCs w:val="21"/>
                <w:lang w:val="en-US"/>
              </w:rPr>
              <w:t>，共同参与挪威大陆架 Utsira Nord 区域内两个海域的海底使用权竞标</w:t>
            </w:r>
            <w:r>
              <w:rPr>
                <w:rFonts w:hint="eastAsia"/>
                <w:szCs w:val="21"/>
                <w:lang w:val="en-US"/>
              </w:rPr>
              <w:t>，</w:t>
            </w:r>
            <w:r>
              <w:rPr>
                <w:szCs w:val="21"/>
                <w:lang w:val="en-US"/>
              </w:rPr>
              <w:t>如中标，合营企业将建设并运营一座海上风电场。</w:t>
            </w:r>
          </w:p>
          <w:p w14:paraId="709C428F">
            <w:r>
              <w:rPr>
                <w:szCs w:val="21"/>
                <w:lang w:val="en-US"/>
              </w:rPr>
              <w:t>本交易后，挪威风电和挪威沃格隆将各自持有合营企业</w:t>
            </w:r>
            <w:r>
              <w:rPr>
                <w:rFonts w:hint="eastAsia"/>
                <w:szCs w:val="21"/>
                <w:lang w:val="en-US"/>
              </w:rPr>
              <w:t>65%</w:t>
            </w:r>
            <w:r>
              <w:rPr>
                <w:szCs w:val="21"/>
                <w:lang w:val="en-US"/>
              </w:rPr>
              <w:t>和</w:t>
            </w:r>
            <w:r>
              <w:rPr>
                <w:rFonts w:hint="eastAsia"/>
                <w:szCs w:val="21"/>
                <w:lang w:val="en-US"/>
              </w:rPr>
              <w:t>35%</w:t>
            </w:r>
            <w:r>
              <w:rPr>
                <w:szCs w:val="21"/>
                <w:lang w:val="en-US"/>
              </w:rPr>
              <w:t>的</w:t>
            </w:r>
            <w:r>
              <w:rPr>
                <w:rFonts w:hint="eastAsia"/>
                <w:szCs w:val="21"/>
                <w:lang w:val="en-US"/>
              </w:rPr>
              <w:t>权益</w:t>
            </w:r>
            <w:r>
              <w:rPr>
                <w:szCs w:val="21"/>
                <w:lang w:val="en-US"/>
              </w:rPr>
              <w:t>，</w:t>
            </w:r>
            <w:r>
              <w:rPr>
                <w:rFonts w:hint="eastAsia"/>
              </w:rPr>
              <w:t>并将共同控制该合营企业。</w:t>
            </w:r>
          </w:p>
        </w:tc>
      </w:tr>
      <w:tr w14:paraId="41F0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7E256E3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20" w:type="dxa"/>
            <w:vAlign w:val="center"/>
          </w:tcPr>
          <w:p w14:paraId="612BFCC2">
            <w:pPr>
              <w:pStyle w:val="11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1.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挪威风电</w:t>
            </w:r>
          </w:p>
        </w:tc>
        <w:tc>
          <w:tcPr>
            <w:tcW w:w="5980" w:type="dxa"/>
            <w:vAlign w:val="center"/>
          </w:tcPr>
          <w:p w14:paraId="6F8C8474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</w:rPr>
              <w:t>挪威风电</w:t>
            </w:r>
            <w:r>
              <w:rPr>
                <w:rFonts w:hint="eastAsia"/>
                <w:lang w:val="en-US"/>
              </w:rPr>
              <w:t>于1995年成立于挪威，其主要业务领域为可再生能源。</w:t>
            </w:r>
          </w:p>
          <w:p w14:paraId="7CC23825">
            <w:pPr>
              <w:pStyle w:val="11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挪威风电</w:t>
            </w:r>
            <w:r>
              <w:rPr>
                <w:rFonts w:hint="eastAsia" w:cs="Times New Roman"/>
                <w:lang w:val="en-US" w:eastAsia="zh-CN"/>
              </w:rPr>
              <w:t>的最终控制人为</w:t>
            </w:r>
            <w:r>
              <w:rPr>
                <w:rFonts w:hint="eastAsia"/>
                <w:lang w:val="en-US" w:eastAsia="zh-CN"/>
              </w:rPr>
              <w:t>挪威国家石油公司</w:t>
            </w:r>
            <w:r>
              <w:rPr>
                <w:rFonts w:hint="eastAsia" w:cs="Times New Roman"/>
                <w:lang w:eastAsia="zh-CN"/>
              </w:rPr>
              <w:t>，其主要业务包括原油和天然气的勘探、开发、生产及营销与加工；以及可再生能源，特别是海上风电和太阳能</w:t>
            </w:r>
            <w:r>
              <w:rPr>
                <w:rFonts w:hint="eastAsia" w:cs="Times New Roman"/>
                <w:lang w:val="en-US" w:eastAsia="zh-CN"/>
              </w:rPr>
              <w:t>。</w:t>
            </w:r>
          </w:p>
        </w:tc>
      </w:tr>
      <w:tr w14:paraId="01A3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EF89E1B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32D6497A">
            <w:pPr>
              <w:pStyle w:val="11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2.</w:t>
            </w:r>
            <w:r>
              <w:rPr>
                <w:rFonts w:cs="Times New Roman"/>
              </w:rPr>
              <w:t xml:space="preserve"> </w:t>
            </w:r>
            <w:r>
              <w:rPr>
                <w:szCs w:val="21"/>
                <w:lang w:val="en-US"/>
              </w:rPr>
              <w:t>挪威</w:t>
            </w:r>
            <w:bookmarkStart w:id="0" w:name="_GoBack"/>
            <w:bookmarkEnd w:id="0"/>
            <w:r>
              <w:rPr>
                <w:szCs w:val="21"/>
                <w:lang w:val="en-US"/>
              </w:rPr>
              <w:t>沃格隆</w:t>
            </w:r>
          </w:p>
        </w:tc>
        <w:tc>
          <w:tcPr>
            <w:tcW w:w="5980" w:type="dxa"/>
            <w:vAlign w:val="center"/>
          </w:tcPr>
          <w:p w14:paraId="61CD94BA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szCs w:val="21"/>
                <w:lang w:val="en-US"/>
              </w:rPr>
              <w:t>挪威沃格隆</w:t>
            </w:r>
            <w:r>
              <w:rPr>
                <w:rFonts w:hint="eastAsia"/>
                <w:bCs/>
                <w:color w:val="000000"/>
                <w:lang w:val="en-US"/>
              </w:rPr>
              <w:t>于2020年成立于挪威，</w:t>
            </w:r>
            <w:r>
              <w:rPr>
                <w:rFonts w:hint="eastAsia"/>
              </w:rPr>
              <w:t>主要从事海上风电及相关基础设施的开发、建设、运营和持有业务</w:t>
            </w:r>
            <w:r>
              <w:rPr>
                <w:rFonts w:hint="eastAsia"/>
                <w:bCs/>
                <w:color w:val="000000"/>
                <w:lang w:val="en-US"/>
              </w:rPr>
              <w:t>。</w:t>
            </w:r>
          </w:p>
          <w:p w14:paraId="5D270C29">
            <w:pPr>
              <w:adjustRightInd w:val="0"/>
              <w:snapToGrid w:val="0"/>
              <w:spacing w:after="0"/>
            </w:pPr>
            <w:r>
              <w:rPr>
                <w:szCs w:val="21"/>
                <w:lang w:val="en-US"/>
              </w:rPr>
              <w:t>挪威沃格隆</w:t>
            </w:r>
            <w:r>
              <w:rPr>
                <w:rFonts w:hint="eastAsia"/>
                <w:bCs/>
                <w:color w:val="000000"/>
                <w:lang w:val="en-US"/>
              </w:rPr>
              <w:t>的最终控制人为</w:t>
            </w:r>
            <w:r>
              <w:rPr>
                <w:bCs/>
                <w:color w:val="000000"/>
              </w:rPr>
              <w:t>埃尼股份公司</w:t>
            </w:r>
            <w:r>
              <w:rPr>
                <w:rFonts w:hint="eastAsia"/>
                <w:bCs/>
                <w:color w:val="000000"/>
              </w:rPr>
              <w:t>（“埃尼”）</w:t>
            </w:r>
            <w:r>
              <w:rPr>
                <w:bCs/>
                <w:color w:val="000000"/>
              </w:rPr>
              <w:t>以及HitecVision 有限公司</w:t>
            </w:r>
            <w:r>
              <w:rPr>
                <w:rFonts w:hint="eastAsia"/>
                <w:bCs/>
                <w:color w:val="000000"/>
              </w:rPr>
              <w:t>（“HitecVision”）</w:t>
            </w:r>
            <w:r>
              <w:rPr>
                <w:rFonts w:hint="eastAsia"/>
              </w:rPr>
              <w:t>。埃尼的主要业务为石油和天然气的勘探、生产、运输、加工和销售，成品油、石化产品、生物燃料及再生塑料等绿色产品的生产与销售，以及电力生产及大宗商品交易。</w:t>
            </w:r>
          </w:p>
          <w:p w14:paraId="26CF8162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</w:rPr>
              <w:t>HitecVision的主要业务为石油和天然气生产、可再生能源以及能源基础设施领域的资本投资。</w:t>
            </w:r>
          </w:p>
        </w:tc>
      </w:tr>
      <w:tr w14:paraId="641B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13F7585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2A8C5166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14:paraId="1F9C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10D39136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F767CBE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14:paraId="6452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77834F0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993C0A3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0F83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F4EF76C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76CC2A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2CE8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BB832FC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488BDDF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184D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7D5BA87D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05BAEC8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61B5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 w14:paraId="5FFAEE68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8990730">
            <w:pPr>
              <w:pStyle w:val="11"/>
              <w:adjustRightInd w:val="0"/>
              <w:snapToGrid w:val="0"/>
              <w:spacing w:after="0"/>
              <w:rPr>
                <w:rFonts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不适用</w:t>
            </w:r>
          </w:p>
        </w:tc>
      </w:tr>
    </w:tbl>
    <w:p w14:paraId="0F4188BC">
      <w:pPr>
        <w:pStyle w:val="11"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p w14:paraId="60274A8B"/>
    <w:p w14:paraId="2208D919"/>
    <w:sectPr>
      <w:footerReference r:id="rId5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ptos">
    <w:altName w:val="Noto Sans CJK SC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Noto Sans CJK SC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 w14:paraId="4F45B200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 w14:paraId="5E63A3D1">
          <w:pPr>
            <w:pStyle w:val="12"/>
          </w:pPr>
        </w:p>
      </w:tc>
      <w:tc>
        <w:tcPr>
          <w:tcW w:w="3081" w:type="dxa"/>
        </w:tcPr>
        <w:p w14:paraId="2F90634A">
          <w:pPr>
            <w:pStyle w:val="12"/>
            <w:jc w:val="center"/>
            <w:rPr>
              <w:rStyle w:val="17"/>
            </w:rPr>
          </w:pPr>
          <w:r>
            <w:rPr>
              <w:rStyle w:val="17"/>
            </w:rPr>
            <w:t xml:space="preserve">- </w:t>
          </w:r>
          <w:r>
            <w:rPr>
              <w:rStyle w:val="17"/>
            </w:rPr>
            <w:fldChar w:fldCharType="begin"/>
          </w:r>
          <w:r>
            <w:rPr>
              <w:rStyle w:val="17"/>
            </w:rPr>
            <w:instrText xml:space="preserve"> PAGE   \* MERGEFORMAT </w:instrText>
          </w:r>
          <w:r>
            <w:rPr>
              <w:rStyle w:val="17"/>
            </w:rPr>
            <w:fldChar w:fldCharType="separate"/>
          </w:r>
          <w:r>
            <w:rPr>
              <w:rStyle w:val="17"/>
              <w:lang w:val="en-US"/>
            </w:rPr>
            <w:t>1</w:t>
          </w:r>
          <w:r>
            <w:rPr>
              <w:rStyle w:val="17"/>
            </w:rPr>
            <w:fldChar w:fldCharType="end"/>
          </w:r>
          <w:r>
            <w:rPr>
              <w:rStyle w:val="17"/>
            </w:rPr>
            <w:t xml:space="preserve"> -</w:t>
          </w:r>
        </w:p>
      </w:tc>
      <w:tc>
        <w:tcPr>
          <w:tcW w:w="3081" w:type="dxa"/>
        </w:tcPr>
        <w:p w14:paraId="513DE9F8">
          <w:pPr>
            <w:pStyle w:val="38"/>
          </w:pPr>
        </w:p>
      </w:tc>
    </w:tr>
  </w:tbl>
  <w:p w14:paraId="3FCA7AD9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AB"/>
    <w:rsid w:val="00062249"/>
    <w:rsid w:val="0007178A"/>
    <w:rsid w:val="00086B58"/>
    <w:rsid w:val="000E22AB"/>
    <w:rsid w:val="001177F8"/>
    <w:rsid w:val="00144478"/>
    <w:rsid w:val="00157C56"/>
    <w:rsid w:val="00160C72"/>
    <w:rsid w:val="001A0031"/>
    <w:rsid w:val="001A0A6E"/>
    <w:rsid w:val="00211584"/>
    <w:rsid w:val="002136D3"/>
    <w:rsid w:val="0024269E"/>
    <w:rsid w:val="002734D1"/>
    <w:rsid w:val="002945CB"/>
    <w:rsid w:val="002B58A2"/>
    <w:rsid w:val="002F2D7A"/>
    <w:rsid w:val="003057D3"/>
    <w:rsid w:val="00325DF7"/>
    <w:rsid w:val="003478F2"/>
    <w:rsid w:val="00363CBB"/>
    <w:rsid w:val="00373F41"/>
    <w:rsid w:val="003E7C7C"/>
    <w:rsid w:val="00406D37"/>
    <w:rsid w:val="00425B6E"/>
    <w:rsid w:val="00461443"/>
    <w:rsid w:val="00463B18"/>
    <w:rsid w:val="004F18B7"/>
    <w:rsid w:val="005015D2"/>
    <w:rsid w:val="00564354"/>
    <w:rsid w:val="0058116B"/>
    <w:rsid w:val="005A4239"/>
    <w:rsid w:val="005C573F"/>
    <w:rsid w:val="0060098A"/>
    <w:rsid w:val="006064E6"/>
    <w:rsid w:val="0068691F"/>
    <w:rsid w:val="006E26AD"/>
    <w:rsid w:val="006E2AAC"/>
    <w:rsid w:val="00740973"/>
    <w:rsid w:val="007A025D"/>
    <w:rsid w:val="008E2A53"/>
    <w:rsid w:val="0095165D"/>
    <w:rsid w:val="0097024F"/>
    <w:rsid w:val="00983373"/>
    <w:rsid w:val="009A5536"/>
    <w:rsid w:val="009C10CF"/>
    <w:rsid w:val="00A25E24"/>
    <w:rsid w:val="00A85EB5"/>
    <w:rsid w:val="00B15AB0"/>
    <w:rsid w:val="00B35D5B"/>
    <w:rsid w:val="00C25442"/>
    <w:rsid w:val="00C56D91"/>
    <w:rsid w:val="00C5789C"/>
    <w:rsid w:val="00C61E67"/>
    <w:rsid w:val="00C8257A"/>
    <w:rsid w:val="00C91509"/>
    <w:rsid w:val="00C9381B"/>
    <w:rsid w:val="00CF121C"/>
    <w:rsid w:val="00D36AA6"/>
    <w:rsid w:val="00D41D9D"/>
    <w:rsid w:val="00D42B8C"/>
    <w:rsid w:val="00D45171"/>
    <w:rsid w:val="00D51E24"/>
    <w:rsid w:val="00E35A17"/>
    <w:rsid w:val="00E800D1"/>
    <w:rsid w:val="00E87FBB"/>
    <w:rsid w:val="00EB0563"/>
    <w:rsid w:val="00EB5A38"/>
    <w:rsid w:val="00F12DA7"/>
    <w:rsid w:val="00F413FD"/>
    <w:rsid w:val="00F668D7"/>
    <w:rsid w:val="00F95E7B"/>
    <w:rsid w:val="00FC504F"/>
    <w:rsid w:val="00FD16CE"/>
    <w:rsid w:val="00FD3E93"/>
    <w:rsid w:val="F7F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240" w:lineRule="auto"/>
      <w:jc w:val="both"/>
    </w:pPr>
    <w:rPr>
      <w:rFonts w:ascii="Times New Roman" w:hAnsi="Times New Roman" w:eastAsia="宋体" w:cs="Times New Roman"/>
      <w:kern w:val="0"/>
      <w:sz w:val="24"/>
      <w:szCs w:val="24"/>
      <w:lang w:val="en-GB" w:eastAsia="zh-CN" w:bidi="ar-AE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6"/>
    <w:qFormat/>
    <w:uiPriority w:val="0"/>
    <w:rPr>
      <w:rFonts w:cs="Simplified Arabic"/>
      <w:lang w:eastAsia="en-GB"/>
    </w:rPr>
  </w:style>
  <w:style w:type="paragraph" w:styleId="12">
    <w:name w:val="footer"/>
    <w:link w:val="37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16"/>
      <w:szCs w:val="16"/>
      <w:lang w:val="en-GB" w:eastAsia="zh-CN" w:bidi="he-IL"/>
      <w14:ligatures w14:val="none"/>
    </w:rPr>
  </w:style>
  <w:style w:type="paragraph" w:styleId="13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customStyle="1" w:styleId="18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6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Body Text Char"/>
    <w:basedOn w:val="16"/>
    <w:link w:val="11"/>
    <w:qFormat/>
    <w:uiPriority w:val="0"/>
    <w:rPr>
      <w:rFonts w:ascii="Times New Roman" w:hAnsi="Times New Roman" w:eastAsia="宋体" w:cs="Simplified Arabic"/>
      <w:kern w:val="0"/>
      <w:lang w:val="en-GB" w:eastAsia="en-GB" w:bidi="ar-AE"/>
      <w14:ligatures w14:val="none"/>
    </w:rPr>
  </w:style>
  <w:style w:type="character" w:customStyle="1" w:styleId="37">
    <w:name w:val="Footer Char"/>
    <w:basedOn w:val="16"/>
    <w:link w:val="12"/>
    <w:qFormat/>
    <w:uiPriority w:val="0"/>
    <w:rPr>
      <w:rFonts w:ascii="Times New Roman" w:hAnsi="Times New Roman" w:eastAsia="宋体" w:cs="Times New Roman"/>
      <w:kern w:val="0"/>
      <w:sz w:val="16"/>
      <w:szCs w:val="16"/>
      <w:lang w:val="en-GB" w:bidi="he-IL"/>
      <w14:ligatures w14:val="none"/>
    </w:rPr>
  </w:style>
  <w:style w:type="paragraph" w:customStyle="1" w:styleId="38">
    <w:name w:val="Footer Right"/>
    <w:basedOn w:val="12"/>
    <w:qFormat/>
    <w:uiPriority w:val="0"/>
    <w:pPr>
      <w:jc w:val="righ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813</Characters>
  <Lines>35</Lines>
  <Paragraphs>18</Paragraphs>
  <TotalTime>40</TotalTime>
  <ScaleCrop>false</ScaleCrop>
  <LinksUpToDate>false</LinksUpToDate>
  <CharactersWithSpaces>940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2025-11-24T10:52:00Z</dcterms:created>
  <dc:creator>SPL</dc:creator>
  <cp:lastModifiedBy>guest</cp:lastModifiedBy>
  <dcterms:modified xsi:type="dcterms:W3CDTF">2025-11-25T10:26:59Z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A1EC1B2E5829F884F31325694C6A2460_42</vt:lpwstr>
  </property>
</Properties>
</file>