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C833">
      <w:pPr>
        <w:spacing w:line="440" w:lineRule="exact"/>
        <w:jc w:val="center"/>
        <w:rPr>
          <w:rFonts w:hint="eastAsia" w:ascii="黑体" w:hAnsi="黑体" w:eastAsia="黑体"/>
          <w:bCs/>
          <w:sz w:val="36"/>
          <w:szCs w:val="32"/>
        </w:rPr>
      </w:pPr>
      <w:r>
        <w:rPr>
          <w:rFonts w:hint="eastAsia" w:ascii="黑体" w:hAnsi="黑体" w:eastAsia="黑体"/>
          <w:bCs/>
          <w:sz w:val="36"/>
          <w:szCs w:val="32"/>
        </w:rPr>
        <w:t>经营者集中简易案件公示表</w:t>
      </w:r>
    </w:p>
    <w:p w14:paraId="30DD8089">
      <w:pPr>
        <w:snapToGrid w:val="0"/>
        <w:spacing w:after="156" w:afterLines="50"/>
        <w:jc w:val="center"/>
        <w:rPr>
          <w:rFonts w:eastAsia="宋体" w:cs="Times New Roman Italic"/>
          <w:bCs/>
          <w:i/>
          <w:iCs/>
          <w:sz w:val="24"/>
          <w:szCs w:val="24"/>
        </w:rPr>
      </w:pP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5103"/>
      </w:tblGrid>
      <w:tr w14:paraId="3E7F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shd w:val="clear" w:color="auto" w:fill="D9D9D9"/>
            <w:vAlign w:val="center"/>
          </w:tcPr>
          <w:p w14:paraId="6F52D1DB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案件名称</w:t>
            </w:r>
          </w:p>
        </w:tc>
        <w:tc>
          <w:tcPr>
            <w:tcW w:w="6521" w:type="dxa"/>
            <w:gridSpan w:val="2"/>
            <w:vAlign w:val="center"/>
          </w:tcPr>
          <w:p w14:paraId="57499FAA">
            <w:pPr>
              <w:widowControl/>
              <w:snapToGrid w:val="0"/>
              <w:rPr>
                <w:rFonts w:eastAsia="宋体" w:cs="楷体"/>
                <w:sz w:val="24"/>
                <w:szCs w:val="24"/>
              </w:rPr>
            </w:pPr>
            <w:r>
              <w:rPr>
                <w:rFonts w:hint="eastAsia" w:eastAsia="宋体" w:cs="楷体"/>
                <w:sz w:val="24"/>
                <w:szCs w:val="24"/>
              </w:rPr>
              <w:t>GBL公众有限公司收购马库拉顶层有限公司股权案</w:t>
            </w:r>
          </w:p>
        </w:tc>
      </w:tr>
      <w:tr w14:paraId="526C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8" w:hRule="atLeast"/>
        </w:trPr>
        <w:tc>
          <w:tcPr>
            <w:tcW w:w="1696" w:type="dxa"/>
            <w:shd w:val="clear" w:color="auto" w:fill="D9D9D9"/>
            <w:vAlign w:val="center"/>
          </w:tcPr>
          <w:p w14:paraId="2EE8A25B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交易概况（限</w:t>
            </w:r>
            <w:r>
              <w:rPr>
                <w:rFonts w:eastAsia="宋体"/>
                <w:bCs/>
                <w:sz w:val="24"/>
                <w:szCs w:val="24"/>
              </w:rPr>
              <w:t>200</w:t>
            </w:r>
            <w:r>
              <w:rPr>
                <w:rFonts w:hint="eastAsia" w:eastAsia="宋体"/>
                <w:bCs/>
                <w:sz w:val="24"/>
                <w:szCs w:val="24"/>
              </w:rPr>
              <w:t>字内）</w:t>
            </w:r>
          </w:p>
        </w:tc>
        <w:tc>
          <w:tcPr>
            <w:tcW w:w="6521" w:type="dxa"/>
            <w:gridSpan w:val="2"/>
          </w:tcPr>
          <w:p w14:paraId="11634B5C">
            <w:pPr>
              <w:snapToGrid w:val="0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GBL公众有限公司（“</w:t>
            </w:r>
            <w:r>
              <w:rPr>
                <w:rFonts w:ascii="Times New Roman Bold" w:hAnsi="Times New Roman Bold" w:eastAsia="宋体" w:cs="Times New Roman Bold"/>
                <w:b/>
                <w:bCs/>
                <w:kern w:val="0"/>
                <w:sz w:val="24"/>
                <w:szCs w:val="24"/>
              </w:rPr>
              <w:t>GBL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”）通过一家特殊目的实体与一家由熙维资本合伙有限公司（“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熙维资本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”）关联实体最终控制的实体等签订了股份购买协议（“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股份购买协议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”）。根据股份购买协议，GBL将间接收购马库拉顶层有限公司（“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顶层公司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”，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4"/>
                <w:szCs w:val="24"/>
              </w:rPr>
              <w:t>或“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目标公司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”）45%至47%的股份（“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本次交易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”）。顶层公司是一家控股公司，目前由马库拉控股泽西有限公司最终控制，后者由熙维资本管理及/或提供咨询的若干基金及投资工具（“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熙维基金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”）最终控制，另有少数其他少数股东及管理层持有顶层公司的少数股权。顶层公司持有雷纳外科集团有限公司（及其子公司合称“</w:t>
            </w:r>
            <w:r>
              <w:rPr>
                <w:rFonts w:hint="eastAsia" w:eastAsia="宋体"/>
                <w:b/>
                <w:bCs/>
                <w:kern w:val="0"/>
                <w:sz w:val="24"/>
                <w:szCs w:val="24"/>
              </w:rPr>
              <w:t>雷纳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”）100%股权，并对其行使单独控制权。雷纳主要从事眼科医疗器械及药品的制造与供应。</w:t>
            </w:r>
          </w:p>
          <w:p w14:paraId="3171DA2A">
            <w:pPr>
              <w:snapToGrid w:val="0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本次交易前，目标公司由熙维基金间接单独控制。本次交易后，目标公司将由GBL与熙维基金间接共同控制。</w:t>
            </w:r>
          </w:p>
        </w:tc>
      </w:tr>
      <w:tr w14:paraId="0BA0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02FE2579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参与集中的经营者简介（每个限</w:t>
            </w:r>
            <w:r>
              <w:rPr>
                <w:rFonts w:eastAsia="宋体"/>
                <w:bCs/>
                <w:sz w:val="24"/>
                <w:szCs w:val="24"/>
              </w:rPr>
              <w:t>100</w:t>
            </w:r>
            <w:r>
              <w:rPr>
                <w:rFonts w:hint="eastAsia" w:eastAsia="宋体"/>
                <w:bCs/>
                <w:sz w:val="24"/>
                <w:szCs w:val="24"/>
              </w:rPr>
              <w:t>字以内）</w:t>
            </w:r>
          </w:p>
        </w:tc>
        <w:tc>
          <w:tcPr>
            <w:tcW w:w="1418" w:type="dxa"/>
            <w:vAlign w:val="center"/>
          </w:tcPr>
          <w:p w14:paraId="583CCD90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1.GBL</w:t>
            </w:r>
          </w:p>
        </w:tc>
        <w:tc>
          <w:tcPr>
            <w:tcW w:w="5103" w:type="dxa"/>
          </w:tcPr>
          <w:p w14:paraId="38003D67">
            <w:pPr>
              <w:snapToGrid w:val="0"/>
              <w:rPr>
                <w:rFonts w:eastAsia="宋体" w:cs="楷体"/>
                <w:sz w:val="24"/>
                <w:szCs w:val="24"/>
              </w:rPr>
            </w:pPr>
            <w:r>
              <w:rPr>
                <w:rFonts w:eastAsia="宋体" w:cs="楷体"/>
                <w:sz w:val="24"/>
                <w:szCs w:val="24"/>
              </w:rPr>
              <w:t>GBL于1902年1月10日</w:t>
            </w:r>
            <w:r>
              <w:rPr>
                <w:rFonts w:hint="eastAsia" w:eastAsia="宋体" w:cs="楷体"/>
                <w:sz w:val="24"/>
                <w:szCs w:val="24"/>
              </w:rPr>
              <w:t>成立于</w:t>
            </w:r>
            <w:r>
              <w:rPr>
                <w:rFonts w:eastAsia="宋体" w:cs="楷体"/>
                <w:sz w:val="24"/>
                <w:szCs w:val="24"/>
              </w:rPr>
              <w:t>比利时，在泛欧交易所布鲁塞尔证券交易所上市。</w:t>
            </w:r>
            <w:r>
              <w:rPr>
                <w:rFonts w:hint="eastAsia" w:eastAsia="宋体" w:cs="楷体"/>
                <w:sz w:val="24"/>
                <w:szCs w:val="24"/>
              </w:rPr>
              <w:t>GBL</w:t>
            </w:r>
            <w:r>
              <w:rPr>
                <w:rFonts w:eastAsia="宋体" w:cs="楷体"/>
                <w:sz w:val="24"/>
                <w:szCs w:val="24"/>
              </w:rPr>
              <w:t>是一家投资控股公司，总部位于比利时布鲁塞尔，投资于全球多个行业的</w:t>
            </w:r>
            <w:r>
              <w:rPr>
                <w:rFonts w:hint="eastAsia" w:eastAsia="宋体" w:cs="楷体"/>
                <w:sz w:val="24"/>
                <w:szCs w:val="24"/>
              </w:rPr>
              <w:t>公司</w:t>
            </w:r>
            <w:r>
              <w:rPr>
                <w:rFonts w:eastAsia="宋体" w:cs="楷体"/>
                <w:sz w:val="24"/>
                <w:szCs w:val="24"/>
              </w:rPr>
              <w:t>，这些公司总部</w:t>
            </w:r>
            <w:r>
              <w:rPr>
                <w:rFonts w:hint="eastAsia" w:eastAsia="宋体" w:cs="楷体"/>
                <w:sz w:val="24"/>
                <w:szCs w:val="24"/>
              </w:rPr>
              <w:t>主要</w:t>
            </w:r>
            <w:r>
              <w:rPr>
                <w:rFonts w:eastAsia="宋体" w:cs="楷体"/>
                <w:sz w:val="24"/>
                <w:szCs w:val="24"/>
              </w:rPr>
              <w:t>位于欧洲。</w:t>
            </w:r>
          </w:p>
          <w:p w14:paraId="411583E9">
            <w:pPr>
              <w:snapToGrid w:val="0"/>
              <w:rPr>
                <w:rFonts w:eastAsia="宋体" w:cs="楷体"/>
                <w:sz w:val="24"/>
                <w:szCs w:val="24"/>
              </w:rPr>
            </w:pPr>
          </w:p>
          <w:p w14:paraId="040924BF">
            <w:pPr>
              <w:snapToGrid w:val="0"/>
              <w:rPr>
                <w:rFonts w:eastAsia="宋体" w:cs="楷体"/>
                <w:sz w:val="24"/>
                <w:szCs w:val="24"/>
              </w:rPr>
            </w:pPr>
            <w:r>
              <w:rPr>
                <w:rFonts w:eastAsia="宋体" w:cs="楷体"/>
                <w:sz w:val="24"/>
                <w:szCs w:val="24"/>
              </w:rPr>
              <w:t>GBL最终由自然人控制，</w:t>
            </w:r>
            <w:r>
              <w:rPr>
                <w:rFonts w:hint="eastAsia" w:eastAsia="宋体" w:cs="楷体"/>
                <w:sz w:val="24"/>
                <w:szCs w:val="24"/>
              </w:rPr>
              <w:t>其</w:t>
            </w:r>
            <w:r>
              <w:rPr>
                <w:rFonts w:eastAsia="宋体" w:cs="楷体"/>
                <w:sz w:val="24"/>
                <w:szCs w:val="24"/>
              </w:rPr>
              <w:t>主要</w:t>
            </w:r>
            <w:r>
              <w:rPr>
                <w:rFonts w:hint="eastAsia" w:eastAsia="宋体" w:cs="楷体"/>
                <w:sz w:val="24"/>
                <w:szCs w:val="24"/>
              </w:rPr>
              <w:t>从事多元化行业</w:t>
            </w:r>
            <w:r>
              <w:rPr>
                <w:rFonts w:eastAsia="宋体" w:cs="楷体"/>
                <w:sz w:val="24"/>
                <w:szCs w:val="24"/>
              </w:rPr>
              <w:t>的投资，包括多媒体、广告、资产管理或可再生能源领域。</w:t>
            </w:r>
          </w:p>
        </w:tc>
      </w:tr>
      <w:tr w14:paraId="362F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696" w:type="dxa"/>
            <w:vMerge w:val="continue"/>
            <w:shd w:val="clear" w:color="auto" w:fill="D9D9D9"/>
            <w:vAlign w:val="center"/>
          </w:tcPr>
          <w:p w14:paraId="2BDC12AD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0857ED">
            <w:pPr>
              <w:snapToGrid w:val="0"/>
              <w:rPr>
                <w:rFonts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4"/>
                <w:szCs w:val="24"/>
              </w:rPr>
              <w:t>2.熙维资本</w:t>
            </w:r>
          </w:p>
        </w:tc>
        <w:tc>
          <w:tcPr>
            <w:tcW w:w="5103" w:type="dxa"/>
          </w:tcPr>
          <w:p w14:paraId="41F647C4">
            <w:pPr>
              <w:snapToGrid w:val="0"/>
              <w:rPr>
                <w:rFonts w:eastAsia="宋体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GB"/>
              </w:rPr>
              <w:t>熙维资本于2021年12月21日成立于泽西岛，是一家在泛欧交易所阿姆斯特丹证券交易所上市的公众有限公司。熙维资本及其部分子公司不时会代表熙维基金提供投资建议和/或管理投资。熙维基金在全球范围内持有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多个行业的</w:t>
            </w:r>
            <w:r>
              <w:rPr>
                <w:rFonts w:hint="eastAsia" w:eastAsia="宋体"/>
                <w:kern w:val="0"/>
                <w:sz w:val="24"/>
                <w:szCs w:val="24"/>
                <w:lang w:val="en-GB"/>
              </w:rPr>
              <w:t>多家公司的股权，领域涉及金融服务、化工、公共事业、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制造业、</w:t>
            </w:r>
            <w:r>
              <w:rPr>
                <w:rFonts w:hint="eastAsia" w:eastAsia="宋体"/>
                <w:kern w:val="0"/>
                <w:sz w:val="24"/>
                <w:szCs w:val="24"/>
                <w:lang w:val="en-GB"/>
              </w:rPr>
              <w:t>零售和分销等，这些公司分布于欧洲、美国和亚太地区。</w:t>
            </w:r>
          </w:p>
          <w:p w14:paraId="04E45387">
            <w:pPr>
              <w:snapToGrid w:val="0"/>
              <w:rPr>
                <w:rFonts w:eastAsia="宋体"/>
                <w:kern w:val="0"/>
                <w:sz w:val="24"/>
                <w:szCs w:val="24"/>
                <w:lang w:val="en-GB"/>
              </w:rPr>
            </w:pPr>
          </w:p>
          <w:p w14:paraId="1682CB96">
            <w:pPr>
              <w:snapToGrid w:val="0"/>
              <w:rPr>
                <w:rFonts w:eastAsia="宋体"/>
                <w:kern w:val="0"/>
                <w:sz w:val="24"/>
                <w:szCs w:val="24"/>
                <w:lang w:val="en-GB"/>
              </w:rPr>
            </w:pPr>
            <w:r>
              <w:rPr>
                <w:rFonts w:hint="eastAsia" w:eastAsia="宋体"/>
                <w:kern w:val="0"/>
                <w:sz w:val="24"/>
                <w:szCs w:val="24"/>
                <w:lang w:val="en-GB"/>
              </w:rPr>
              <w:t>熙维资本的股权结构及熙维基金的投资者群体高度分散，不受任何个人最终控制。</w:t>
            </w:r>
          </w:p>
        </w:tc>
      </w:tr>
      <w:tr w14:paraId="470D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shd w:val="clear" w:color="auto" w:fill="D9D9D9"/>
            <w:vAlign w:val="center"/>
          </w:tcPr>
          <w:p w14:paraId="26009C39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521" w:type="dxa"/>
            <w:gridSpan w:val="2"/>
          </w:tcPr>
          <w:p w14:paraId="0075ECE2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hint="eastAsia" w:eastAsia="宋体"/>
                <w:sz w:val="24"/>
                <w:szCs w:val="24"/>
              </w:rPr>
              <w:t>、在同一相关市场，参与集中的经营者所占的市场份额之和小于</w:t>
            </w:r>
            <w:r>
              <w:rPr>
                <w:rFonts w:eastAsia="宋体"/>
                <w:sz w:val="24"/>
                <w:szCs w:val="24"/>
              </w:rPr>
              <w:t>15%</w:t>
            </w:r>
            <w:r>
              <w:rPr>
                <w:rFonts w:hint="eastAsia" w:eastAsia="宋体"/>
                <w:sz w:val="24"/>
                <w:szCs w:val="24"/>
              </w:rPr>
              <w:t>。</w:t>
            </w:r>
          </w:p>
        </w:tc>
      </w:tr>
      <w:tr w14:paraId="2787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vMerge w:val="continue"/>
            <w:shd w:val="clear" w:color="auto" w:fill="D9D9D9"/>
            <w:vAlign w:val="center"/>
          </w:tcPr>
          <w:p w14:paraId="664602D7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6E7D949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hint="eastAsia" w:eastAsia="宋体"/>
                <w:sz w:val="24"/>
                <w:szCs w:val="24"/>
              </w:rPr>
              <w:t>、在上下游市场，参与集中的经营者所占的市场份额均小于</w:t>
            </w:r>
            <w:r>
              <w:rPr>
                <w:rFonts w:eastAsia="宋体"/>
                <w:sz w:val="24"/>
                <w:szCs w:val="24"/>
              </w:rPr>
              <w:t>25%</w:t>
            </w:r>
            <w:r>
              <w:rPr>
                <w:rFonts w:hint="eastAsia" w:eastAsia="宋体"/>
                <w:sz w:val="24"/>
                <w:szCs w:val="24"/>
              </w:rPr>
              <w:t>。</w:t>
            </w:r>
          </w:p>
        </w:tc>
      </w:tr>
      <w:tr w14:paraId="69B5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shd w:val="clear" w:color="auto" w:fill="D9D9D9"/>
            <w:vAlign w:val="center"/>
          </w:tcPr>
          <w:p w14:paraId="13E8F86C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B8F0B6B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00FE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hint="eastAsia" w:eastAsia="宋体"/>
                <w:sz w:val="24"/>
                <w:szCs w:val="24"/>
              </w:rPr>
              <w:t>、不在同一相关市场也不存在上下游关系的参与集中的经营者，在与交易有关的每个市场所占的市场份额均小于</w:t>
            </w:r>
            <w:r>
              <w:rPr>
                <w:rFonts w:eastAsia="宋体"/>
                <w:sz w:val="24"/>
                <w:szCs w:val="24"/>
              </w:rPr>
              <w:t>25%</w:t>
            </w:r>
            <w:r>
              <w:rPr>
                <w:rFonts w:hint="eastAsia" w:eastAsia="宋体"/>
                <w:sz w:val="24"/>
                <w:szCs w:val="24"/>
              </w:rPr>
              <w:t>。</w:t>
            </w:r>
          </w:p>
        </w:tc>
      </w:tr>
      <w:tr w14:paraId="6D10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shd w:val="clear" w:color="auto" w:fill="D9D9D9"/>
            <w:vAlign w:val="center"/>
          </w:tcPr>
          <w:p w14:paraId="03500178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2F550E3E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bCs/>
                <w:sz w:val="24"/>
                <w:szCs w:val="24"/>
              </w:rPr>
              <w:t>4</w:t>
            </w:r>
            <w:r>
              <w:rPr>
                <w:rFonts w:hint="eastAsia" w:eastAsia="宋体"/>
                <w:bCs/>
                <w:sz w:val="24"/>
                <w:szCs w:val="24"/>
              </w:rPr>
              <w:t>、参与集中的经营者在中国境外设立合营企业，合营企业不在中国境内从事经济活动。</w:t>
            </w:r>
          </w:p>
        </w:tc>
      </w:tr>
      <w:tr w14:paraId="368A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shd w:val="clear" w:color="auto" w:fill="D9D9D9"/>
            <w:vAlign w:val="center"/>
          </w:tcPr>
          <w:p w14:paraId="22EC66D7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2321634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00A8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>5</w:t>
            </w:r>
            <w:r>
              <w:rPr>
                <w:rFonts w:hint="eastAsia" w:eastAsia="宋体"/>
                <w:sz w:val="24"/>
                <w:szCs w:val="24"/>
              </w:rPr>
              <w:t>、参与集中的经营者收购境外企业股权或资产的，该境外企业不在中国境内从事经济活动。</w:t>
            </w:r>
          </w:p>
        </w:tc>
      </w:tr>
      <w:tr w14:paraId="3FAD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vMerge w:val="continue"/>
            <w:shd w:val="clear" w:color="auto" w:fill="D9D9D9"/>
            <w:vAlign w:val="center"/>
          </w:tcPr>
          <w:p w14:paraId="0091861A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14:paraId="69D230F7">
            <w:pPr>
              <w:tabs>
                <w:tab w:val="left" w:pos="269"/>
              </w:tabs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  <w:lang w:val="en-GB"/>
              </w:rPr>
              <w:sym w:font="Wingdings" w:char="F0A8"/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>6</w:t>
            </w:r>
            <w:r>
              <w:rPr>
                <w:rFonts w:hint="eastAsia" w:eastAsia="宋体"/>
                <w:sz w:val="24"/>
                <w:szCs w:val="24"/>
              </w:rPr>
              <w:t>、由两个以上的经营者共同控制的合营企业，通过集中被其中一个或一个以上经营者控制。</w:t>
            </w:r>
          </w:p>
        </w:tc>
      </w:tr>
      <w:tr w14:paraId="712B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96" w:type="dxa"/>
            <w:shd w:val="clear" w:color="auto" w:fill="D9D9D9"/>
            <w:vAlign w:val="center"/>
          </w:tcPr>
          <w:p w14:paraId="79C751AB">
            <w:pPr>
              <w:snapToGrid w:val="0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hint="eastAsia" w:eastAsia="宋体"/>
                <w:bCs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2"/>
          </w:tcPr>
          <w:p w14:paraId="22ABAB0B">
            <w:pPr>
              <w:snapToGrid w:val="0"/>
              <w:rPr>
                <w:rFonts w:hint="eastAsia" w:eastAsia="宋体" w:cs="楷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楷体"/>
                <w:b/>
                <w:bCs w:val="0"/>
                <w:sz w:val="24"/>
                <w:szCs w:val="24"/>
                <w:lang w:eastAsia="zh-CN"/>
              </w:rPr>
              <w:t>混合集中：</w:t>
            </w:r>
          </w:p>
          <w:p w14:paraId="0D2CC26D">
            <w:pPr>
              <w:snapToGrid w:val="0"/>
              <w:rPr>
                <w:rFonts w:eastAsia="宋体" w:cs="楷体"/>
                <w:bCs/>
                <w:sz w:val="24"/>
                <w:szCs w:val="24"/>
              </w:rPr>
            </w:pPr>
            <w:r>
              <w:rPr>
                <w:rFonts w:hint="eastAsia" w:eastAsia="宋体" w:cs="楷体"/>
                <w:bCs/>
                <w:sz w:val="24"/>
                <w:szCs w:val="24"/>
              </w:rPr>
              <w:t>2024年中国境内无晶体眼人工晶体（“白内障用人工晶体”）市场：</w:t>
            </w:r>
          </w:p>
          <w:p w14:paraId="38E62BCC">
            <w:pPr>
              <w:pStyle w:val="30"/>
              <w:widowControl/>
              <w:snapToGrid w:val="0"/>
              <w:ind w:firstLine="0" w:firstLineChars="0"/>
              <w:rPr>
                <w:rFonts w:eastAsia="宋体" w:cs="楷体"/>
                <w:bCs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熙维资本</w:t>
            </w:r>
            <w:r>
              <w:rPr>
                <w:rFonts w:hint="eastAsia" w:eastAsia="宋体" w:cs="楷体"/>
                <w:bCs/>
                <w:sz w:val="24"/>
                <w:szCs w:val="24"/>
              </w:rPr>
              <w:t>：0-5%</w:t>
            </w:r>
          </w:p>
          <w:p w14:paraId="23ED8F5A">
            <w:pPr>
              <w:pStyle w:val="30"/>
              <w:widowControl/>
              <w:snapToGrid w:val="0"/>
              <w:ind w:firstLine="0" w:firstLineChars="0"/>
              <w:rPr>
                <w:rFonts w:eastAsia="宋体" w:cs="楷体"/>
                <w:bCs/>
                <w:sz w:val="24"/>
                <w:szCs w:val="24"/>
              </w:rPr>
            </w:pPr>
          </w:p>
        </w:tc>
      </w:tr>
    </w:tbl>
    <w:p w14:paraId="37F1929C">
      <w:pPr>
        <w:rPr>
          <w:rFonts w:eastAsia="宋体"/>
          <w:sz w:val="24"/>
          <w:szCs w:val="24"/>
        </w:rPr>
      </w:pPr>
    </w:p>
    <w:sectPr>
      <w:footerReference r:id="rId5" w:type="first"/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 New Roman Italic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7730">
    <w:pPr>
      <w:pStyle w:val="28"/>
    </w:pPr>
    <w:r>
      <w:t>[BRUSSELS 621754_4]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121A6">
    <w:pPr>
      <w:pStyle w:val="28"/>
    </w:pPr>
    <w:r>
      <w:t>[BRUSSELS 621754_4]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FD0EE">
    <w:pPr>
      <w:pStyle w:val="10"/>
      <w:pBdr>
        <w:bottom w:val="none" w:color="auto" w:sz="0" w:space="0"/>
      </w:pBdr>
      <w:wordWrap w:val="0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A4B6A"/>
    <w:multiLevelType w:val="multilevel"/>
    <w:tmpl w:val="433A4B6A"/>
    <w:lvl w:ilvl="0" w:tentative="0">
      <w:start w:val="1"/>
      <w:numFmt w:val="decimal"/>
      <w:pStyle w:val="33"/>
      <w:lvlText w:val="%1."/>
      <w:lvlJc w:val="left"/>
      <w:pPr>
        <w:ind w:left="720" w:hanging="720"/>
      </w:pPr>
      <w:rPr>
        <w:rFonts w:hint="default"/>
        <w:color w:val="000000"/>
      </w:rPr>
    </w:lvl>
    <w:lvl w:ilvl="1" w:tentative="0">
      <w:start w:val="1"/>
      <w:numFmt w:val="lowerLetter"/>
      <w:pStyle w:val="34"/>
      <w:lvlText w:val="(%2)"/>
      <w:lvlJc w:val="left"/>
      <w:pPr>
        <w:ind w:left="1440" w:hanging="720"/>
      </w:pPr>
      <w:rPr>
        <w:rFonts w:hint="default"/>
        <w:color w:val="000000"/>
      </w:rPr>
    </w:lvl>
    <w:lvl w:ilvl="2" w:tentative="0">
      <w:start w:val="1"/>
      <w:numFmt w:val="lowerRoman"/>
      <w:pStyle w:val="35"/>
      <w:lvlText w:val="(%3)"/>
      <w:lvlJc w:val="left"/>
      <w:pPr>
        <w:ind w:left="2160" w:hanging="720"/>
      </w:pPr>
      <w:rPr>
        <w:rFonts w:hint="default"/>
        <w:color w:val="000000"/>
      </w:rPr>
    </w:lvl>
    <w:lvl w:ilvl="3" w:tentative="0">
      <w:start w:val="1"/>
      <w:numFmt w:val="decimal"/>
      <w:pStyle w:val="36"/>
      <w:lvlText w:val="(%4)"/>
      <w:lvlJc w:val="left"/>
      <w:pPr>
        <w:ind w:left="2880" w:hanging="720"/>
      </w:pPr>
      <w:rPr>
        <w:rFonts w:hint="default"/>
        <w:color w:val="000000"/>
      </w:rPr>
    </w:lvl>
    <w:lvl w:ilvl="4" w:tentative="0">
      <w:start w:val="1"/>
      <w:numFmt w:val="lowerLetter"/>
      <w:pStyle w:val="37"/>
      <w:lvlText w:val="(%5)"/>
      <w:lvlJc w:val="left"/>
      <w:pPr>
        <w:ind w:left="3600" w:hanging="720"/>
      </w:pPr>
      <w:rPr>
        <w:rFonts w:hint="default"/>
        <w:color w:val="000000"/>
      </w:rPr>
    </w:lvl>
    <w:lvl w:ilvl="5" w:tentative="0">
      <w:start w:val="1"/>
      <w:numFmt w:val="none"/>
      <w:lvlText w:val=""/>
      <w:lvlJc w:val="left"/>
      <w:pPr>
        <w:tabs>
          <w:tab w:val="left" w:pos="5040"/>
        </w:tabs>
        <w:ind w:left="4320" w:hanging="72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5760"/>
        </w:tabs>
        <w:ind w:left="5040" w:hanging="72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6480"/>
        </w:tabs>
        <w:ind w:left="5760" w:hanging="72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7200"/>
        </w:tabs>
        <w:ind w:left="648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hideSpellingErrors/>
  <w:hideGrammaticalErrors/>
  <w:trackRevisions w:val="1"/>
  <w:documentProtection w:enforcement="0"/>
  <w:styleLockQFSet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eckedForWebBugs" w:val="True"/>
    <w:docVar w:name="commondata" w:val="eyJoZGlkIjoiN2QwNDU1ZDU1ZDlkOGNjYzYzYzYxMmUyNWE4YWUzYzkifQ=="/>
    <w:docVar w:name="KEOutsideDoc" w:val="True"/>
    <w:docVar w:name="trailer" w:val="none"/>
    <w:docVar w:name="TrailerFullName" w:val="C:\Users\JCruise\AppData\Roaming\iManage\Work\Recent\072692-0001 (Ocean Network Express_ Project Atlas)\Anchor - China_-_Publicity_Form-20221209(137921514.1).docx"/>
    <w:docVar w:name="TrlrDateFlag" w:val="0"/>
    <w:docVar w:name="TrlrDocTitleFlag" w:val="1"/>
    <w:docVar w:name="TrlrDOSFlag" w:val="0"/>
    <w:docVar w:name="TrlrDOSPathFlag" w:val="0"/>
    <w:docVar w:name="TrlrDraftFlag" w:val="0"/>
    <w:docVar w:name="TrlrMatter" w:val="072692-0001"/>
    <w:docVar w:name="TrlrMatterFlag" w:val="0"/>
    <w:docVar w:name="TrlrRedlineFlag" w:val="0"/>
    <w:docVar w:name="TrlrTimeFlag" w:val="1"/>
    <w:docVar w:name="TrlrTypeFlag" w:val="2"/>
  </w:docVars>
  <w:rsids>
    <w:rsidRoot w:val="00172A27"/>
    <w:rsid w:val="0000664F"/>
    <w:rsid w:val="00006FA8"/>
    <w:rsid w:val="00007061"/>
    <w:rsid w:val="000116BF"/>
    <w:rsid w:val="0001661E"/>
    <w:rsid w:val="0002176F"/>
    <w:rsid w:val="00027452"/>
    <w:rsid w:val="0003163E"/>
    <w:rsid w:val="00031AD2"/>
    <w:rsid w:val="00031F97"/>
    <w:rsid w:val="0003348A"/>
    <w:rsid w:val="00033705"/>
    <w:rsid w:val="000352B4"/>
    <w:rsid w:val="00035415"/>
    <w:rsid w:val="00035CFD"/>
    <w:rsid w:val="0003662F"/>
    <w:rsid w:val="00040F7C"/>
    <w:rsid w:val="00045438"/>
    <w:rsid w:val="0005462A"/>
    <w:rsid w:val="00054F5E"/>
    <w:rsid w:val="00065F6D"/>
    <w:rsid w:val="0007081E"/>
    <w:rsid w:val="000736DA"/>
    <w:rsid w:val="00075F4A"/>
    <w:rsid w:val="00076269"/>
    <w:rsid w:val="0008075E"/>
    <w:rsid w:val="00093D55"/>
    <w:rsid w:val="000A2524"/>
    <w:rsid w:val="000B0F04"/>
    <w:rsid w:val="000B2B5A"/>
    <w:rsid w:val="000B397A"/>
    <w:rsid w:val="000B5361"/>
    <w:rsid w:val="000B56A5"/>
    <w:rsid w:val="000C3DDD"/>
    <w:rsid w:val="000C558B"/>
    <w:rsid w:val="000C6F71"/>
    <w:rsid w:val="000D629D"/>
    <w:rsid w:val="000D6FDA"/>
    <w:rsid w:val="000D7859"/>
    <w:rsid w:val="000E0EB7"/>
    <w:rsid w:val="000E691B"/>
    <w:rsid w:val="000F08C2"/>
    <w:rsid w:val="000F5443"/>
    <w:rsid w:val="000F54B0"/>
    <w:rsid w:val="000F5F81"/>
    <w:rsid w:val="000F75BF"/>
    <w:rsid w:val="000F7A1E"/>
    <w:rsid w:val="0010444C"/>
    <w:rsid w:val="001065A5"/>
    <w:rsid w:val="00113061"/>
    <w:rsid w:val="00116F89"/>
    <w:rsid w:val="00123BAA"/>
    <w:rsid w:val="001313ED"/>
    <w:rsid w:val="00134C12"/>
    <w:rsid w:val="001360E4"/>
    <w:rsid w:val="00136958"/>
    <w:rsid w:val="0014065D"/>
    <w:rsid w:val="00146BB1"/>
    <w:rsid w:val="001539E1"/>
    <w:rsid w:val="0016168E"/>
    <w:rsid w:val="0016524A"/>
    <w:rsid w:val="00166447"/>
    <w:rsid w:val="00170207"/>
    <w:rsid w:val="00172A27"/>
    <w:rsid w:val="00172E35"/>
    <w:rsid w:val="00175F77"/>
    <w:rsid w:val="00190FE8"/>
    <w:rsid w:val="0019134E"/>
    <w:rsid w:val="00193719"/>
    <w:rsid w:val="00197252"/>
    <w:rsid w:val="001A160E"/>
    <w:rsid w:val="001A583B"/>
    <w:rsid w:val="001A6980"/>
    <w:rsid w:val="001B2498"/>
    <w:rsid w:val="001B61B7"/>
    <w:rsid w:val="001C7EE1"/>
    <w:rsid w:val="001D3CF7"/>
    <w:rsid w:val="001D642B"/>
    <w:rsid w:val="001E1FA5"/>
    <w:rsid w:val="001E5A09"/>
    <w:rsid w:val="001E7969"/>
    <w:rsid w:val="001F7167"/>
    <w:rsid w:val="00201644"/>
    <w:rsid w:val="00202D30"/>
    <w:rsid w:val="002057AE"/>
    <w:rsid w:val="0020694E"/>
    <w:rsid w:val="0022562B"/>
    <w:rsid w:val="002376FE"/>
    <w:rsid w:val="00237C97"/>
    <w:rsid w:val="0024374F"/>
    <w:rsid w:val="00243DBF"/>
    <w:rsid w:val="002454FD"/>
    <w:rsid w:val="00252E05"/>
    <w:rsid w:val="00253018"/>
    <w:rsid w:val="00256985"/>
    <w:rsid w:val="00260D95"/>
    <w:rsid w:val="00263084"/>
    <w:rsid w:val="00264D4C"/>
    <w:rsid w:val="0026779A"/>
    <w:rsid w:val="00273C83"/>
    <w:rsid w:val="00274218"/>
    <w:rsid w:val="00274F84"/>
    <w:rsid w:val="00277B07"/>
    <w:rsid w:val="00280BEB"/>
    <w:rsid w:val="00293C4E"/>
    <w:rsid w:val="002A46D8"/>
    <w:rsid w:val="002B3DEA"/>
    <w:rsid w:val="002C15A9"/>
    <w:rsid w:val="002C24AC"/>
    <w:rsid w:val="002D7EDC"/>
    <w:rsid w:val="002E6412"/>
    <w:rsid w:val="002E7848"/>
    <w:rsid w:val="002E7D7B"/>
    <w:rsid w:val="002F30CC"/>
    <w:rsid w:val="00302384"/>
    <w:rsid w:val="00303A7E"/>
    <w:rsid w:val="003046BB"/>
    <w:rsid w:val="00307DBC"/>
    <w:rsid w:val="00313079"/>
    <w:rsid w:val="00315FD7"/>
    <w:rsid w:val="00316239"/>
    <w:rsid w:val="003200E0"/>
    <w:rsid w:val="00322077"/>
    <w:rsid w:val="00333829"/>
    <w:rsid w:val="00334770"/>
    <w:rsid w:val="00334E0E"/>
    <w:rsid w:val="00340AA4"/>
    <w:rsid w:val="00341335"/>
    <w:rsid w:val="00343E84"/>
    <w:rsid w:val="00345CD9"/>
    <w:rsid w:val="00363036"/>
    <w:rsid w:val="0036459D"/>
    <w:rsid w:val="0036692F"/>
    <w:rsid w:val="00372D4A"/>
    <w:rsid w:val="003767FB"/>
    <w:rsid w:val="00376BDB"/>
    <w:rsid w:val="00377A03"/>
    <w:rsid w:val="00383407"/>
    <w:rsid w:val="00383739"/>
    <w:rsid w:val="00383CA2"/>
    <w:rsid w:val="00391607"/>
    <w:rsid w:val="003A08F2"/>
    <w:rsid w:val="003B2B65"/>
    <w:rsid w:val="003C05AC"/>
    <w:rsid w:val="003C37CF"/>
    <w:rsid w:val="003D401C"/>
    <w:rsid w:val="003D79AD"/>
    <w:rsid w:val="003E0817"/>
    <w:rsid w:val="003E1925"/>
    <w:rsid w:val="003F0D44"/>
    <w:rsid w:val="003F3687"/>
    <w:rsid w:val="003F499C"/>
    <w:rsid w:val="00400A16"/>
    <w:rsid w:val="00404771"/>
    <w:rsid w:val="00406A61"/>
    <w:rsid w:val="0041322C"/>
    <w:rsid w:val="00417C26"/>
    <w:rsid w:val="00420CCF"/>
    <w:rsid w:val="004254CB"/>
    <w:rsid w:val="00427493"/>
    <w:rsid w:val="004279AA"/>
    <w:rsid w:val="00432128"/>
    <w:rsid w:val="00432DE4"/>
    <w:rsid w:val="00433C20"/>
    <w:rsid w:val="0044231A"/>
    <w:rsid w:val="00447839"/>
    <w:rsid w:val="00462954"/>
    <w:rsid w:val="004664FC"/>
    <w:rsid w:val="004677A9"/>
    <w:rsid w:val="00477BD8"/>
    <w:rsid w:val="00480185"/>
    <w:rsid w:val="00480DA1"/>
    <w:rsid w:val="00482EF2"/>
    <w:rsid w:val="00484A33"/>
    <w:rsid w:val="00485C86"/>
    <w:rsid w:val="004911D6"/>
    <w:rsid w:val="004935F2"/>
    <w:rsid w:val="00493B33"/>
    <w:rsid w:val="00494442"/>
    <w:rsid w:val="00496020"/>
    <w:rsid w:val="004A4D20"/>
    <w:rsid w:val="004A61BA"/>
    <w:rsid w:val="004A6BF8"/>
    <w:rsid w:val="004A7BB0"/>
    <w:rsid w:val="004B109C"/>
    <w:rsid w:val="004C6F12"/>
    <w:rsid w:val="004E5A7E"/>
    <w:rsid w:val="004E5D73"/>
    <w:rsid w:val="004E6244"/>
    <w:rsid w:val="00500F81"/>
    <w:rsid w:val="005059EC"/>
    <w:rsid w:val="00511338"/>
    <w:rsid w:val="00514940"/>
    <w:rsid w:val="00516C47"/>
    <w:rsid w:val="00526246"/>
    <w:rsid w:val="00541C4D"/>
    <w:rsid w:val="005427E4"/>
    <w:rsid w:val="00542FFB"/>
    <w:rsid w:val="005510E6"/>
    <w:rsid w:val="005512F7"/>
    <w:rsid w:val="0055204D"/>
    <w:rsid w:val="0055627A"/>
    <w:rsid w:val="005622DD"/>
    <w:rsid w:val="00567E13"/>
    <w:rsid w:val="00574FDE"/>
    <w:rsid w:val="0057714B"/>
    <w:rsid w:val="00581A3D"/>
    <w:rsid w:val="0058378C"/>
    <w:rsid w:val="005843DE"/>
    <w:rsid w:val="005A2478"/>
    <w:rsid w:val="005A32B6"/>
    <w:rsid w:val="005A72A6"/>
    <w:rsid w:val="005A795B"/>
    <w:rsid w:val="005B09DC"/>
    <w:rsid w:val="005B51D4"/>
    <w:rsid w:val="005B5ACB"/>
    <w:rsid w:val="005C54E0"/>
    <w:rsid w:val="005C764B"/>
    <w:rsid w:val="005D0857"/>
    <w:rsid w:val="005D234D"/>
    <w:rsid w:val="005E0636"/>
    <w:rsid w:val="006024A8"/>
    <w:rsid w:val="00603699"/>
    <w:rsid w:val="00603BEB"/>
    <w:rsid w:val="00605C22"/>
    <w:rsid w:val="00613B34"/>
    <w:rsid w:val="00613FED"/>
    <w:rsid w:val="0061504A"/>
    <w:rsid w:val="00632B1C"/>
    <w:rsid w:val="00637E03"/>
    <w:rsid w:val="00643A9D"/>
    <w:rsid w:val="006522C2"/>
    <w:rsid w:val="006570D5"/>
    <w:rsid w:val="00657171"/>
    <w:rsid w:val="006646A3"/>
    <w:rsid w:val="00666F26"/>
    <w:rsid w:val="00672AB4"/>
    <w:rsid w:val="00673ED0"/>
    <w:rsid w:val="006822CC"/>
    <w:rsid w:val="00686416"/>
    <w:rsid w:val="00696858"/>
    <w:rsid w:val="006A5F97"/>
    <w:rsid w:val="006A6DE6"/>
    <w:rsid w:val="006B0078"/>
    <w:rsid w:val="006C05C6"/>
    <w:rsid w:val="006C4813"/>
    <w:rsid w:val="006C4EE1"/>
    <w:rsid w:val="006C669D"/>
    <w:rsid w:val="006D47C3"/>
    <w:rsid w:val="006E62BA"/>
    <w:rsid w:val="006F5BDA"/>
    <w:rsid w:val="006F7968"/>
    <w:rsid w:val="0070257C"/>
    <w:rsid w:val="007058C8"/>
    <w:rsid w:val="00710ECA"/>
    <w:rsid w:val="00720A5B"/>
    <w:rsid w:val="007252B9"/>
    <w:rsid w:val="00725847"/>
    <w:rsid w:val="007314C8"/>
    <w:rsid w:val="00734AA4"/>
    <w:rsid w:val="00735ACE"/>
    <w:rsid w:val="0074536F"/>
    <w:rsid w:val="00746D18"/>
    <w:rsid w:val="00752D6E"/>
    <w:rsid w:val="00755D25"/>
    <w:rsid w:val="00760995"/>
    <w:rsid w:val="00760DC7"/>
    <w:rsid w:val="00762BDC"/>
    <w:rsid w:val="00766671"/>
    <w:rsid w:val="00766D72"/>
    <w:rsid w:val="00776AB4"/>
    <w:rsid w:val="0077797F"/>
    <w:rsid w:val="00783464"/>
    <w:rsid w:val="0078577D"/>
    <w:rsid w:val="00787748"/>
    <w:rsid w:val="00792186"/>
    <w:rsid w:val="007930C1"/>
    <w:rsid w:val="0079716C"/>
    <w:rsid w:val="007A12D9"/>
    <w:rsid w:val="007A14C3"/>
    <w:rsid w:val="007A4C50"/>
    <w:rsid w:val="007C161C"/>
    <w:rsid w:val="007C40DF"/>
    <w:rsid w:val="007C744A"/>
    <w:rsid w:val="007D095C"/>
    <w:rsid w:val="007D4DC9"/>
    <w:rsid w:val="007D740B"/>
    <w:rsid w:val="007E4321"/>
    <w:rsid w:val="007E44E4"/>
    <w:rsid w:val="007E4AF3"/>
    <w:rsid w:val="007E4BB2"/>
    <w:rsid w:val="007E7AE3"/>
    <w:rsid w:val="007F0BBB"/>
    <w:rsid w:val="007F3A64"/>
    <w:rsid w:val="008039A5"/>
    <w:rsid w:val="008063CE"/>
    <w:rsid w:val="00806668"/>
    <w:rsid w:val="008068B9"/>
    <w:rsid w:val="00811450"/>
    <w:rsid w:val="00814CAC"/>
    <w:rsid w:val="00822654"/>
    <w:rsid w:val="00822840"/>
    <w:rsid w:val="0083410B"/>
    <w:rsid w:val="0084203B"/>
    <w:rsid w:val="008426B8"/>
    <w:rsid w:val="00843D54"/>
    <w:rsid w:val="0084644E"/>
    <w:rsid w:val="0085083A"/>
    <w:rsid w:val="008536CE"/>
    <w:rsid w:val="00863853"/>
    <w:rsid w:val="008670EC"/>
    <w:rsid w:val="008676B9"/>
    <w:rsid w:val="008769E6"/>
    <w:rsid w:val="008805C7"/>
    <w:rsid w:val="00886715"/>
    <w:rsid w:val="00893065"/>
    <w:rsid w:val="00896F4D"/>
    <w:rsid w:val="008A1842"/>
    <w:rsid w:val="008A382A"/>
    <w:rsid w:val="008E2E40"/>
    <w:rsid w:val="008E4622"/>
    <w:rsid w:val="008E72E4"/>
    <w:rsid w:val="008F7425"/>
    <w:rsid w:val="009015F0"/>
    <w:rsid w:val="009022A3"/>
    <w:rsid w:val="009037D1"/>
    <w:rsid w:val="0091347A"/>
    <w:rsid w:val="00915C67"/>
    <w:rsid w:val="0091662A"/>
    <w:rsid w:val="00917E78"/>
    <w:rsid w:val="00920035"/>
    <w:rsid w:val="009319FD"/>
    <w:rsid w:val="009333A0"/>
    <w:rsid w:val="00943A7A"/>
    <w:rsid w:val="00951910"/>
    <w:rsid w:val="009565D1"/>
    <w:rsid w:val="009604E8"/>
    <w:rsid w:val="009637D8"/>
    <w:rsid w:val="00966C1F"/>
    <w:rsid w:val="00971BB3"/>
    <w:rsid w:val="00981610"/>
    <w:rsid w:val="00984798"/>
    <w:rsid w:val="009878BF"/>
    <w:rsid w:val="00994434"/>
    <w:rsid w:val="00995CD3"/>
    <w:rsid w:val="009974FC"/>
    <w:rsid w:val="009A587F"/>
    <w:rsid w:val="009A5900"/>
    <w:rsid w:val="009D1F68"/>
    <w:rsid w:val="009D46AD"/>
    <w:rsid w:val="009E15D6"/>
    <w:rsid w:val="009F3BEF"/>
    <w:rsid w:val="009F417F"/>
    <w:rsid w:val="009F5032"/>
    <w:rsid w:val="00A0152E"/>
    <w:rsid w:val="00A02A51"/>
    <w:rsid w:val="00A03076"/>
    <w:rsid w:val="00A12516"/>
    <w:rsid w:val="00A14E09"/>
    <w:rsid w:val="00A24132"/>
    <w:rsid w:val="00A27B67"/>
    <w:rsid w:val="00A27EDD"/>
    <w:rsid w:val="00A32747"/>
    <w:rsid w:val="00A3378D"/>
    <w:rsid w:val="00A3788A"/>
    <w:rsid w:val="00A41493"/>
    <w:rsid w:val="00A50875"/>
    <w:rsid w:val="00A51731"/>
    <w:rsid w:val="00A5421C"/>
    <w:rsid w:val="00A62E25"/>
    <w:rsid w:val="00A63DA5"/>
    <w:rsid w:val="00A647A5"/>
    <w:rsid w:val="00A66FA6"/>
    <w:rsid w:val="00A756D7"/>
    <w:rsid w:val="00A81DBB"/>
    <w:rsid w:val="00A82893"/>
    <w:rsid w:val="00A96035"/>
    <w:rsid w:val="00AA13BC"/>
    <w:rsid w:val="00AA4EDD"/>
    <w:rsid w:val="00AB2144"/>
    <w:rsid w:val="00AB322D"/>
    <w:rsid w:val="00AC1416"/>
    <w:rsid w:val="00AC1A0A"/>
    <w:rsid w:val="00AC1D5A"/>
    <w:rsid w:val="00AC4072"/>
    <w:rsid w:val="00AD4F07"/>
    <w:rsid w:val="00AE2EB1"/>
    <w:rsid w:val="00AE5E58"/>
    <w:rsid w:val="00AE75B7"/>
    <w:rsid w:val="00AF095C"/>
    <w:rsid w:val="00AF16AC"/>
    <w:rsid w:val="00AF659E"/>
    <w:rsid w:val="00B05FED"/>
    <w:rsid w:val="00B06DF7"/>
    <w:rsid w:val="00B10EC0"/>
    <w:rsid w:val="00B115A9"/>
    <w:rsid w:val="00B138F0"/>
    <w:rsid w:val="00B22442"/>
    <w:rsid w:val="00B27091"/>
    <w:rsid w:val="00B31EA7"/>
    <w:rsid w:val="00B32099"/>
    <w:rsid w:val="00B32F77"/>
    <w:rsid w:val="00B33031"/>
    <w:rsid w:val="00B33421"/>
    <w:rsid w:val="00B36128"/>
    <w:rsid w:val="00B53B7B"/>
    <w:rsid w:val="00B60750"/>
    <w:rsid w:val="00B631A7"/>
    <w:rsid w:val="00B63DF4"/>
    <w:rsid w:val="00B66DC3"/>
    <w:rsid w:val="00B906E6"/>
    <w:rsid w:val="00B929F7"/>
    <w:rsid w:val="00B93943"/>
    <w:rsid w:val="00B97B7C"/>
    <w:rsid w:val="00BA02C8"/>
    <w:rsid w:val="00BA29DC"/>
    <w:rsid w:val="00BA54C0"/>
    <w:rsid w:val="00BA5E3A"/>
    <w:rsid w:val="00BA6B56"/>
    <w:rsid w:val="00BB1FE8"/>
    <w:rsid w:val="00BE14C3"/>
    <w:rsid w:val="00BE2B36"/>
    <w:rsid w:val="00BE3123"/>
    <w:rsid w:val="00BE37B4"/>
    <w:rsid w:val="00BE6258"/>
    <w:rsid w:val="00BF48D8"/>
    <w:rsid w:val="00BF6FB3"/>
    <w:rsid w:val="00C02BAB"/>
    <w:rsid w:val="00C03672"/>
    <w:rsid w:val="00C03D5E"/>
    <w:rsid w:val="00C155EF"/>
    <w:rsid w:val="00C1621F"/>
    <w:rsid w:val="00C177B8"/>
    <w:rsid w:val="00C20BCD"/>
    <w:rsid w:val="00C247FA"/>
    <w:rsid w:val="00C251B9"/>
    <w:rsid w:val="00C30B98"/>
    <w:rsid w:val="00C31EE9"/>
    <w:rsid w:val="00C3362C"/>
    <w:rsid w:val="00C35FB0"/>
    <w:rsid w:val="00C36F15"/>
    <w:rsid w:val="00C45530"/>
    <w:rsid w:val="00C50171"/>
    <w:rsid w:val="00C53C11"/>
    <w:rsid w:val="00C54BF8"/>
    <w:rsid w:val="00C61055"/>
    <w:rsid w:val="00C736D6"/>
    <w:rsid w:val="00C75354"/>
    <w:rsid w:val="00C77F78"/>
    <w:rsid w:val="00C82D5C"/>
    <w:rsid w:val="00C8424D"/>
    <w:rsid w:val="00C84C3E"/>
    <w:rsid w:val="00C96637"/>
    <w:rsid w:val="00C978AB"/>
    <w:rsid w:val="00C97975"/>
    <w:rsid w:val="00CA2B22"/>
    <w:rsid w:val="00CA3911"/>
    <w:rsid w:val="00CA57DB"/>
    <w:rsid w:val="00CA600F"/>
    <w:rsid w:val="00CB5541"/>
    <w:rsid w:val="00CB7C32"/>
    <w:rsid w:val="00CC0115"/>
    <w:rsid w:val="00CC472D"/>
    <w:rsid w:val="00CC7FCE"/>
    <w:rsid w:val="00CD003E"/>
    <w:rsid w:val="00CD2956"/>
    <w:rsid w:val="00CE3CAF"/>
    <w:rsid w:val="00CE5CC0"/>
    <w:rsid w:val="00CE6F79"/>
    <w:rsid w:val="00CE7401"/>
    <w:rsid w:val="00CE76B0"/>
    <w:rsid w:val="00CF0A01"/>
    <w:rsid w:val="00CF1CA0"/>
    <w:rsid w:val="00CF3EEB"/>
    <w:rsid w:val="00CF57D7"/>
    <w:rsid w:val="00D00240"/>
    <w:rsid w:val="00D224EA"/>
    <w:rsid w:val="00D2603F"/>
    <w:rsid w:val="00D278B2"/>
    <w:rsid w:val="00D41E85"/>
    <w:rsid w:val="00D4484D"/>
    <w:rsid w:val="00D44DFE"/>
    <w:rsid w:val="00D45AEE"/>
    <w:rsid w:val="00D47898"/>
    <w:rsid w:val="00D51A37"/>
    <w:rsid w:val="00D54B1F"/>
    <w:rsid w:val="00D54FD1"/>
    <w:rsid w:val="00D6778B"/>
    <w:rsid w:val="00D67902"/>
    <w:rsid w:val="00D71205"/>
    <w:rsid w:val="00D71E5B"/>
    <w:rsid w:val="00D8089A"/>
    <w:rsid w:val="00D82DEE"/>
    <w:rsid w:val="00D83BB6"/>
    <w:rsid w:val="00D84B7C"/>
    <w:rsid w:val="00D90B1F"/>
    <w:rsid w:val="00D91BE9"/>
    <w:rsid w:val="00D94857"/>
    <w:rsid w:val="00D94BB9"/>
    <w:rsid w:val="00D95220"/>
    <w:rsid w:val="00D9743A"/>
    <w:rsid w:val="00DA19E5"/>
    <w:rsid w:val="00DB48F7"/>
    <w:rsid w:val="00DD0D07"/>
    <w:rsid w:val="00DD7311"/>
    <w:rsid w:val="00DD784D"/>
    <w:rsid w:val="00DE2943"/>
    <w:rsid w:val="00DE4FBB"/>
    <w:rsid w:val="00DE7E47"/>
    <w:rsid w:val="00E00B8F"/>
    <w:rsid w:val="00E02C01"/>
    <w:rsid w:val="00E04C45"/>
    <w:rsid w:val="00E07B69"/>
    <w:rsid w:val="00E13849"/>
    <w:rsid w:val="00E22F5E"/>
    <w:rsid w:val="00E3191C"/>
    <w:rsid w:val="00E35254"/>
    <w:rsid w:val="00E4191C"/>
    <w:rsid w:val="00E43F9F"/>
    <w:rsid w:val="00E4646A"/>
    <w:rsid w:val="00E4730E"/>
    <w:rsid w:val="00E56B20"/>
    <w:rsid w:val="00E6060B"/>
    <w:rsid w:val="00E61B9D"/>
    <w:rsid w:val="00E62195"/>
    <w:rsid w:val="00E64EEC"/>
    <w:rsid w:val="00E66270"/>
    <w:rsid w:val="00E70CE7"/>
    <w:rsid w:val="00E77CEA"/>
    <w:rsid w:val="00E82557"/>
    <w:rsid w:val="00E827AF"/>
    <w:rsid w:val="00E836CE"/>
    <w:rsid w:val="00E86F35"/>
    <w:rsid w:val="00E91D1C"/>
    <w:rsid w:val="00E91E85"/>
    <w:rsid w:val="00E944EC"/>
    <w:rsid w:val="00E954B1"/>
    <w:rsid w:val="00EA1CD0"/>
    <w:rsid w:val="00EC5F29"/>
    <w:rsid w:val="00ED0697"/>
    <w:rsid w:val="00ED1B18"/>
    <w:rsid w:val="00ED6CCE"/>
    <w:rsid w:val="00EE5C21"/>
    <w:rsid w:val="00EF241E"/>
    <w:rsid w:val="00F02822"/>
    <w:rsid w:val="00F03113"/>
    <w:rsid w:val="00F05D83"/>
    <w:rsid w:val="00F07A95"/>
    <w:rsid w:val="00F11F9D"/>
    <w:rsid w:val="00F13033"/>
    <w:rsid w:val="00F220E9"/>
    <w:rsid w:val="00F23830"/>
    <w:rsid w:val="00F239C4"/>
    <w:rsid w:val="00F24396"/>
    <w:rsid w:val="00F25DBF"/>
    <w:rsid w:val="00F262B1"/>
    <w:rsid w:val="00F273A6"/>
    <w:rsid w:val="00F305C1"/>
    <w:rsid w:val="00F308B8"/>
    <w:rsid w:val="00F31F64"/>
    <w:rsid w:val="00F328B7"/>
    <w:rsid w:val="00F34A58"/>
    <w:rsid w:val="00F438BE"/>
    <w:rsid w:val="00F55F8F"/>
    <w:rsid w:val="00F60122"/>
    <w:rsid w:val="00F61577"/>
    <w:rsid w:val="00F618D0"/>
    <w:rsid w:val="00F66787"/>
    <w:rsid w:val="00F66B5D"/>
    <w:rsid w:val="00F67294"/>
    <w:rsid w:val="00F706D6"/>
    <w:rsid w:val="00F72139"/>
    <w:rsid w:val="00F72431"/>
    <w:rsid w:val="00F77120"/>
    <w:rsid w:val="00F8518F"/>
    <w:rsid w:val="00F87A02"/>
    <w:rsid w:val="00F9407E"/>
    <w:rsid w:val="00FA138E"/>
    <w:rsid w:val="00FA23CC"/>
    <w:rsid w:val="00FA7DD1"/>
    <w:rsid w:val="00FB1520"/>
    <w:rsid w:val="00FC0B01"/>
    <w:rsid w:val="00FC2FD7"/>
    <w:rsid w:val="00FC3DF0"/>
    <w:rsid w:val="00FD1BA8"/>
    <w:rsid w:val="0EFF7101"/>
    <w:rsid w:val="163B6ECC"/>
    <w:rsid w:val="1BFF9C38"/>
    <w:rsid w:val="27FD2523"/>
    <w:rsid w:val="3D7287C3"/>
    <w:rsid w:val="3E7F7976"/>
    <w:rsid w:val="3F6F6B7A"/>
    <w:rsid w:val="3FF30871"/>
    <w:rsid w:val="3FFADDC7"/>
    <w:rsid w:val="4FFF62BF"/>
    <w:rsid w:val="4FFF819B"/>
    <w:rsid w:val="53B845CF"/>
    <w:rsid w:val="56AF5C90"/>
    <w:rsid w:val="577C202B"/>
    <w:rsid w:val="5B7FA932"/>
    <w:rsid w:val="5BB6F25E"/>
    <w:rsid w:val="5BFAB340"/>
    <w:rsid w:val="5DD5874B"/>
    <w:rsid w:val="5EE6A34D"/>
    <w:rsid w:val="5F7BF863"/>
    <w:rsid w:val="5FA7DFE5"/>
    <w:rsid w:val="5FFBF007"/>
    <w:rsid w:val="5FFFBE8D"/>
    <w:rsid w:val="69BFBEF6"/>
    <w:rsid w:val="6BDFB99A"/>
    <w:rsid w:val="6F7ED17D"/>
    <w:rsid w:val="6FC35803"/>
    <w:rsid w:val="73395091"/>
    <w:rsid w:val="74FD87E1"/>
    <w:rsid w:val="74FDEE07"/>
    <w:rsid w:val="75FD361E"/>
    <w:rsid w:val="77E9B2AC"/>
    <w:rsid w:val="77F7A642"/>
    <w:rsid w:val="78FF6F1F"/>
    <w:rsid w:val="79EF9A17"/>
    <w:rsid w:val="7AEFC4FF"/>
    <w:rsid w:val="7AFE3156"/>
    <w:rsid w:val="7B9F2EAF"/>
    <w:rsid w:val="7BE6A5B1"/>
    <w:rsid w:val="7BFE05A0"/>
    <w:rsid w:val="7BFEA525"/>
    <w:rsid w:val="7CE994E8"/>
    <w:rsid w:val="7CEA0B5A"/>
    <w:rsid w:val="7CEFD383"/>
    <w:rsid w:val="7D5BD6D6"/>
    <w:rsid w:val="7DF8D4E1"/>
    <w:rsid w:val="7EB7A4F6"/>
    <w:rsid w:val="7EBF7261"/>
    <w:rsid w:val="7EDF3E88"/>
    <w:rsid w:val="7EEF32A6"/>
    <w:rsid w:val="7EF10588"/>
    <w:rsid w:val="7EFD2929"/>
    <w:rsid w:val="7F65B4BE"/>
    <w:rsid w:val="7F6BE15F"/>
    <w:rsid w:val="7FAB3369"/>
    <w:rsid w:val="7FB6DD08"/>
    <w:rsid w:val="7FB74029"/>
    <w:rsid w:val="7FCF6BA4"/>
    <w:rsid w:val="7FDFA069"/>
    <w:rsid w:val="7FF53B60"/>
    <w:rsid w:val="7FF56F3A"/>
    <w:rsid w:val="7FFBF595"/>
    <w:rsid w:val="7FFF4AFC"/>
    <w:rsid w:val="7FFF85D4"/>
    <w:rsid w:val="9BAFC615"/>
    <w:rsid w:val="9EDF0D9C"/>
    <w:rsid w:val="A7CBB447"/>
    <w:rsid w:val="B7B0573E"/>
    <w:rsid w:val="BBE3DEB6"/>
    <w:rsid w:val="BDEFFA9E"/>
    <w:rsid w:val="BE3F1D8F"/>
    <w:rsid w:val="BEF9E33D"/>
    <w:rsid w:val="BFFAA0A4"/>
    <w:rsid w:val="BFFE8F8A"/>
    <w:rsid w:val="C3722587"/>
    <w:rsid w:val="C675831C"/>
    <w:rsid w:val="CA3B6CCC"/>
    <w:rsid w:val="CBEF6A4C"/>
    <w:rsid w:val="D45FD893"/>
    <w:rsid w:val="DB2F4B6B"/>
    <w:rsid w:val="DB888B4E"/>
    <w:rsid w:val="DDFDECC5"/>
    <w:rsid w:val="DE37D2F8"/>
    <w:rsid w:val="DED6F089"/>
    <w:rsid w:val="DF33ADBD"/>
    <w:rsid w:val="DFEF00B5"/>
    <w:rsid w:val="E17F6E69"/>
    <w:rsid w:val="E197A3B4"/>
    <w:rsid w:val="E47FC8BB"/>
    <w:rsid w:val="E4CDC12D"/>
    <w:rsid w:val="E5FBB0A4"/>
    <w:rsid w:val="E7EFA68A"/>
    <w:rsid w:val="E8EB7FEA"/>
    <w:rsid w:val="E9EF37B9"/>
    <w:rsid w:val="EDF6C61C"/>
    <w:rsid w:val="EEDDD75C"/>
    <w:rsid w:val="F37C82E4"/>
    <w:rsid w:val="F3B7FFE3"/>
    <w:rsid w:val="F55A978D"/>
    <w:rsid w:val="F5FA46AE"/>
    <w:rsid w:val="FAAF08F7"/>
    <w:rsid w:val="FBE7B0C3"/>
    <w:rsid w:val="FBEFFDEC"/>
    <w:rsid w:val="FCAABFBA"/>
    <w:rsid w:val="FCFBECE1"/>
    <w:rsid w:val="FDB5F613"/>
    <w:rsid w:val="FDCE6232"/>
    <w:rsid w:val="FDF79F52"/>
    <w:rsid w:val="FEBFDB7D"/>
    <w:rsid w:val="FF3F12EE"/>
    <w:rsid w:val="FF5EFBCD"/>
    <w:rsid w:val="FF7F4B1F"/>
    <w:rsid w:val="FFF39ADF"/>
    <w:rsid w:val="FFF69551"/>
    <w:rsid w:val="FFFB8163"/>
    <w:rsid w:val="FFFBAFD5"/>
    <w:rsid w:val="FFFF23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4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2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Times New Roman" w:eastAsiaTheme="minorEastAsia"/>
      <w:kern w:val="2"/>
      <w:lang w:val="en-US" w:eastAsia="zh-CN" w:bidi="ar-SA"/>
    </w:rPr>
  </w:style>
  <w:style w:type="paragraph" w:styleId="5">
    <w:name w:val="annotation text"/>
    <w:basedOn w:val="1"/>
    <w:link w:val="41"/>
    <w:unhideWhenUsed/>
    <w:qFormat/>
    <w:uiPriority w:val="0"/>
    <w:rPr>
      <w:sz w:val="20"/>
      <w:szCs w:val="20"/>
    </w:rPr>
  </w:style>
  <w:style w:type="paragraph" w:styleId="6">
    <w:name w:val="Body Text"/>
    <w:basedOn w:val="1"/>
    <w:link w:val="43"/>
    <w:qFormat/>
    <w:uiPriority w:val="0"/>
    <w:pPr>
      <w:widowControl/>
      <w:spacing w:after="240"/>
      <w:jc w:val="left"/>
    </w:pPr>
    <w:rPr>
      <w:rFonts w:cstheme="minorBidi"/>
      <w:kern w:val="0"/>
      <w:sz w:val="24"/>
      <w:lang w:eastAsia="en-US"/>
    </w:rPr>
  </w:style>
  <w:style w:type="paragraph" w:styleId="7">
    <w:name w:val="endnote text"/>
    <w:basedOn w:val="1"/>
    <w:link w:val="21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4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link w:val="42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semiHidden/>
    <w:unhideWhenUsed/>
    <w:qFormat/>
    <w:uiPriority w:val="99"/>
    <w:rPr>
      <w:vertAlign w:val="superscript"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5"/>
    <w:semiHidden/>
    <w:unhideWhenUsed/>
    <w:qFormat/>
    <w:uiPriority w:val="99"/>
    <w:rPr>
      <w:sz w:val="16"/>
      <w:szCs w:val="16"/>
    </w:rPr>
  </w:style>
  <w:style w:type="character" w:styleId="19">
    <w:name w:val="footnote reference"/>
    <w:link w:val="20"/>
    <w:unhideWhenUsed/>
    <w:qFormat/>
    <w:uiPriority w:val="99"/>
    <w:rPr>
      <w:vertAlign w:val="superscript"/>
    </w:rPr>
  </w:style>
  <w:style w:type="paragraph" w:customStyle="1" w:styleId="20">
    <w:name w:val="Z_Footnote Text"/>
    <w:basedOn w:val="1"/>
    <w:link w:val="19"/>
    <w:qFormat/>
    <w:uiPriority w:val="99"/>
    <w:pPr>
      <w:widowControl/>
      <w:spacing w:after="160" w:line="240" w:lineRule="exact"/>
      <w:jc w:val="left"/>
    </w:pPr>
    <w:rPr>
      <w:rFonts w:ascii="Calibri" w:hAnsi="Calibri"/>
      <w:kern w:val="0"/>
      <w:sz w:val="20"/>
      <w:szCs w:val="20"/>
      <w:vertAlign w:val="superscript"/>
    </w:rPr>
  </w:style>
  <w:style w:type="character" w:customStyle="1" w:styleId="21">
    <w:name w:val="尾注文本 字符"/>
    <w:basedOn w:val="15"/>
    <w:link w:val="7"/>
    <w:semiHidden/>
    <w:qFormat/>
    <w:uiPriority w:val="99"/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  <w:style w:type="character" w:customStyle="1" w:styleId="24">
    <w:name w:val="脚注文本 字符"/>
    <w:link w:val="11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apple-converted-space"/>
    <w:basedOn w:val="15"/>
    <w:qFormat/>
    <w:uiPriority w:val="0"/>
  </w:style>
  <w:style w:type="character" w:customStyle="1" w:styleId="26">
    <w:name w:val="批注框文本 字符"/>
    <w:basedOn w:val="15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7">
    <w:name w:val="AMLNotify Cont 3"/>
    <w:basedOn w:val="1"/>
    <w:qFormat/>
    <w:uiPriority w:val="0"/>
    <w:pPr>
      <w:widowControl/>
      <w:spacing w:after="240"/>
    </w:pPr>
    <w:rPr>
      <w:rFonts w:eastAsia="Times New Roman"/>
      <w:kern w:val="0"/>
      <w:sz w:val="24"/>
      <w:szCs w:val="20"/>
      <w:lang w:eastAsia="en-GB"/>
    </w:rPr>
  </w:style>
  <w:style w:type="paragraph" w:customStyle="1" w:styleId="28">
    <w:name w:val="DocId"/>
    <w:basedOn w:val="9"/>
    <w:qFormat/>
    <w:uiPriority w:val="0"/>
    <w:pPr>
      <w:widowControl/>
      <w:tabs>
        <w:tab w:val="center" w:pos="4680"/>
        <w:tab w:val="right" w:pos="9360"/>
        <w:tab w:val="clear" w:pos="4153"/>
        <w:tab w:val="clear" w:pos="8306"/>
      </w:tabs>
      <w:snapToGrid/>
    </w:pPr>
    <w:rPr>
      <w:rFonts w:cstheme="minorBidi"/>
      <w:kern w:val="0"/>
      <w:sz w:val="16"/>
      <w:szCs w:val="16"/>
      <w:lang w:eastAsia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kern w:val="2"/>
      <w:sz w:val="28"/>
      <w:szCs w:val="28"/>
    </w:rPr>
  </w:style>
  <w:style w:type="character" w:customStyle="1" w:styleId="32">
    <w:name w:val="宏文本 字符"/>
    <w:basedOn w:val="15"/>
    <w:link w:val="2"/>
    <w:semiHidden/>
    <w:qFormat/>
    <w:uiPriority w:val="99"/>
    <w:rPr>
      <w:rFonts w:ascii="Consolas" w:hAnsi="Consolas"/>
      <w:kern w:val="2"/>
    </w:rPr>
  </w:style>
  <w:style w:type="paragraph" w:customStyle="1" w:styleId="33">
    <w:name w:val="ShortOutline1"/>
    <w:basedOn w:val="1"/>
    <w:qFormat/>
    <w:uiPriority w:val="4"/>
    <w:pPr>
      <w:widowControl/>
      <w:numPr>
        <w:ilvl w:val="0"/>
        <w:numId w:val="1"/>
      </w:numPr>
      <w:spacing w:before="240" w:after="240"/>
      <w:jc w:val="left"/>
    </w:pPr>
    <w:rPr>
      <w:kern w:val="0"/>
      <w:sz w:val="24"/>
      <w:szCs w:val="24"/>
      <w:lang w:bidi="he-IL"/>
    </w:rPr>
  </w:style>
  <w:style w:type="paragraph" w:customStyle="1" w:styleId="34">
    <w:name w:val="ShortOutline2"/>
    <w:basedOn w:val="1"/>
    <w:qFormat/>
    <w:uiPriority w:val="4"/>
    <w:pPr>
      <w:widowControl/>
      <w:numPr>
        <w:ilvl w:val="1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35">
    <w:name w:val="ShortOutline3"/>
    <w:basedOn w:val="1"/>
    <w:qFormat/>
    <w:uiPriority w:val="4"/>
    <w:pPr>
      <w:widowControl/>
      <w:numPr>
        <w:ilvl w:val="2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36">
    <w:name w:val="ShortOutline4"/>
    <w:basedOn w:val="1"/>
    <w:qFormat/>
    <w:uiPriority w:val="4"/>
    <w:pPr>
      <w:widowControl/>
      <w:numPr>
        <w:ilvl w:val="3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paragraph" w:customStyle="1" w:styleId="37">
    <w:name w:val="ShortOutline5"/>
    <w:basedOn w:val="1"/>
    <w:qFormat/>
    <w:uiPriority w:val="4"/>
    <w:pPr>
      <w:widowControl/>
      <w:numPr>
        <w:ilvl w:val="4"/>
        <w:numId w:val="1"/>
      </w:numPr>
      <w:spacing w:before="240" w:after="240"/>
      <w:jc w:val="left"/>
    </w:pPr>
    <w:rPr>
      <w:color w:val="000000"/>
      <w:kern w:val="0"/>
      <w:sz w:val="24"/>
      <w:szCs w:val="24"/>
      <w:lang w:bidi="he-IL"/>
    </w:rPr>
  </w:style>
  <w:style w:type="character" w:customStyle="1" w:styleId="38">
    <w:name w:val="Draftline"/>
    <w:qFormat/>
    <w:uiPriority w:val="0"/>
    <w:rPr>
      <w:rFonts w:ascii="Times New Roman" w:hAnsi="Times New Roman" w:cs="Times New Roman"/>
      <w:vanish/>
      <w:color w:val="FF0000"/>
      <w:spacing w:val="0"/>
      <w:w w:val="100"/>
      <w:kern w:val="0"/>
      <w:sz w:val="15"/>
      <w:szCs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paragraph" w:customStyle="1" w:styleId="39">
    <w:name w:val="Footer B"/>
    <w:link w:val="40"/>
    <w:qFormat/>
    <w:uiPriority w:val="0"/>
    <w:pPr>
      <w:tabs>
        <w:tab w:val="center" w:pos="4320"/>
        <w:tab w:val="right" w:pos="8640"/>
      </w:tabs>
      <w:snapToGrid w:val="0"/>
    </w:pPr>
    <w:rPr>
      <w:rFonts w:ascii="Times New Roman" w:hAnsi="Times New Roman" w:cs="Times New Roman" w:eastAsiaTheme="minorEastAsia"/>
      <w:sz w:val="15"/>
      <w:szCs w:val="24"/>
      <w:lang w:val="en-US" w:eastAsia="zh-CN" w:bidi="ar-SA"/>
    </w:rPr>
  </w:style>
  <w:style w:type="character" w:customStyle="1" w:styleId="40">
    <w:name w:val="Footer B Char"/>
    <w:basedOn w:val="15"/>
    <w:link w:val="39"/>
    <w:qFormat/>
    <w:uiPriority w:val="0"/>
    <w:rPr>
      <w:rFonts w:ascii="Times New Roman" w:hAnsi="Times New Roman"/>
      <w:sz w:val="15"/>
      <w:szCs w:val="24"/>
    </w:rPr>
  </w:style>
  <w:style w:type="character" w:customStyle="1" w:styleId="41">
    <w:name w:val="批注文字 字符"/>
    <w:basedOn w:val="15"/>
    <w:link w:val="5"/>
    <w:qFormat/>
    <w:uiPriority w:val="0"/>
    <w:rPr>
      <w:rFonts w:ascii="Times New Roman" w:hAnsi="Times New Roman"/>
      <w:kern w:val="2"/>
    </w:rPr>
  </w:style>
  <w:style w:type="character" w:customStyle="1" w:styleId="42">
    <w:name w:val="批注主题 字符"/>
    <w:basedOn w:val="41"/>
    <w:link w:val="12"/>
    <w:semiHidden/>
    <w:qFormat/>
    <w:uiPriority w:val="99"/>
    <w:rPr>
      <w:rFonts w:ascii="Times New Roman" w:hAnsi="Times New Roman"/>
      <w:b/>
      <w:bCs/>
      <w:kern w:val="2"/>
    </w:rPr>
  </w:style>
  <w:style w:type="character" w:customStyle="1" w:styleId="43">
    <w:name w:val="正文文本 字符"/>
    <w:basedOn w:val="15"/>
    <w:link w:val="6"/>
    <w:qFormat/>
    <w:uiPriority w:val="0"/>
    <w:rPr>
      <w:rFonts w:ascii="Times New Roman" w:hAnsi="Times New Roman" w:cstheme="minorBidi"/>
      <w:sz w:val="24"/>
      <w:szCs w:val="22"/>
      <w:lang w:eastAsia="en-US"/>
    </w:rPr>
  </w:style>
  <w:style w:type="character" w:customStyle="1" w:styleId="44">
    <w:name w:val="标题 3 字符"/>
    <w:basedOn w:val="15"/>
    <w:link w:val="4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45">
    <w:name w:val="Revision1"/>
    <w:hidden/>
    <w:semiHidden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customStyle="1" w:styleId="46">
    <w:name w:val="修订2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customStyle="1" w:styleId="47">
    <w:name w:val="Table Paragraph"/>
    <w:basedOn w:val="1"/>
    <w:qFormat/>
    <w:uiPriority w:val="1"/>
    <w:pPr>
      <w:ind w:left="107"/>
    </w:pPr>
    <w:rPr>
      <w:rFonts w:ascii="Arial Unicode MS" w:hAnsi="Arial Unicode MS" w:eastAsia="Arial Unicode MS" w:cs="Arial Unicode MS"/>
    </w:rPr>
  </w:style>
  <w:style w:type="paragraph" w:customStyle="1" w:styleId="48">
    <w:name w:val="修订3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paragraph" w:customStyle="1" w:styleId="49">
    <w:name w:val="Revision"/>
    <w:hidden/>
    <w:unhideWhenUsed/>
    <w:qFormat/>
    <w:uiPriority w:val="99"/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Nagashima Ohno &amp; Tsunematsu</Company>
  <Pages>2</Pages>
  <Words>168</Words>
  <Characters>958</Characters>
  <Lines>7</Lines>
  <Paragraphs>2</Paragraphs>
  <TotalTime>1</TotalTime>
  <ScaleCrop>false</ScaleCrop>
  <LinksUpToDate>false</LinksUpToDate>
  <CharactersWithSpaces>1124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2024-09-01T04:57:00Z</dcterms:created>
  <dc:creator>Data</dc:creator>
  <cp:lastModifiedBy>guest</cp:lastModifiedBy>
  <dcterms:modified xsi:type="dcterms:W3CDTF">2026-03-19T10:24:59Z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099750</vt:lpwstr>
  </property>
  <property fmtid="{D5CDD505-2E9C-101B-9397-08002B2CF9AE}" pid="3" name="Matter">
    <vt:lpwstr>0102</vt:lpwstr>
  </property>
  <property fmtid="{D5CDD505-2E9C-101B-9397-08002B2CF9AE}" pid="4" name="MicrosystemsComparison">
    <vt:lpwstr>{9edf1103-200e-4306-b89e-9c343e727ef8}</vt:lpwstr>
  </property>
  <property fmtid="{D5CDD505-2E9C-101B-9397-08002B2CF9AE}" pid="5" name="REF">
    <vt:lpwstr>{REF:0726920001}</vt:lpwstr>
  </property>
  <property fmtid="{D5CDD505-2E9C-101B-9397-08002B2CF9AE}" pid="6" name="KSOProductBuildVer">
    <vt:lpwstr>2052-12.8.2.1119</vt:lpwstr>
  </property>
  <property fmtid="{D5CDD505-2E9C-101B-9397-08002B2CF9AE}" pid="7" name="ICV">
    <vt:lpwstr>EB6FDEAE920A9F333E1AA969627E982C_43</vt:lpwstr>
  </property>
</Properties>
</file>