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ED6F4"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1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 w14:paraId="25EF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 w14:paraId="14592556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color w:val="000000"/>
                <w:lang w:val="en-US"/>
              </w:rPr>
            </w:pPr>
            <w:r>
              <w:rPr>
                <w:rFonts w:ascii="宋体" w:hAnsi="宋体" w:eastAsia="宋体"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3AFA0DCA">
            <w:pPr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lang w:val="en-US"/>
              </w:rPr>
            </w:pPr>
            <w:r>
              <w:rPr>
                <w:rFonts w:ascii="宋体" w:hAnsi="宋体" w:eastAsia="宋体" w:cs="宋体"/>
                <w:bCs/>
                <w:lang w:val="en-US"/>
              </w:rPr>
              <w:t>道达尔能源股份公司</w:t>
            </w:r>
            <w:r>
              <w:rPr>
                <w:rFonts w:hint="eastAsia" w:ascii="宋体" w:hAnsi="宋体" w:eastAsia="宋体" w:cs="宋体"/>
                <w:bCs/>
                <w:lang w:val="en-US"/>
              </w:rPr>
              <w:t>与</w:t>
            </w:r>
            <w:r>
              <w:rPr>
                <w:rFonts w:ascii="宋体" w:hAnsi="宋体" w:eastAsia="宋体" w:cs="宋体"/>
                <w:bCs/>
                <w:lang w:val="en-US"/>
              </w:rPr>
              <w:t xml:space="preserve">阿布扎比未来能源公司新设合营企业案 </w:t>
            </w:r>
          </w:p>
        </w:tc>
      </w:tr>
      <w:tr w14:paraId="0B73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 w14:paraId="7A66F57C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5AE4829E">
            <w:pPr>
              <w:widowControl w:val="0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</w:rPr>
            </w:pPr>
            <w:r>
              <w:rPr>
                <w:rFonts w:ascii="宋体" w:hAnsi="宋体" w:eastAsia="宋体" w:cs="宋体"/>
              </w:rPr>
              <w:t>道达尔能源股份公司（“</w:t>
            </w:r>
            <w:r>
              <w:rPr>
                <w:rFonts w:ascii="宋体" w:hAnsi="宋体" w:eastAsia="宋体" w:cs="宋体"/>
                <w:b/>
                <w:bCs/>
              </w:rPr>
              <w:t>道达尔能源</w:t>
            </w:r>
            <w:r>
              <w:rPr>
                <w:rFonts w:ascii="宋体" w:hAnsi="宋体" w:eastAsia="宋体" w:cs="宋体"/>
              </w:rPr>
              <w:t>”）的</w:t>
            </w:r>
            <w:r>
              <w:rPr>
                <w:rFonts w:hint="eastAsia" w:ascii="宋体" w:hAnsi="宋体" w:eastAsia="宋体" w:cs="宋体"/>
              </w:rPr>
              <w:t>全资</w:t>
            </w:r>
            <w:r>
              <w:rPr>
                <w:rFonts w:ascii="宋体" w:hAnsi="宋体" w:eastAsia="宋体" w:cs="宋体"/>
              </w:rPr>
              <w:t>子公司道达尔能源可再生股份有限公司</w:t>
            </w:r>
            <w:r>
              <w:rPr>
                <w:rFonts w:hint="eastAsia" w:ascii="宋体" w:hAnsi="宋体" w:eastAsia="宋体" w:cs="宋体"/>
              </w:rPr>
              <w:t>与</w:t>
            </w:r>
            <w:r>
              <w:rPr>
                <w:rFonts w:ascii="宋体" w:hAnsi="宋体" w:eastAsia="宋体" w:cs="宋体"/>
              </w:rPr>
              <w:t>阿布扎比未来能源公司（“</w:t>
            </w:r>
            <w:r>
              <w:rPr>
                <w:rFonts w:ascii="宋体" w:hAnsi="宋体" w:eastAsia="宋体" w:cs="宋体"/>
                <w:b/>
                <w:bCs/>
              </w:rPr>
              <w:t>马斯达尔</w:t>
            </w:r>
            <w:r>
              <w:rPr>
                <w:rFonts w:ascii="宋体" w:hAnsi="宋体" w:eastAsia="宋体" w:cs="宋体"/>
              </w:rPr>
              <w:t>”</w:t>
            </w:r>
            <w:r>
              <w:rPr>
                <w:rFonts w:ascii="宋体" w:hAnsi="宋体" w:eastAsia="宋体"/>
              </w:rPr>
              <w:t>）</w:t>
            </w:r>
            <w:r>
              <w:rPr>
                <w:rFonts w:ascii="宋体" w:hAnsi="宋体" w:eastAsia="宋体" w:cs="宋体"/>
              </w:rPr>
              <w:t>共同签署协议，</w:t>
            </w:r>
            <w:r>
              <w:rPr>
                <w:rFonts w:ascii="宋体" w:hAnsi="宋体" w:eastAsia="宋体" w:cs="宋体"/>
                <w:lang w:val="en-US"/>
              </w:rPr>
              <w:t>拟设立</w:t>
            </w:r>
            <w:r>
              <w:rPr>
                <w:rFonts w:hint="eastAsia" w:ascii="宋体" w:hAnsi="宋体" w:eastAsia="宋体" w:cs="宋体"/>
              </w:rPr>
              <w:t>一家</w:t>
            </w:r>
            <w:r>
              <w:rPr>
                <w:rFonts w:ascii="宋体" w:hAnsi="宋体" w:eastAsia="宋体" w:cs="宋体"/>
              </w:rPr>
              <w:t>合营企业。</w:t>
            </w:r>
            <w:r>
              <w:rPr>
                <w:rFonts w:hint="eastAsia" w:ascii="宋体" w:hAnsi="宋体" w:eastAsia="宋体" w:cs="宋体"/>
              </w:rPr>
              <w:t>合营企业将在阿塞拜疆、印度尼西亚、日本、哈萨克斯坦、马来西亚、菲律宾、新加坡、韩国、乌兹别克斯坦，开展公用事业规模的太阳能光伏（不包括任何工商业屋顶光伏太阳能项目）和陆上风电项目的开发、融资、建设、运营、管理和维护工作。本交易</w:t>
            </w:r>
            <w:r>
              <w:rPr>
                <w:rFonts w:ascii="宋体" w:hAnsi="宋体" w:eastAsia="宋体" w:cs="宋体"/>
              </w:rPr>
              <w:t>后，道达尔能源</w:t>
            </w:r>
            <w:r>
              <w:rPr>
                <w:rFonts w:hint="eastAsia" w:ascii="宋体" w:hAnsi="宋体" w:eastAsia="宋体" w:cs="宋体"/>
              </w:rPr>
              <w:t>通过</w:t>
            </w:r>
            <w:r>
              <w:rPr>
                <w:rFonts w:ascii="宋体" w:hAnsi="宋体" w:eastAsia="宋体" w:cs="宋体"/>
              </w:rPr>
              <w:t>道达尔能源可再</w:t>
            </w:r>
            <w:r>
              <w:rPr>
                <w:rFonts w:hint="eastAsia" w:ascii="宋体" w:hAnsi="宋体" w:eastAsia="宋体" w:cs="宋体"/>
              </w:rPr>
              <w:t>生股份有限公司和马斯达尔通过</w:t>
            </w:r>
            <w:r>
              <w:rPr>
                <w:rFonts w:hint="eastAsia" w:ascii="宋体" w:hAnsi="宋体" w:eastAsia="宋体" w:cs="宋体"/>
                <w:lang w:val="en-AU"/>
              </w:rPr>
              <w:t>其</w:t>
            </w:r>
            <w:r>
              <w:rPr>
                <w:rFonts w:hint="eastAsia" w:ascii="宋体" w:hAnsi="宋体" w:eastAsia="宋体" w:cs="宋体"/>
              </w:rPr>
              <w:t>全资</w:t>
            </w:r>
            <w:r>
              <w:rPr>
                <w:rFonts w:ascii="宋体" w:hAnsi="宋体" w:eastAsia="宋体" w:cs="宋体"/>
              </w:rPr>
              <w:t>SPV,将分别持有合营企业</w:t>
            </w:r>
            <w:r>
              <w:rPr>
                <w:rFonts w:ascii="宋体" w:hAnsi="宋体" w:eastAsia="宋体" w:cs="Times New Roman"/>
                <w:lang w:val="en-US"/>
              </w:rPr>
              <w:t>50</w:t>
            </w:r>
            <w:r>
              <w:rPr>
                <w:rFonts w:ascii="宋体" w:hAnsi="宋体" w:eastAsia="宋体" w:cs="Times New Roman"/>
              </w:rPr>
              <w:t>%</w:t>
            </w:r>
            <w:r>
              <w:rPr>
                <w:rFonts w:ascii="宋体" w:hAnsi="宋体" w:eastAsia="宋体" w:cs="宋体"/>
              </w:rPr>
              <w:t>的股份，</w:t>
            </w:r>
            <w:r>
              <w:rPr>
                <w:rFonts w:hint="eastAsia" w:ascii="宋体" w:hAnsi="宋体" w:eastAsia="宋体" w:cs="宋体"/>
              </w:rPr>
              <w:t>并</w:t>
            </w:r>
            <w:r>
              <w:rPr>
                <w:rFonts w:ascii="宋体" w:hAnsi="宋体" w:eastAsia="宋体" w:cs="宋体"/>
              </w:rPr>
              <w:t>共同控制</w:t>
            </w:r>
            <w:r>
              <w:rPr>
                <w:rFonts w:ascii="宋体" w:hAnsi="宋体" w:eastAsia="宋体" w:cs="宋体"/>
                <w:lang w:val="en-US"/>
              </w:rPr>
              <w:t>合营企业</w:t>
            </w:r>
            <w:r>
              <w:rPr>
                <w:rFonts w:ascii="宋体" w:hAnsi="宋体" w:eastAsia="宋体" w:cs="宋体"/>
              </w:rPr>
              <w:t>。</w:t>
            </w:r>
          </w:p>
        </w:tc>
      </w:tr>
      <w:tr w14:paraId="14E9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3EE45A3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eastAsia="宋体"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宋体" w:hAnsi="宋体" w:eastAsia="宋体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16F27F9E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ascii="宋体" w:hAnsi="宋体" w:eastAsia="宋体" w:cs="宋体"/>
                <w:bCs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lang w:eastAsia="zh-CN"/>
              </w:rPr>
              <w:t>道达尔能源</w:t>
            </w:r>
          </w:p>
        </w:tc>
        <w:tc>
          <w:tcPr>
            <w:tcW w:w="6093" w:type="dxa"/>
            <w:vAlign w:val="center"/>
          </w:tcPr>
          <w:p w14:paraId="3EB7D5F7">
            <w:pPr>
              <w:adjustRightInd w:val="0"/>
              <w:snapToGrid w:val="0"/>
              <w:spacing w:after="0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道达尔能源于1924年3月28日成立于法国，</w:t>
            </w:r>
            <w:r>
              <w:rPr>
                <w:rFonts w:hint="eastAsia" w:ascii="宋体" w:hAnsi="宋体" w:eastAsia="宋体" w:cs="Times New Roman"/>
                <w:lang w:val="en-AU"/>
              </w:rPr>
              <w:t>在</w:t>
            </w:r>
            <w:r>
              <w:rPr>
                <w:rFonts w:ascii="宋体" w:hAnsi="宋体" w:eastAsia="宋体" w:cs="Times New Roman"/>
              </w:rPr>
              <w:t>巴黎、纽约、伦敦和布鲁塞尔证券交易所上市公司，主要从事全球的石油、天然气和电力业务。</w:t>
            </w:r>
          </w:p>
          <w:p w14:paraId="2ECD4C02">
            <w:pPr>
              <w:adjustRightInd w:val="0"/>
              <w:snapToGrid w:val="0"/>
              <w:spacing w:after="0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道达尔能源无最终控制人。</w:t>
            </w:r>
          </w:p>
        </w:tc>
      </w:tr>
      <w:tr w14:paraId="3047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5645728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557097EF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lang w:val="en-AU" w:eastAsia="zh-CN"/>
              </w:rPr>
            </w:pPr>
            <w:r>
              <w:rPr>
                <w:rFonts w:ascii="宋体" w:hAnsi="宋体" w:eastAsia="宋体" w:cs="宋体"/>
                <w:bCs/>
                <w:lang w:val="en-US" w:eastAsia="zh-CN"/>
              </w:rPr>
              <w:t>2.</w:t>
            </w:r>
            <w:bookmarkStart w:id="0" w:name="_GoBack"/>
            <w:r>
              <w:rPr>
                <w:rFonts w:hint="eastAsia" w:ascii="宋体" w:hAnsi="宋体" w:eastAsia="宋体" w:cs="宋体"/>
                <w:lang w:val="en-AU" w:eastAsia="zh-CN"/>
              </w:rPr>
              <w:t>马斯达尔</w:t>
            </w:r>
            <w:bookmarkEnd w:id="0"/>
          </w:p>
        </w:tc>
        <w:tc>
          <w:tcPr>
            <w:tcW w:w="6093" w:type="dxa"/>
            <w:vAlign w:val="center"/>
          </w:tcPr>
          <w:p w14:paraId="6A35430F">
            <w:pPr>
              <w:adjustRightInd w:val="0"/>
              <w:snapToGrid w:val="0"/>
              <w:spacing w:after="0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马斯达尔于2007年正式成立于阿联酋，从事可再生能源</w:t>
            </w:r>
            <w:r>
              <w:rPr>
                <w:rFonts w:hint="eastAsia" w:ascii="宋体" w:hAnsi="宋体" w:eastAsia="宋体" w:cs="Times New Roman"/>
              </w:rPr>
              <w:t>及可持续城市发展</w:t>
            </w:r>
            <w:r>
              <w:rPr>
                <w:rFonts w:ascii="宋体" w:hAnsi="宋体" w:eastAsia="宋体" w:cs="Times New Roman"/>
              </w:rPr>
              <w:t>相关业务。</w:t>
            </w:r>
          </w:p>
          <w:p w14:paraId="1567201C">
            <w:pPr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lang w:val="en-AU"/>
              </w:rPr>
            </w:pPr>
            <w:r>
              <w:rPr>
                <w:rFonts w:ascii="宋体" w:hAnsi="宋体" w:eastAsia="宋体" w:cs="Times New Roman"/>
              </w:rPr>
              <w:t>马斯达尔</w:t>
            </w:r>
            <w:r>
              <w:rPr>
                <w:rFonts w:hint="eastAsia" w:ascii="宋体" w:hAnsi="宋体" w:eastAsia="宋体" w:cs="Times New Roman"/>
              </w:rPr>
              <w:t>的最终</w:t>
            </w:r>
            <w:r>
              <w:rPr>
                <w:rFonts w:ascii="宋体" w:hAnsi="宋体" w:eastAsia="宋体" w:cs="Times New Roman"/>
              </w:rPr>
              <w:t>控制人为阿布扎比发展控股公司</w:t>
            </w:r>
            <w:r>
              <w:rPr>
                <w:rFonts w:hint="eastAsia" w:ascii="宋体" w:hAnsi="宋体" w:eastAsia="宋体" w:cs="Times New Roman"/>
              </w:rPr>
              <w:t>（“ADQ”）。ADQ</w:t>
            </w:r>
            <w:r>
              <w:rPr>
                <w:rFonts w:hint="eastAsia" w:ascii="宋体" w:hAnsi="宋体" w:eastAsia="宋体" w:cs="Times New Roman"/>
                <w:lang w:val="en-AU"/>
              </w:rPr>
              <w:t>从事</w:t>
            </w:r>
            <w:r>
              <w:rPr>
                <w:rFonts w:ascii="宋体" w:hAnsi="宋体" w:eastAsia="宋体" w:cs="Times New Roman"/>
              </w:rPr>
              <w:t>投资</w:t>
            </w:r>
            <w:r>
              <w:rPr>
                <w:rFonts w:hint="eastAsia" w:ascii="宋体" w:hAnsi="宋体" w:eastAsia="宋体" w:cs="Times New Roman"/>
              </w:rPr>
              <w:t>业务</w:t>
            </w:r>
            <w:r>
              <w:rPr>
                <w:rFonts w:ascii="宋体" w:hAnsi="宋体" w:eastAsia="宋体" w:cs="Times New Roman"/>
              </w:rPr>
              <w:t>。</w:t>
            </w:r>
          </w:p>
        </w:tc>
      </w:tr>
      <w:tr w14:paraId="2574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45884454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7B2124D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lang w:eastAsia="zh-CN"/>
              </w:rPr>
              <w:sym w:font="Wingdings" w:char="00A8"/>
            </w:r>
            <w:r>
              <w:rPr>
                <w:rFonts w:ascii="宋体" w:hAnsi="宋体" w:eastAsia="宋体" w:cs="Times New Roman"/>
                <w:bCs/>
                <w:lang w:eastAsia="zh-CN"/>
              </w:rPr>
              <w:t xml:space="preserve"> 1</w:t>
            </w:r>
            <w:r>
              <w:rPr>
                <w:rFonts w:ascii="宋体" w:hAnsi="宋体" w:eastAsia="宋体" w:cs="Times New Roman"/>
                <w:bCs/>
                <w:lang w:val="en-AU" w:eastAsia="zh-CN"/>
              </w:rPr>
              <w:t xml:space="preserve">. </w:t>
            </w:r>
            <w:r>
              <w:rPr>
                <w:rFonts w:ascii="宋体" w:hAnsi="宋体" w:eastAsia="宋体" w:cs="Times New Roman"/>
                <w:bCs/>
                <w:lang w:eastAsia="zh-CN"/>
              </w:rPr>
              <w:t>在同一相关市场，所有参与集中的经营者所占市场份额之和小于15%。</w:t>
            </w:r>
          </w:p>
        </w:tc>
      </w:tr>
      <w:tr w14:paraId="28D9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0C2597AD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9388883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lang w:eastAsia="zh-CN"/>
              </w:rPr>
              <w:sym w:font="Wingdings" w:char="00A8"/>
            </w:r>
            <w:r>
              <w:rPr>
                <w:rFonts w:ascii="宋体" w:hAnsi="宋体" w:eastAsia="宋体" w:cs="Times New Roman"/>
                <w:bCs/>
                <w:lang w:eastAsia="zh-CN"/>
              </w:rPr>
              <w:t xml:space="preserve"> 2</w:t>
            </w:r>
            <w:r>
              <w:rPr>
                <w:rFonts w:ascii="宋体" w:hAnsi="宋体" w:eastAsia="宋体" w:cs="Times New Roman"/>
                <w:bCs/>
                <w:lang w:val="en-AU" w:eastAsia="zh-CN"/>
              </w:rPr>
              <w:t xml:space="preserve">. </w:t>
            </w:r>
            <w:r>
              <w:rPr>
                <w:rFonts w:ascii="宋体" w:hAnsi="宋体" w:eastAsia="宋体" w:cs="Times New Roman"/>
                <w:bCs/>
                <w:lang w:eastAsia="zh-CN"/>
              </w:rPr>
              <w:t>存在上下游关系的参与集中的经营者，在上下游市场所占的市场份额均小于25%。</w:t>
            </w:r>
          </w:p>
        </w:tc>
      </w:tr>
      <w:tr w14:paraId="5B83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488F74CC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2809FE9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lang w:eastAsia="zh-CN"/>
              </w:rPr>
              <w:sym w:font="Wingdings" w:char="00A8"/>
            </w:r>
            <w:r>
              <w:rPr>
                <w:rFonts w:ascii="宋体" w:hAnsi="宋体" w:eastAsia="宋体" w:cs="Times New Roman"/>
                <w:bCs/>
                <w:lang w:eastAsia="zh-CN"/>
              </w:rPr>
              <w:t xml:space="preserve"> 3</w:t>
            </w:r>
            <w:r>
              <w:rPr>
                <w:rFonts w:ascii="宋体" w:hAnsi="宋体" w:eastAsia="宋体" w:cs="Times New Roman"/>
                <w:bCs/>
                <w:lang w:val="en-AU" w:eastAsia="zh-CN"/>
              </w:rPr>
              <w:t xml:space="preserve">. </w:t>
            </w:r>
            <w:r>
              <w:rPr>
                <w:rFonts w:ascii="宋体" w:hAnsi="宋体" w:eastAsia="宋体" w:cs="Times New Roman"/>
                <w:bCs/>
                <w:lang w:eastAsia="zh-CN"/>
              </w:rPr>
              <w:t>不在同一相关市场、也不存在上下游关系的参与集中的经营者，在与交易有关的每个市场所占的份额均小于25%。</w:t>
            </w:r>
          </w:p>
        </w:tc>
      </w:tr>
      <w:tr w14:paraId="68E7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5CEF1460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ED9E89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lang w:eastAsia="zh-CN"/>
              </w:rPr>
              <w:sym w:font="Wingdings" w:char="00FE"/>
            </w:r>
            <w:r>
              <w:rPr>
                <w:rFonts w:ascii="宋体" w:hAnsi="宋体" w:eastAsia="宋体" w:cs="Times New Roman"/>
                <w:bCs/>
                <w:lang w:eastAsia="zh-CN"/>
              </w:rPr>
              <w:t xml:space="preserve"> 4</w:t>
            </w:r>
            <w:r>
              <w:rPr>
                <w:rFonts w:ascii="宋体" w:hAnsi="宋体" w:eastAsia="宋体" w:cs="Times New Roman"/>
                <w:bCs/>
                <w:lang w:val="en-AU" w:eastAsia="zh-CN"/>
              </w:rPr>
              <w:t xml:space="preserve">. </w:t>
            </w:r>
            <w:r>
              <w:rPr>
                <w:rFonts w:ascii="宋体" w:hAnsi="宋体" w:eastAsia="宋体" w:cs="Times New Roman"/>
                <w:bCs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14:paraId="5372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1F57580B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4D967DF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sym w:font="Wingdings 2" w:char="00A3"/>
            </w:r>
            <w:r>
              <w:rPr>
                <w:rFonts w:ascii="宋体" w:hAnsi="宋体" w:eastAsia="宋体" w:cs="Times New Roman"/>
                <w:bCs/>
                <w:lang w:eastAsia="zh-CN"/>
              </w:rPr>
              <w:t xml:space="preserve"> 5</w:t>
            </w:r>
            <w:r>
              <w:rPr>
                <w:rFonts w:ascii="宋体" w:hAnsi="宋体" w:eastAsia="宋体" w:cs="Times New Roman"/>
                <w:bCs/>
                <w:lang w:val="en-AU" w:eastAsia="zh-CN"/>
              </w:rPr>
              <w:t xml:space="preserve">. </w:t>
            </w:r>
            <w:r>
              <w:rPr>
                <w:rFonts w:ascii="宋体" w:hAnsi="宋体" w:eastAsia="宋体" w:cs="Times New Roman"/>
                <w:bCs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14:paraId="6549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78208742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2F1E777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Times New Roman"/>
                <w:bCs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lang w:eastAsia="zh-CN"/>
              </w:rPr>
              <w:sym w:font="Wingdings" w:char="00A8"/>
            </w:r>
            <w:r>
              <w:rPr>
                <w:rFonts w:ascii="宋体" w:hAnsi="宋体" w:eastAsia="宋体" w:cs="Times New Roman"/>
                <w:bCs/>
                <w:lang w:eastAsia="zh-CN"/>
              </w:rPr>
              <w:t xml:space="preserve"> 6</w:t>
            </w:r>
            <w:r>
              <w:rPr>
                <w:rFonts w:ascii="宋体" w:hAnsi="宋体" w:eastAsia="宋体" w:cs="Times New Roman"/>
                <w:bCs/>
                <w:lang w:val="en-AU" w:eastAsia="zh-CN"/>
              </w:rPr>
              <w:t xml:space="preserve">. </w:t>
            </w:r>
            <w:r>
              <w:rPr>
                <w:rFonts w:ascii="宋体" w:hAnsi="宋体" w:eastAsia="宋体" w:cs="Times New Roman"/>
                <w:bCs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14:paraId="111D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940" w:type="dxa"/>
            <w:shd w:val="clear" w:color="auto" w:fill="D9D9D9"/>
            <w:vAlign w:val="center"/>
          </w:tcPr>
          <w:p w14:paraId="4E5BB341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2EF8929D"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>不适用</w:t>
            </w:r>
          </w:p>
        </w:tc>
      </w:tr>
    </w:tbl>
    <w:p w14:paraId="311B3F3A">
      <w:pPr>
        <w:pStyle w:val="11"/>
        <w:adjustRightInd w:val="0"/>
        <w:snapToGrid w:val="0"/>
        <w:spacing w:after="0"/>
        <w:rPr>
          <w:rFonts w:ascii="宋体" w:hAnsi="宋体" w:eastAsia="宋体" w:cs="宋体"/>
          <w:bCs/>
          <w:color w:val="000000"/>
          <w:sz w:val="28"/>
          <w:szCs w:val="28"/>
          <w:lang w:eastAsia="zh-CN"/>
        </w:rPr>
      </w:pPr>
    </w:p>
    <w:p w14:paraId="7D5573D3">
      <w:pPr>
        <w:rPr>
          <w:rFonts w:ascii="宋体" w:hAnsi="宋体" w:eastAsia="宋体"/>
        </w:rPr>
      </w:pPr>
    </w:p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ptos">
    <w:altName w:val="Noto Sans CJK SC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ngXian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ptos Display">
    <w:altName w:val="Noto Sans CJK SC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2020603050405020304"/>
    <w:charset w:val="B2"/>
    <w:family w:val="roman"/>
    <w:pitch w:val="default"/>
    <w:sig w:usb0="00000000" w:usb1="00000000" w:usb2="00000008" w:usb3="00000000" w:csb0="00000041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Wingdings 2">
    <w:panose1 w:val="05020102010507070707"/>
    <w:charset w:val="4D"/>
    <w:family w:val="decorative"/>
    <w:pitch w:val="default"/>
    <w:sig w:usb0="00000000" w:usb1="00000000" w:usb2="00000000" w:usb3="00000000" w:csb0="8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FE"/>
    <w:rsid w:val="00003866"/>
    <w:rsid w:val="00017CD2"/>
    <w:rsid w:val="00030BDD"/>
    <w:rsid w:val="00041C70"/>
    <w:rsid w:val="000579B1"/>
    <w:rsid w:val="00062249"/>
    <w:rsid w:val="00067A3F"/>
    <w:rsid w:val="0007178A"/>
    <w:rsid w:val="00086B58"/>
    <w:rsid w:val="000E75EB"/>
    <w:rsid w:val="000F2042"/>
    <w:rsid w:val="001060BA"/>
    <w:rsid w:val="00113F83"/>
    <w:rsid w:val="00130C82"/>
    <w:rsid w:val="00144478"/>
    <w:rsid w:val="00157C56"/>
    <w:rsid w:val="00160C72"/>
    <w:rsid w:val="001950D5"/>
    <w:rsid w:val="00197513"/>
    <w:rsid w:val="001A0031"/>
    <w:rsid w:val="002136D3"/>
    <w:rsid w:val="0024269E"/>
    <w:rsid w:val="002734D1"/>
    <w:rsid w:val="002B58A2"/>
    <w:rsid w:val="002C1282"/>
    <w:rsid w:val="002F2D7A"/>
    <w:rsid w:val="003057D3"/>
    <w:rsid w:val="00325DF7"/>
    <w:rsid w:val="003478F2"/>
    <w:rsid w:val="00373F41"/>
    <w:rsid w:val="00385141"/>
    <w:rsid w:val="00390278"/>
    <w:rsid w:val="003E7C7C"/>
    <w:rsid w:val="00406D37"/>
    <w:rsid w:val="00425B6E"/>
    <w:rsid w:val="00431185"/>
    <w:rsid w:val="00433F69"/>
    <w:rsid w:val="00441B20"/>
    <w:rsid w:val="0049027E"/>
    <w:rsid w:val="00496222"/>
    <w:rsid w:val="004B6115"/>
    <w:rsid w:val="004F49D8"/>
    <w:rsid w:val="005015D2"/>
    <w:rsid w:val="00547E1C"/>
    <w:rsid w:val="0055496F"/>
    <w:rsid w:val="00564354"/>
    <w:rsid w:val="00566C85"/>
    <w:rsid w:val="005748E9"/>
    <w:rsid w:val="0058116B"/>
    <w:rsid w:val="005B60FE"/>
    <w:rsid w:val="005C573F"/>
    <w:rsid w:val="005E4A62"/>
    <w:rsid w:val="005F5103"/>
    <w:rsid w:val="0060098A"/>
    <w:rsid w:val="006064E6"/>
    <w:rsid w:val="006244B4"/>
    <w:rsid w:val="00657041"/>
    <w:rsid w:val="0068691F"/>
    <w:rsid w:val="006961C8"/>
    <w:rsid w:val="006C7475"/>
    <w:rsid w:val="006E26AD"/>
    <w:rsid w:val="006E2AAC"/>
    <w:rsid w:val="00707A34"/>
    <w:rsid w:val="00747324"/>
    <w:rsid w:val="007A025D"/>
    <w:rsid w:val="007B3E4D"/>
    <w:rsid w:val="007F202D"/>
    <w:rsid w:val="0082387E"/>
    <w:rsid w:val="0083040C"/>
    <w:rsid w:val="00875260"/>
    <w:rsid w:val="008D33B9"/>
    <w:rsid w:val="008D7849"/>
    <w:rsid w:val="0091726E"/>
    <w:rsid w:val="009561E0"/>
    <w:rsid w:val="0097024F"/>
    <w:rsid w:val="00975797"/>
    <w:rsid w:val="00983373"/>
    <w:rsid w:val="00994E54"/>
    <w:rsid w:val="009C10CF"/>
    <w:rsid w:val="00A03E2F"/>
    <w:rsid w:val="00A25E24"/>
    <w:rsid w:val="00A34F8E"/>
    <w:rsid w:val="00A50951"/>
    <w:rsid w:val="00A66134"/>
    <w:rsid w:val="00A85EB5"/>
    <w:rsid w:val="00AA7C38"/>
    <w:rsid w:val="00AE6781"/>
    <w:rsid w:val="00AF5A16"/>
    <w:rsid w:val="00B15AB0"/>
    <w:rsid w:val="00B35D5B"/>
    <w:rsid w:val="00B62B49"/>
    <w:rsid w:val="00BA1DBE"/>
    <w:rsid w:val="00BA2121"/>
    <w:rsid w:val="00BB50C8"/>
    <w:rsid w:val="00BE2BF6"/>
    <w:rsid w:val="00BE58FE"/>
    <w:rsid w:val="00C159D8"/>
    <w:rsid w:val="00C25442"/>
    <w:rsid w:val="00C56D91"/>
    <w:rsid w:val="00C5789C"/>
    <w:rsid w:val="00C61E67"/>
    <w:rsid w:val="00C63F46"/>
    <w:rsid w:val="00C6521D"/>
    <w:rsid w:val="00C71C5B"/>
    <w:rsid w:val="00C8257A"/>
    <w:rsid w:val="00C91509"/>
    <w:rsid w:val="00C9381B"/>
    <w:rsid w:val="00CA706E"/>
    <w:rsid w:val="00CD38BC"/>
    <w:rsid w:val="00CF121C"/>
    <w:rsid w:val="00CF7C25"/>
    <w:rsid w:val="00D04161"/>
    <w:rsid w:val="00D34104"/>
    <w:rsid w:val="00D36AA6"/>
    <w:rsid w:val="00D42B8C"/>
    <w:rsid w:val="00D45171"/>
    <w:rsid w:val="00D8079B"/>
    <w:rsid w:val="00E036F9"/>
    <w:rsid w:val="00E35A17"/>
    <w:rsid w:val="00E800D1"/>
    <w:rsid w:val="00EB0563"/>
    <w:rsid w:val="00EB5A38"/>
    <w:rsid w:val="00F20379"/>
    <w:rsid w:val="00F31FEB"/>
    <w:rsid w:val="00F668D7"/>
    <w:rsid w:val="00F71267"/>
    <w:rsid w:val="00F95E7B"/>
    <w:rsid w:val="00FC504F"/>
    <w:rsid w:val="00FD3E93"/>
    <w:rsid w:val="5259D5E4"/>
    <w:rsid w:val="BBFFB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 w:line="240" w:lineRule="auto"/>
      <w:jc w:val="both"/>
    </w:pPr>
    <w:rPr>
      <w:rFonts w:ascii="DengXian" w:hAnsi="DengXian" w:eastAsia="DengXian" w:cs="DengXian"/>
      <w:sz w:val="24"/>
      <w:szCs w:val="24"/>
      <w:lang w:val="en-GB" w:eastAsia="zh-CN" w:bidi="ar-A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lang w:val="en-US" w:bidi="ar-SA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lang w:val="en-US" w:bidi="ar-SA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78" w:lineRule="auto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4"/>
    <w:qFormat/>
    <w:uiPriority w:val="0"/>
    <w:rPr>
      <w:rFonts w:cs="Simplified Arabic"/>
      <w:lang w:eastAsia="en-GB"/>
    </w:rPr>
  </w:style>
  <w:style w:type="paragraph" w:styleId="12">
    <w:name w:val="Subtitle"/>
    <w:basedOn w:val="1"/>
    <w:next w:val="1"/>
    <w:link w:val="26"/>
    <w:qFormat/>
    <w:uiPriority w:val="11"/>
    <w:pPr>
      <w:spacing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16">
    <w:name w:val="Heading 1 Char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5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5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5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5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5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5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5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5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lang w:val="en-US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Quote Char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kern w:val="2"/>
      <w:lang w:val="en-US" w:bidi="ar-SA"/>
      <w14:ligatures w14:val="standardContextual"/>
    </w:rPr>
  </w:style>
  <w:style w:type="character" w:customStyle="1" w:styleId="30">
    <w:name w:val="Intense Emphasis1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lang w:val="en-US" w:bidi="ar-SA"/>
      <w14:ligatures w14:val="standardContextual"/>
    </w:rPr>
  </w:style>
  <w:style w:type="character" w:customStyle="1" w:styleId="32">
    <w:name w:val="Intense Quote Char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1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Body Text Char"/>
    <w:basedOn w:val="15"/>
    <w:link w:val="11"/>
    <w:qFormat/>
    <w:uiPriority w:val="0"/>
    <w:rPr>
      <w:rFonts w:ascii="DengXian" w:hAnsi="DengXian" w:eastAsia="DengXian" w:cs="Simplified Arabic"/>
      <w:kern w:val="0"/>
      <w:lang w:val="en-GB" w:eastAsia="en-GB" w:bidi="ar-AE"/>
      <w14:ligatures w14:val="none"/>
    </w:rPr>
  </w:style>
  <w:style w:type="paragraph" w:customStyle="1" w:styleId="35">
    <w:name w:val="Revision1"/>
    <w:hidden/>
    <w:semiHidden/>
    <w:qFormat/>
    <w:uiPriority w:val="99"/>
    <w:pPr>
      <w:spacing w:after="0" w:line="240" w:lineRule="auto"/>
    </w:pPr>
    <w:rPr>
      <w:rFonts w:ascii="DengXian" w:hAnsi="DengXian" w:eastAsia="DengXian" w:cs="DengXi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701</Characters>
  <Lines>28</Lines>
  <Paragraphs>14</Paragraphs>
  <TotalTime>8</TotalTime>
  <ScaleCrop>false</ScaleCrop>
  <LinksUpToDate>false</LinksUpToDate>
  <CharactersWithSpaces>809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2026-05-26T09:52:00Z</dcterms:created>
  <dc:creator>SPL</dc:creator>
  <cp:lastModifiedBy>guest</cp:lastModifiedBy>
  <dcterms:modified xsi:type="dcterms:W3CDTF">2026-05-26T16:13:31Z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B33393F8316645762B56156A41AD40EF_42</vt:lpwstr>
  </property>
</Properties>
</file>