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46DE" w14:textId="77777777" w:rsidR="0097410A" w:rsidRPr="00D03666" w:rsidRDefault="00000000" w:rsidP="0092381D">
      <w:pPr>
        <w:spacing w:after="0"/>
        <w:jc w:val="center"/>
        <w:outlineLvl w:val="0"/>
        <w:rPr>
          <w:rFonts w:ascii="黑体" w:eastAsia="黑体" w:hAnsi="黑体" w:cs="黑体" w:hint="eastAsia"/>
          <w:sz w:val="36"/>
          <w:szCs w:val="36"/>
          <w:lang w:eastAsia="zh-CN"/>
        </w:rPr>
      </w:pPr>
      <w:r w:rsidRPr="00D03666">
        <w:rPr>
          <w:rFonts w:ascii="黑体" w:eastAsia="黑体" w:hAnsi="黑体" w:cs="黑体"/>
          <w:spacing w:val="8"/>
          <w:sz w:val="36"/>
          <w:szCs w:val="36"/>
          <w:lang w:eastAsia="zh-CN"/>
        </w:rPr>
        <w:t>经营者集中简易案件公示表</w:t>
      </w:r>
    </w:p>
    <w:tbl>
      <w:tblPr>
        <w:tblStyle w:val="TableNormal1"/>
        <w:tblW w:w="964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1743"/>
        <w:gridCol w:w="5957"/>
      </w:tblGrid>
      <w:tr w:rsidR="0097410A" w14:paraId="55325294" w14:textId="77777777">
        <w:trPr>
          <w:trHeight w:val="1052"/>
        </w:trPr>
        <w:tc>
          <w:tcPr>
            <w:tcW w:w="1944" w:type="dxa"/>
            <w:shd w:val="clear" w:color="auto" w:fill="D9D9D9"/>
            <w:vAlign w:val="center"/>
          </w:tcPr>
          <w:p w14:paraId="584D87FE" w14:textId="77777777" w:rsidR="0097410A" w:rsidRDefault="00000000">
            <w:pPr>
              <w:pStyle w:val="TableText"/>
              <w:spacing w:after="0"/>
              <w:jc w:val="both"/>
              <w:rPr>
                <w:rFonts w:ascii="Times New Roman" w:eastAsia="宋体" w:hAnsi="Times New Roman"/>
                <w:szCs w:val="28"/>
              </w:rPr>
            </w:pPr>
            <w:proofErr w:type="spellStart"/>
            <w:r>
              <w:rPr>
                <w:rFonts w:ascii="Times New Roman" w:eastAsia="宋体" w:hAnsi="Times New Roman"/>
                <w:spacing w:val="-2"/>
                <w:szCs w:val="28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3166F0D8" w14:textId="2FA2FD9C" w:rsidR="0097410A" w:rsidRDefault="00E72D03" w:rsidP="00E72D03">
            <w:pPr>
              <w:pStyle w:val="TableText"/>
              <w:spacing w:after="0"/>
              <w:jc w:val="both"/>
              <w:rPr>
                <w:rFonts w:ascii="Times New Roman" w:eastAsia="宋体" w:hAnsi="Times New Roman"/>
                <w:szCs w:val="28"/>
                <w:lang w:eastAsia="zh-CN"/>
              </w:rPr>
            </w:pPr>
            <w:r w:rsidRPr="00E72D03">
              <w:rPr>
                <w:rFonts w:ascii="Times New Roman" w:eastAsia="宋体" w:hAnsi="Times New Roman" w:hint="eastAsia"/>
                <w:szCs w:val="28"/>
                <w:lang w:eastAsia="zh-CN"/>
              </w:rPr>
              <w:t>丰田通商株式会社收购</w:t>
            </w:r>
            <w:r w:rsidRPr="00E72D03">
              <w:rPr>
                <w:rFonts w:ascii="Times New Roman" w:eastAsia="宋体" w:hAnsi="Times New Roman" w:hint="eastAsia"/>
                <w:szCs w:val="28"/>
                <w:lang w:eastAsia="zh-CN"/>
              </w:rPr>
              <w:t xml:space="preserve"> ME </w:t>
            </w:r>
            <w:proofErr w:type="spellStart"/>
            <w:r w:rsidRPr="00E72D03">
              <w:rPr>
                <w:rFonts w:ascii="Times New Roman" w:eastAsia="宋体" w:hAnsi="Times New Roman" w:hint="eastAsia"/>
                <w:szCs w:val="28"/>
                <w:lang w:eastAsia="zh-CN"/>
              </w:rPr>
              <w:t>Kobiernice</w:t>
            </w:r>
            <w:proofErr w:type="spellEnd"/>
            <w:r w:rsidRPr="00E72D03">
              <w:rPr>
                <w:rFonts w:ascii="Times New Roman" w:eastAsia="宋体" w:hAnsi="Times New Roman" w:hint="eastAsia"/>
                <w:szCs w:val="28"/>
                <w:lang w:eastAsia="zh-CN"/>
              </w:rPr>
              <w:t xml:space="preserve"> </w:t>
            </w:r>
            <w:r w:rsidR="002059A9">
              <w:rPr>
                <w:rFonts w:ascii="Times New Roman" w:eastAsia="宋体" w:hAnsi="Times New Roman" w:hint="eastAsia"/>
                <w:szCs w:val="28"/>
                <w:lang w:eastAsia="zh-CN"/>
              </w:rPr>
              <w:t xml:space="preserve">sp. z </w:t>
            </w:r>
            <w:proofErr w:type="spellStart"/>
            <w:r w:rsidR="002059A9">
              <w:rPr>
                <w:rFonts w:ascii="Times New Roman" w:eastAsia="宋体" w:hAnsi="Times New Roman" w:hint="eastAsia"/>
                <w:szCs w:val="28"/>
                <w:lang w:eastAsia="zh-CN"/>
              </w:rPr>
              <w:t>o.o.</w:t>
            </w:r>
            <w:proofErr w:type="spellEnd"/>
            <w:r w:rsidR="002059A9">
              <w:rPr>
                <w:rFonts w:ascii="Times New Roman" w:eastAsia="宋体" w:hAnsi="Times New Roman" w:hint="eastAsia"/>
                <w:szCs w:val="28"/>
                <w:lang w:eastAsia="zh-CN"/>
              </w:rPr>
              <w:t xml:space="preserve"> </w:t>
            </w:r>
            <w:r w:rsidRPr="00E72D03">
              <w:rPr>
                <w:rFonts w:ascii="Times New Roman" w:eastAsia="宋体" w:hAnsi="Times New Roman" w:hint="eastAsia"/>
                <w:szCs w:val="28"/>
                <w:lang w:eastAsia="zh-CN"/>
              </w:rPr>
              <w:t>股权</w:t>
            </w:r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>案</w:t>
            </w:r>
          </w:p>
        </w:tc>
      </w:tr>
      <w:tr w:rsidR="0097410A" w14:paraId="0D9F4730" w14:textId="77777777">
        <w:trPr>
          <w:trHeight w:val="2439"/>
        </w:trPr>
        <w:tc>
          <w:tcPr>
            <w:tcW w:w="1944" w:type="dxa"/>
            <w:shd w:val="clear" w:color="auto" w:fill="D9D9D9"/>
            <w:vAlign w:val="center"/>
          </w:tcPr>
          <w:p w14:paraId="0696D5E1" w14:textId="77777777" w:rsidR="0097410A" w:rsidRDefault="00000000">
            <w:pPr>
              <w:pStyle w:val="TableText"/>
              <w:spacing w:after="0"/>
              <w:jc w:val="both"/>
              <w:rPr>
                <w:rFonts w:ascii="Times New Roman" w:eastAsia="宋体" w:hAnsi="Times New Roman"/>
                <w:szCs w:val="28"/>
              </w:rPr>
            </w:pPr>
            <w:r>
              <w:rPr>
                <w:rFonts w:ascii="Times New Roman" w:eastAsia="宋体" w:hAnsi="Times New Roman"/>
                <w:spacing w:val="-19"/>
                <w:w w:val="96"/>
                <w:szCs w:val="28"/>
              </w:rPr>
              <w:t>交易概况（限</w:t>
            </w:r>
            <w:r>
              <w:rPr>
                <w:rFonts w:ascii="Times New Roman" w:eastAsia="宋体" w:hAnsi="Times New Roman"/>
                <w:spacing w:val="-19"/>
                <w:w w:val="96"/>
                <w:szCs w:val="28"/>
              </w:rPr>
              <w:t>200</w:t>
            </w:r>
            <w:r>
              <w:rPr>
                <w:rFonts w:ascii="Times New Roman" w:eastAsia="宋体" w:hAnsi="Times New Roman"/>
                <w:spacing w:val="1"/>
                <w:szCs w:val="28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6397D19B" w14:textId="1EE31C0B" w:rsidR="0097410A" w:rsidRDefault="00000000">
            <w:pPr>
              <w:pStyle w:val="TableText"/>
              <w:spacing w:after="0"/>
              <w:jc w:val="both"/>
              <w:rPr>
                <w:rFonts w:ascii="Times New Roman" w:eastAsia="宋体" w:hAnsi="Times New Roman"/>
                <w:szCs w:val="28"/>
                <w:lang w:eastAsia="zh-CN"/>
              </w:rPr>
            </w:pPr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>丰田通商株式会社（“丰田通商”）（通过其间接全资子公司</w:t>
            </w:r>
            <w:r w:rsidR="00C73CAE" w:rsidRPr="00C73CAE">
              <w:rPr>
                <w:rFonts w:ascii="Times New Roman" w:eastAsia="宋体" w:hAnsi="Times New Roman" w:hint="eastAsia"/>
                <w:szCs w:val="28"/>
                <w:lang w:eastAsia="zh-CN"/>
              </w:rPr>
              <w:t>欧瑞斯能源欧洲有限公司</w:t>
            </w:r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>）与法国电力集团（“法国电力”）（通过其间接全资子公司</w:t>
            </w:r>
            <w:r w:rsidR="00C73CAE" w:rsidRPr="00C73CAE">
              <w:rPr>
                <w:rFonts w:ascii="Times New Roman" w:eastAsia="宋体" w:hAnsi="Times New Roman" w:hint="eastAsia"/>
                <w:szCs w:val="28"/>
                <w:lang w:eastAsia="zh-CN"/>
              </w:rPr>
              <w:t>法国电力新能源波兰有限公司</w:t>
            </w:r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>）签署协议，丰田通商将收购</w:t>
            </w:r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 xml:space="preserve"> ME </w:t>
            </w:r>
            <w:proofErr w:type="spellStart"/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>Kobiernice</w:t>
            </w:r>
            <w:proofErr w:type="spellEnd"/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 xml:space="preserve"> sp. z </w:t>
            </w:r>
            <w:proofErr w:type="spellStart"/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>o.o.</w:t>
            </w:r>
            <w:proofErr w:type="spellEnd"/>
            <w:proofErr w:type="gramStart"/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>（“</w:t>
            </w:r>
            <w:r w:rsidR="00D03666">
              <w:rPr>
                <w:rFonts w:ascii="Times New Roman" w:eastAsia="宋体" w:hAnsi="Times New Roman" w:hint="eastAsia"/>
                <w:szCs w:val="28"/>
                <w:lang w:eastAsia="zh-CN"/>
              </w:rPr>
              <w:t>MEK</w:t>
            </w:r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>”）</w:t>
            </w:r>
            <w:proofErr w:type="gramEnd"/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>50%</w:t>
            </w:r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>的股权。</w:t>
            </w:r>
            <w:r w:rsidR="00D03666">
              <w:rPr>
                <w:rFonts w:ascii="Times New Roman" w:eastAsia="宋体" w:hAnsi="Times New Roman" w:hint="eastAsia"/>
                <w:szCs w:val="28"/>
                <w:lang w:eastAsia="zh-CN"/>
              </w:rPr>
              <w:t>MEK</w:t>
            </w:r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>拟在波兰从事电池储能</w:t>
            </w:r>
            <w:r w:rsidR="006A2853">
              <w:rPr>
                <w:rFonts w:ascii="Times New Roman" w:eastAsia="宋体" w:hAnsi="Times New Roman" w:hint="eastAsia"/>
                <w:szCs w:val="28"/>
                <w:lang w:eastAsia="zh-CN"/>
              </w:rPr>
              <w:t>及电力生产与供应</w:t>
            </w:r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>。</w:t>
            </w:r>
          </w:p>
          <w:p w14:paraId="52512257" w14:textId="6E1E8078" w:rsidR="0097410A" w:rsidRDefault="00000000">
            <w:pPr>
              <w:pStyle w:val="TableText"/>
              <w:spacing w:after="0"/>
              <w:jc w:val="both"/>
              <w:rPr>
                <w:rFonts w:ascii="Times New Roman" w:eastAsia="宋体" w:hAnsi="Times New Roman"/>
                <w:szCs w:val="28"/>
                <w:lang w:eastAsia="zh-CN"/>
              </w:rPr>
            </w:pPr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>交易前，法国电力间接持有</w:t>
            </w:r>
            <w:r w:rsidR="00B07F04">
              <w:rPr>
                <w:rFonts w:ascii="Times New Roman" w:eastAsia="宋体" w:hAnsi="Times New Roman" w:hint="eastAsia"/>
                <w:szCs w:val="28"/>
                <w:lang w:eastAsia="zh-CN"/>
              </w:rPr>
              <w:t>MEK</w:t>
            </w:r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>100%</w:t>
            </w:r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>的股权，单独控制</w:t>
            </w:r>
            <w:r w:rsidR="00D03666">
              <w:rPr>
                <w:rFonts w:ascii="Times New Roman" w:eastAsia="宋体" w:hAnsi="Times New Roman" w:hint="eastAsia"/>
                <w:szCs w:val="28"/>
                <w:lang w:eastAsia="zh-CN"/>
              </w:rPr>
              <w:t>MEK</w:t>
            </w:r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>。交易后，丰田通商与法国电力将各自间接持有</w:t>
            </w:r>
            <w:r w:rsidR="00D03666">
              <w:rPr>
                <w:rFonts w:ascii="Times New Roman" w:eastAsia="宋体" w:hAnsi="Times New Roman" w:hint="eastAsia"/>
                <w:szCs w:val="28"/>
                <w:lang w:eastAsia="zh-CN"/>
              </w:rPr>
              <w:t>MEK</w:t>
            </w:r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>50%</w:t>
            </w:r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>的股权，共同控制</w:t>
            </w:r>
            <w:r w:rsidR="00D03666">
              <w:rPr>
                <w:rFonts w:ascii="Times New Roman" w:eastAsia="宋体" w:hAnsi="Times New Roman" w:hint="eastAsia"/>
                <w:szCs w:val="28"/>
                <w:lang w:eastAsia="zh-CN"/>
              </w:rPr>
              <w:t>MEK</w:t>
            </w:r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>。</w:t>
            </w:r>
          </w:p>
        </w:tc>
      </w:tr>
      <w:tr w:rsidR="0097410A" w14:paraId="64518961" w14:textId="77777777">
        <w:trPr>
          <w:trHeight w:val="2786"/>
        </w:trPr>
        <w:tc>
          <w:tcPr>
            <w:tcW w:w="1944" w:type="dxa"/>
            <w:vMerge w:val="restart"/>
            <w:tcBorders>
              <w:bottom w:val="nil"/>
            </w:tcBorders>
            <w:shd w:val="clear" w:color="auto" w:fill="D9D9D9"/>
            <w:vAlign w:val="center"/>
          </w:tcPr>
          <w:p w14:paraId="327ABF46" w14:textId="77777777" w:rsidR="0097410A" w:rsidRDefault="00000000">
            <w:pPr>
              <w:pStyle w:val="TableText"/>
              <w:spacing w:after="0"/>
              <w:jc w:val="both"/>
              <w:rPr>
                <w:rFonts w:ascii="Times New Roman" w:eastAsia="宋体" w:hAnsi="Times New Roman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pacing w:val="5"/>
                <w:szCs w:val="28"/>
                <w:lang w:eastAsia="zh-CN"/>
              </w:rPr>
              <w:t>参与集中的经营</w:t>
            </w:r>
            <w:r>
              <w:rPr>
                <w:rFonts w:ascii="Times New Roman" w:eastAsia="宋体" w:hAnsi="Times New Roman"/>
                <w:spacing w:val="-1"/>
                <w:szCs w:val="28"/>
                <w:lang w:eastAsia="zh-CN"/>
              </w:rPr>
              <w:t>者简介（每个限</w:t>
            </w:r>
            <w:r>
              <w:rPr>
                <w:rFonts w:ascii="Times New Roman" w:eastAsia="宋体" w:hAnsi="Times New Roman"/>
                <w:spacing w:val="-10"/>
                <w:szCs w:val="28"/>
                <w:lang w:eastAsia="zh-CN"/>
              </w:rPr>
              <w:t>100</w:t>
            </w:r>
            <w:r>
              <w:rPr>
                <w:rFonts w:ascii="Times New Roman" w:eastAsia="宋体" w:hAnsi="Times New Roman"/>
                <w:spacing w:val="-10"/>
                <w:szCs w:val="28"/>
                <w:lang w:eastAsia="zh-CN"/>
              </w:rPr>
              <w:t>字以内）</w:t>
            </w:r>
          </w:p>
        </w:tc>
        <w:tc>
          <w:tcPr>
            <w:tcW w:w="1743" w:type="dxa"/>
            <w:vAlign w:val="center"/>
          </w:tcPr>
          <w:p w14:paraId="2A08BB2B" w14:textId="77777777" w:rsidR="0097410A" w:rsidRDefault="00000000">
            <w:pPr>
              <w:pStyle w:val="TableText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宋体" w:hAnsi="Times New Roman"/>
                <w:spacing w:val="-6"/>
                <w:szCs w:val="28"/>
                <w:lang w:eastAsia="zh-CN"/>
              </w:rPr>
            </w:pPr>
            <w:r>
              <w:rPr>
                <w:rFonts w:ascii="Times New Roman" w:eastAsia="宋体" w:hAnsi="Times New Roman" w:hint="eastAsia"/>
                <w:spacing w:val="-6"/>
                <w:szCs w:val="28"/>
                <w:lang w:eastAsia="zh-CN"/>
              </w:rPr>
              <w:t>丰田通商</w:t>
            </w:r>
          </w:p>
        </w:tc>
        <w:tc>
          <w:tcPr>
            <w:tcW w:w="5957" w:type="dxa"/>
            <w:vAlign w:val="center"/>
          </w:tcPr>
          <w:p w14:paraId="2C013930" w14:textId="77777777" w:rsidR="0097410A" w:rsidRDefault="00000000">
            <w:pPr>
              <w:rPr>
                <w:rFonts w:ascii="Times New Roman" w:eastAsia="宋体" w:hAnsi="Times New Roman" w:cs="微软雅黑"/>
                <w:sz w:val="24"/>
                <w:szCs w:val="28"/>
                <w:lang w:eastAsia="zh-CN"/>
              </w:rPr>
            </w:pPr>
            <w:r>
              <w:rPr>
                <w:rFonts w:ascii="Times New Roman" w:eastAsia="宋体" w:hAnsi="Times New Roman" w:cs="微软雅黑" w:hint="eastAsia"/>
                <w:sz w:val="24"/>
                <w:szCs w:val="28"/>
                <w:lang w:eastAsia="zh-CN"/>
              </w:rPr>
              <w:t>丰田通商于</w:t>
            </w:r>
            <w:r>
              <w:rPr>
                <w:rFonts w:ascii="Times New Roman" w:eastAsia="宋体" w:hAnsi="Times New Roman" w:cs="微软雅黑" w:hint="eastAsia"/>
                <w:sz w:val="24"/>
                <w:szCs w:val="28"/>
                <w:lang w:eastAsia="zh-CN"/>
              </w:rPr>
              <w:t>1948</w:t>
            </w:r>
            <w:r>
              <w:rPr>
                <w:rFonts w:ascii="Times New Roman" w:eastAsia="宋体" w:hAnsi="Times New Roman" w:cs="微软雅黑" w:hint="eastAsia"/>
                <w:sz w:val="24"/>
                <w:szCs w:val="28"/>
                <w:lang w:eastAsia="zh-CN"/>
              </w:rPr>
              <w:t>年</w:t>
            </w:r>
            <w:r>
              <w:rPr>
                <w:rFonts w:ascii="Times New Roman" w:eastAsia="宋体" w:hAnsi="Times New Roman" w:cs="微软雅黑" w:hint="eastAsia"/>
                <w:sz w:val="24"/>
                <w:szCs w:val="28"/>
                <w:lang w:eastAsia="zh-CN"/>
              </w:rPr>
              <w:t>7</w:t>
            </w:r>
            <w:r>
              <w:rPr>
                <w:rFonts w:ascii="Times New Roman" w:eastAsia="宋体" w:hAnsi="Times New Roman" w:cs="微软雅黑" w:hint="eastAsia"/>
                <w:sz w:val="24"/>
                <w:szCs w:val="28"/>
                <w:lang w:eastAsia="zh-CN"/>
              </w:rPr>
              <w:t>月</w:t>
            </w:r>
            <w:r>
              <w:rPr>
                <w:rFonts w:ascii="Times New Roman" w:eastAsia="宋体" w:hAnsi="Times New Roman" w:cs="微软雅黑" w:hint="eastAsia"/>
                <w:sz w:val="24"/>
                <w:szCs w:val="28"/>
                <w:lang w:eastAsia="zh-CN"/>
              </w:rPr>
              <w:t>1</w:t>
            </w:r>
            <w:r>
              <w:rPr>
                <w:rFonts w:ascii="Times New Roman" w:eastAsia="宋体" w:hAnsi="Times New Roman" w:cs="微软雅黑" w:hint="eastAsia"/>
                <w:sz w:val="24"/>
                <w:szCs w:val="28"/>
                <w:lang w:eastAsia="zh-CN"/>
              </w:rPr>
              <w:t>日成立于日本，为名古屋证券交易所和东京证券交易所上市公司。丰田通商是一家日本全球性贸易公司，主要</w:t>
            </w:r>
            <w:proofErr w:type="gramStart"/>
            <w:r>
              <w:rPr>
                <w:rFonts w:ascii="Times New Roman" w:eastAsia="宋体" w:hAnsi="Times New Roman" w:cs="微软雅黑" w:hint="eastAsia"/>
                <w:sz w:val="24"/>
                <w:szCs w:val="28"/>
                <w:lang w:eastAsia="zh-CN"/>
              </w:rPr>
              <w:t>从事八</w:t>
            </w:r>
            <w:proofErr w:type="gramEnd"/>
            <w:r>
              <w:rPr>
                <w:rFonts w:ascii="Times New Roman" w:eastAsia="宋体" w:hAnsi="Times New Roman" w:cs="微软雅黑" w:hint="eastAsia"/>
                <w:sz w:val="24"/>
                <w:szCs w:val="28"/>
                <w:lang w:eastAsia="zh-CN"/>
              </w:rPr>
              <w:t>大业务板块，包括金属</w:t>
            </w:r>
            <w:r>
              <w:rPr>
                <w:rFonts w:ascii="Times New Roman" w:eastAsia="宋体" w:hAnsi="Times New Roman" w:cs="微软雅黑" w:hint="eastAsia"/>
                <w:sz w:val="24"/>
                <w:szCs w:val="28"/>
                <w:lang w:eastAsia="zh-CN"/>
              </w:rPr>
              <w:t>+</w:t>
            </w:r>
            <w:r>
              <w:rPr>
                <w:rFonts w:ascii="Times New Roman" w:eastAsia="宋体" w:hAnsi="Times New Roman" w:cs="微软雅黑" w:hint="eastAsia"/>
                <w:sz w:val="24"/>
                <w:szCs w:val="28"/>
                <w:lang w:eastAsia="zh-CN"/>
              </w:rPr>
              <w:t>、循环经济、供应链、移动出行、绿色基础设施、数字解决方案、生活方式及非洲业务。</w:t>
            </w:r>
          </w:p>
          <w:p w14:paraId="45FBB4BD" w14:textId="77777777" w:rsidR="0097410A" w:rsidRDefault="00000000">
            <w:pPr>
              <w:pStyle w:val="TableText"/>
              <w:spacing w:after="0"/>
              <w:jc w:val="both"/>
              <w:rPr>
                <w:rFonts w:ascii="Times New Roman" w:eastAsia="宋体" w:hAnsi="Times New Roman"/>
                <w:szCs w:val="28"/>
                <w:lang w:eastAsia="zh-CN"/>
              </w:rPr>
            </w:pPr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>丰田通商</w:t>
            </w:r>
            <w:proofErr w:type="gramStart"/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>无最终</w:t>
            </w:r>
            <w:proofErr w:type="gramEnd"/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>控制人。</w:t>
            </w:r>
          </w:p>
        </w:tc>
      </w:tr>
      <w:tr w:rsidR="0097410A" w14:paraId="7C09E764" w14:textId="77777777">
        <w:trPr>
          <w:trHeight w:val="2091"/>
        </w:trPr>
        <w:tc>
          <w:tcPr>
            <w:tcW w:w="1944" w:type="dxa"/>
            <w:vMerge/>
            <w:tcBorders>
              <w:top w:val="nil"/>
            </w:tcBorders>
            <w:vAlign w:val="center"/>
          </w:tcPr>
          <w:p w14:paraId="27103C76" w14:textId="77777777" w:rsidR="0097410A" w:rsidRDefault="0097410A">
            <w:pPr>
              <w:spacing w:after="0"/>
              <w:jc w:val="both"/>
              <w:rPr>
                <w:rFonts w:ascii="Times New Roman" w:eastAsia="宋体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1743" w:type="dxa"/>
            <w:vAlign w:val="center"/>
          </w:tcPr>
          <w:p w14:paraId="34EC35C3" w14:textId="77777777" w:rsidR="0097410A" w:rsidRDefault="00000000">
            <w:pPr>
              <w:pStyle w:val="TableText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宋体" w:hAnsi="Times New Roman"/>
                <w:spacing w:val="-4"/>
                <w:szCs w:val="28"/>
                <w:lang w:eastAsia="zh-CN"/>
              </w:rPr>
            </w:pPr>
            <w:r>
              <w:rPr>
                <w:rFonts w:ascii="Times New Roman" w:eastAsia="宋体" w:hAnsi="Times New Roman" w:hint="eastAsia"/>
                <w:spacing w:val="-4"/>
                <w:szCs w:val="28"/>
                <w:lang w:eastAsia="zh-CN"/>
              </w:rPr>
              <w:t>法国电力</w:t>
            </w:r>
          </w:p>
        </w:tc>
        <w:tc>
          <w:tcPr>
            <w:tcW w:w="5957" w:type="dxa"/>
            <w:vAlign w:val="center"/>
          </w:tcPr>
          <w:p w14:paraId="64D74AD6" w14:textId="77777777" w:rsidR="0097410A" w:rsidRDefault="00000000">
            <w:pPr>
              <w:rPr>
                <w:rFonts w:ascii="Times New Roman" w:eastAsia="宋体" w:hAnsi="Times New Roman" w:cs="微软雅黑"/>
                <w:sz w:val="24"/>
                <w:szCs w:val="28"/>
                <w:lang w:eastAsia="zh-CN"/>
              </w:rPr>
            </w:pPr>
            <w:r>
              <w:rPr>
                <w:rFonts w:ascii="Times New Roman" w:eastAsia="宋体" w:hAnsi="Times New Roman" w:cs="微软雅黑"/>
                <w:sz w:val="24"/>
                <w:szCs w:val="28"/>
                <w:lang w:eastAsia="zh-CN"/>
              </w:rPr>
              <w:t>法国电力集团于</w:t>
            </w:r>
            <w:r>
              <w:rPr>
                <w:rFonts w:ascii="Times New Roman" w:eastAsia="宋体" w:hAnsi="Times New Roman" w:cs="微软雅黑"/>
                <w:sz w:val="24"/>
                <w:szCs w:val="28"/>
                <w:lang w:eastAsia="zh-CN"/>
              </w:rPr>
              <w:t>1946</w:t>
            </w:r>
            <w:r>
              <w:rPr>
                <w:rFonts w:ascii="Times New Roman" w:eastAsia="宋体" w:hAnsi="Times New Roman" w:cs="微软雅黑"/>
                <w:sz w:val="24"/>
                <w:szCs w:val="28"/>
                <w:lang w:eastAsia="zh-CN"/>
              </w:rPr>
              <w:t>年</w:t>
            </w:r>
            <w:r>
              <w:rPr>
                <w:rFonts w:ascii="Times New Roman" w:eastAsia="宋体" w:hAnsi="Times New Roman" w:cs="微软雅黑"/>
                <w:sz w:val="24"/>
                <w:szCs w:val="28"/>
                <w:lang w:eastAsia="zh-CN"/>
              </w:rPr>
              <w:t>4</w:t>
            </w:r>
            <w:r>
              <w:rPr>
                <w:rFonts w:ascii="Times New Roman" w:eastAsia="宋体" w:hAnsi="Times New Roman" w:cs="微软雅黑"/>
                <w:sz w:val="24"/>
                <w:szCs w:val="28"/>
                <w:lang w:eastAsia="zh-CN"/>
              </w:rPr>
              <w:t>月</w:t>
            </w:r>
            <w:r>
              <w:rPr>
                <w:rFonts w:ascii="Times New Roman" w:eastAsia="宋体" w:hAnsi="Times New Roman" w:cs="微软雅黑"/>
                <w:sz w:val="24"/>
                <w:szCs w:val="28"/>
                <w:lang w:eastAsia="zh-CN"/>
              </w:rPr>
              <w:t>8</w:t>
            </w:r>
            <w:r>
              <w:rPr>
                <w:rFonts w:ascii="Times New Roman" w:eastAsia="宋体" w:hAnsi="Times New Roman" w:cs="微软雅黑"/>
                <w:sz w:val="24"/>
                <w:szCs w:val="28"/>
                <w:lang w:eastAsia="zh-CN"/>
              </w:rPr>
              <w:t>日成立于法国，主要业务为电力生产和批发、交易和供应，以及天然气供应和能源服务。</w:t>
            </w:r>
          </w:p>
          <w:p w14:paraId="325EDB25" w14:textId="77777777" w:rsidR="0097410A" w:rsidRDefault="00000000">
            <w:pPr>
              <w:rPr>
                <w:rFonts w:ascii="Times New Roman" w:eastAsia="宋体" w:hAnsi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宋体" w:hAnsi="Times New Roman" w:cs="微软雅黑"/>
                <w:sz w:val="24"/>
                <w:szCs w:val="28"/>
                <w:lang w:eastAsia="zh-CN"/>
              </w:rPr>
              <w:t>法国电力集团</w:t>
            </w:r>
            <w:r>
              <w:rPr>
                <w:rFonts w:ascii="Times New Roman" w:eastAsia="宋体" w:hAnsi="Times New Roman" w:cs="微软雅黑" w:hint="eastAsia"/>
                <w:sz w:val="24"/>
                <w:szCs w:val="28"/>
                <w:lang w:eastAsia="zh-CN"/>
              </w:rPr>
              <w:t>的</w:t>
            </w:r>
            <w:r>
              <w:rPr>
                <w:rFonts w:ascii="Times New Roman" w:eastAsia="宋体" w:hAnsi="Times New Roman" w:cs="微软雅黑"/>
                <w:sz w:val="24"/>
                <w:szCs w:val="28"/>
                <w:lang w:eastAsia="zh-CN"/>
              </w:rPr>
              <w:t>最终控制人为法国政府。</w:t>
            </w:r>
          </w:p>
        </w:tc>
      </w:tr>
      <w:tr w:rsidR="0097410A" w14:paraId="094F1DE0" w14:textId="77777777">
        <w:trPr>
          <w:trHeight w:val="352"/>
        </w:trPr>
        <w:tc>
          <w:tcPr>
            <w:tcW w:w="1944" w:type="dxa"/>
            <w:vMerge w:val="restart"/>
            <w:shd w:val="clear" w:color="auto" w:fill="D9D9D9"/>
            <w:vAlign w:val="center"/>
          </w:tcPr>
          <w:p w14:paraId="22FED613" w14:textId="77777777" w:rsidR="0097410A" w:rsidRDefault="00000000">
            <w:pPr>
              <w:pStyle w:val="TableText"/>
              <w:spacing w:after="0"/>
              <w:jc w:val="both"/>
              <w:rPr>
                <w:rFonts w:ascii="Times New Roman" w:eastAsia="宋体" w:hAnsi="Times New Roman"/>
                <w:szCs w:val="28"/>
                <w:lang w:eastAsia="zh-CN"/>
              </w:rPr>
            </w:pPr>
            <w:r>
              <w:rPr>
                <w:rFonts w:ascii="Times New Roman" w:eastAsia="宋体" w:hAnsi="Times New Roman"/>
                <w:spacing w:val="45"/>
                <w:szCs w:val="28"/>
                <w:lang w:eastAsia="zh-CN"/>
              </w:rPr>
              <w:t>简易案件理由</w:t>
            </w:r>
            <w:r>
              <w:rPr>
                <w:rFonts w:ascii="Times New Roman" w:eastAsia="宋体" w:hAnsi="Times New Roman"/>
                <w:spacing w:val="-1"/>
                <w:szCs w:val="28"/>
                <w:lang w:eastAsia="zh-CN"/>
              </w:rPr>
              <w:t>（可以单选，也</w:t>
            </w:r>
            <w:r>
              <w:rPr>
                <w:rFonts w:ascii="Times New Roman" w:eastAsia="宋体" w:hAnsi="Times New Roman"/>
                <w:spacing w:val="3"/>
                <w:szCs w:val="28"/>
                <w:lang w:eastAsia="zh-CN"/>
              </w:rPr>
              <w:t>可以多选）</w:t>
            </w:r>
          </w:p>
        </w:tc>
        <w:tc>
          <w:tcPr>
            <w:tcW w:w="7700" w:type="dxa"/>
            <w:gridSpan w:val="2"/>
            <w:vAlign w:val="center"/>
          </w:tcPr>
          <w:p w14:paraId="25675C5D" w14:textId="77777777" w:rsidR="0097410A" w:rsidRDefault="00000000">
            <w:pPr>
              <w:pStyle w:val="TableText"/>
              <w:spacing w:after="0"/>
              <w:jc w:val="both"/>
              <w:rPr>
                <w:rFonts w:ascii="Times New Roman" w:eastAsia="宋体" w:hAnsi="Times New Roman"/>
                <w:szCs w:val="2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bCs/>
                <w:szCs w:val="28"/>
                <w:lang w:val="en-GB" w:eastAsia="zh-CN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bCs/>
                <w:szCs w:val="28"/>
                <w:lang w:eastAsia="zh-CN"/>
              </w:rPr>
              <w:t xml:space="preserve"> </w:t>
            </w:r>
            <w:r>
              <w:rPr>
                <w:rFonts w:ascii="Times New Roman" w:eastAsia="宋体" w:hAnsi="Times New Roman"/>
                <w:spacing w:val="-4"/>
                <w:szCs w:val="28"/>
                <w:lang w:eastAsia="zh-CN"/>
              </w:rPr>
              <w:t>1.</w:t>
            </w:r>
            <w:r>
              <w:rPr>
                <w:rFonts w:ascii="Times New Roman" w:eastAsia="宋体" w:hAnsi="Times New Roman"/>
                <w:spacing w:val="-4"/>
                <w:szCs w:val="28"/>
                <w:lang w:eastAsia="zh-CN"/>
              </w:rPr>
              <w:t>在同一相关市场，参与集中的经营者所占的市场份额之和小于</w:t>
            </w:r>
            <w:r>
              <w:rPr>
                <w:rFonts w:ascii="Times New Roman" w:eastAsia="宋体" w:hAnsi="Times New Roman"/>
                <w:spacing w:val="-4"/>
                <w:szCs w:val="28"/>
                <w:lang w:eastAsia="zh-CN"/>
              </w:rPr>
              <w:t>1</w:t>
            </w:r>
            <w:r>
              <w:rPr>
                <w:rFonts w:ascii="Times New Roman" w:eastAsia="宋体" w:hAnsi="Times New Roman"/>
                <w:spacing w:val="-5"/>
                <w:szCs w:val="28"/>
                <w:lang w:eastAsia="zh-CN"/>
              </w:rPr>
              <w:t>5%</w:t>
            </w:r>
            <w:r>
              <w:rPr>
                <w:rFonts w:ascii="Times New Roman" w:eastAsia="宋体" w:hAnsi="Times New Roman"/>
                <w:spacing w:val="-5"/>
                <w:szCs w:val="28"/>
                <w:lang w:eastAsia="zh-CN"/>
              </w:rPr>
              <w:t>。</w:t>
            </w:r>
          </w:p>
        </w:tc>
      </w:tr>
      <w:tr w:rsidR="0097410A" w14:paraId="03FEF774" w14:textId="77777777">
        <w:trPr>
          <w:trHeight w:val="353"/>
        </w:trPr>
        <w:tc>
          <w:tcPr>
            <w:tcW w:w="1944" w:type="dxa"/>
            <w:vMerge/>
            <w:vAlign w:val="center"/>
          </w:tcPr>
          <w:p w14:paraId="3B39D5CB" w14:textId="77777777" w:rsidR="0097410A" w:rsidRDefault="0097410A">
            <w:pPr>
              <w:spacing w:after="0"/>
              <w:jc w:val="both"/>
              <w:rPr>
                <w:rFonts w:ascii="Times New Roman" w:eastAsia="宋体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4CBA829" w14:textId="24C1DFF3" w:rsidR="0097410A" w:rsidRDefault="00276E40">
            <w:pPr>
              <w:pStyle w:val="TableText"/>
              <w:spacing w:after="0"/>
              <w:jc w:val="both"/>
              <w:rPr>
                <w:rFonts w:ascii="Times New Roman" w:eastAsia="宋体" w:hAnsi="Times New Roman"/>
                <w:szCs w:val="2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bCs/>
                <w:szCs w:val="28"/>
                <w:lang w:val="en-GB" w:eastAsia="zh-CN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bCs/>
                <w:szCs w:val="28"/>
                <w:lang w:eastAsia="zh-CN"/>
              </w:rPr>
              <w:t xml:space="preserve"> </w:t>
            </w:r>
            <w:r>
              <w:rPr>
                <w:rFonts w:ascii="Times New Roman" w:eastAsia="宋体" w:hAnsi="Times New Roman"/>
                <w:spacing w:val="-1"/>
                <w:szCs w:val="28"/>
                <w:lang w:eastAsia="zh-CN"/>
              </w:rPr>
              <w:t>2.</w:t>
            </w:r>
            <w:r>
              <w:rPr>
                <w:rFonts w:ascii="Times New Roman" w:eastAsia="宋体" w:hAnsi="Times New Roman"/>
                <w:spacing w:val="-1"/>
                <w:szCs w:val="28"/>
                <w:lang w:eastAsia="zh-CN"/>
              </w:rPr>
              <w:t>在上下游市场，参与集中的经营者所占的市场份额均小于</w:t>
            </w:r>
            <w:r>
              <w:rPr>
                <w:rFonts w:ascii="Times New Roman" w:eastAsia="宋体" w:hAnsi="Times New Roman"/>
                <w:spacing w:val="-1"/>
                <w:szCs w:val="28"/>
                <w:lang w:eastAsia="zh-CN"/>
              </w:rPr>
              <w:t>25%</w:t>
            </w:r>
            <w:r>
              <w:rPr>
                <w:rFonts w:ascii="Times New Roman" w:eastAsia="宋体" w:hAnsi="Times New Roman"/>
                <w:spacing w:val="-1"/>
                <w:szCs w:val="28"/>
                <w:lang w:eastAsia="zh-CN"/>
              </w:rPr>
              <w:t>。</w:t>
            </w:r>
          </w:p>
        </w:tc>
      </w:tr>
      <w:tr w:rsidR="0097410A" w14:paraId="638F53E8" w14:textId="77777777">
        <w:trPr>
          <w:trHeight w:val="703"/>
        </w:trPr>
        <w:tc>
          <w:tcPr>
            <w:tcW w:w="1944" w:type="dxa"/>
            <w:vMerge/>
            <w:vAlign w:val="center"/>
          </w:tcPr>
          <w:p w14:paraId="6767C659" w14:textId="77777777" w:rsidR="0097410A" w:rsidRDefault="0097410A">
            <w:pPr>
              <w:spacing w:after="0"/>
              <w:jc w:val="both"/>
              <w:rPr>
                <w:rFonts w:ascii="Times New Roman" w:eastAsia="宋体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33140CA" w14:textId="77777777" w:rsidR="0097410A" w:rsidRDefault="00000000">
            <w:pPr>
              <w:pStyle w:val="TableText"/>
              <w:spacing w:after="0"/>
              <w:jc w:val="both"/>
              <w:rPr>
                <w:rFonts w:ascii="Times New Roman" w:eastAsia="宋体" w:hAnsi="Times New Roman"/>
                <w:szCs w:val="2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bCs/>
                <w:szCs w:val="28"/>
                <w:lang w:val="en-GB" w:eastAsia="zh-CN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bCs/>
                <w:szCs w:val="28"/>
                <w:lang w:eastAsia="zh-CN"/>
              </w:rPr>
              <w:t xml:space="preserve"> </w:t>
            </w:r>
            <w:r>
              <w:rPr>
                <w:rFonts w:ascii="Times New Roman" w:eastAsia="宋体" w:hAnsi="Times New Roman"/>
                <w:spacing w:val="1"/>
                <w:szCs w:val="28"/>
                <w:lang w:eastAsia="zh-CN"/>
              </w:rPr>
              <w:t>3.</w:t>
            </w:r>
            <w:r>
              <w:rPr>
                <w:rFonts w:ascii="Times New Roman" w:eastAsia="宋体" w:hAnsi="Times New Roman"/>
                <w:spacing w:val="1"/>
                <w:szCs w:val="28"/>
                <w:lang w:eastAsia="zh-CN"/>
              </w:rPr>
              <w:t>不在同一相关市场也不存在上下游关系的参与集中的经营者，在与</w:t>
            </w:r>
            <w:r>
              <w:rPr>
                <w:rFonts w:ascii="Times New Roman" w:eastAsia="宋体" w:hAnsi="Times New Roman"/>
                <w:szCs w:val="28"/>
                <w:lang w:eastAsia="zh-CN"/>
              </w:rPr>
              <w:t>交易有关的每个市场所占的市场份额均小于</w:t>
            </w:r>
            <w:r>
              <w:rPr>
                <w:rFonts w:ascii="Times New Roman" w:eastAsia="宋体" w:hAnsi="Times New Roman"/>
                <w:spacing w:val="-1"/>
                <w:szCs w:val="28"/>
                <w:lang w:eastAsia="zh-CN"/>
              </w:rPr>
              <w:t>25%</w:t>
            </w:r>
            <w:r>
              <w:rPr>
                <w:rFonts w:ascii="Times New Roman" w:eastAsia="宋体" w:hAnsi="Times New Roman"/>
                <w:spacing w:val="-1"/>
                <w:szCs w:val="28"/>
                <w:lang w:eastAsia="zh-CN"/>
              </w:rPr>
              <w:t>。</w:t>
            </w:r>
          </w:p>
        </w:tc>
      </w:tr>
      <w:tr w:rsidR="0097410A" w14:paraId="0056511A" w14:textId="77777777">
        <w:trPr>
          <w:trHeight w:val="879"/>
        </w:trPr>
        <w:tc>
          <w:tcPr>
            <w:tcW w:w="1944" w:type="dxa"/>
            <w:vMerge/>
            <w:shd w:val="clear" w:color="auto" w:fill="D9D9D9"/>
            <w:vAlign w:val="center"/>
          </w:tcPr>
          <w:p w14:paraId="0C92D2E9" w14:textId="77777777" w:rsidR="0097410A" w:rsidRDefault="0097410A">
            <w:pPr>
              <w:spacing w:after="0"/>
              <w:jc w:val="both"/>
              <w:rPr>
                <w:rFonts w:ascii="Times New Roman" w:eastAsia="宋体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7B1F022" w14:textId="5409EB13" w:rsidR="0097410A" w:rsidRDefault="00D03666">
            <w:pPr>
              <w:pStyle w:val="TableText"/>
              <w:spacing w:after="0"/>
              <w:jc w:val="both"/>
              <w:rPr>
                <w:rFonts w:ascii="Times New Roman" w:eastAsia="宋体" w:hAnsi="Times New Roman"/>
                <w:szCs w:val="2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bCs/>
                <w:szCs w:val="28"/>
                <w:lang w:val="en-GB" w:eastAsia="zh-CN"/>
              </w:rPr>
              <w:sym w:font="Wingdings" w:char="00A8"/>
            </w:r>
            <w:r w:rsidR="00276E40">
              <w:rPr>
                <w:rFonts w:ascii="Times New Roman" w:eastAsia="宋体" w:hAnsi="Times New Roman" w:cs="宋体" w:hint="eastAsia"/>
                <w:bCs/>
                <w:szCs w:val="28"/>
                <w:lang w:eastAsia="zh-CN"/>
              </w:rPr>
              <w:t xml:space="preserve"> </w:t>
            </w:r>
            <w:r w:rsidR="00276E40">
              <w:rPr>
                <w:rFonts w:ascii="Times New Roman" w:eastAsia="宋体" w:hAnsi="Times New Roman"/>
                <w:spacing w:val="3"/>
                <w:szCs w:val="28"/>
                <w:lang w:eastAsia="zh-CN"/>
              </w:rPr>
              <w:t>4.</w:t>
            </w:r>
            <w:r w:rsidR="00276E40">
              <w:rPr>
                <w:rFonts w:ascii="Times New Roman" w:eastAsia="宋体" w:hAnsi="Times New Roman"/>
                <w:spacing w:val="3"/>
                <w:szCs w:val="28"/>
                <w:lang w:eastAsia="zh-CN"/>
              </w:rPr>
              <w:t>参与集中的经营者在中国境外设立合营企业，合营</w:t>
            </w:r>
            <w:r w:rsidR="00276E40">
              <w:rPr>
                <w:rFonts w:ascii="Times New Roman" w:eastAsia="宋体" w:hAnsi="Times New Roman"/>
                <w:spacing w:val="2"/>
                <w:szCs w:val="28"/>
                <w:lang w:eastAsia="zh-CN"/>
              </w:rPr>
              <w:t>企业不在中国境</w:t>
            </w:r>
            <w:r w:rsidR="00276E40">
              <w:rPr>
                <w:rFonts w:ascii="Times New Roman" w:eastAsia="宋体" w:hAnsi="Times New Roman"/>
                <w:spacing w:val="-4"/>
                <w:szCs w:val="28"/>
                <w:lang w:eastAsia="zh-CN"/>
              </w:rPr>
              <w:t>内从事经济活动。</w:t>
            </w:r>
          </w:p>
        </w:tc>
      </w:tr>
      <w:tr w:rsidR="0097410A" w14:paraId="1BD7C5C2" w14:textId="77777777">
        <w:trPr>
          <w:trHeight w:val="700"/>
        </w:trPr>
        <w:tc>
          <w:tcPr>
            <w:tcW w:w="1944" w:type="dxa"/>
            <w:vMerge/>
            <w:vAlign w:val="center"/>
          </w:tcPr>
          <w:p w14:paraId="0A71F298" w14:textId="77777777" w:rsidR="0097410A" w:rsidRDefault="0097410A">
            <w:pPr>
              <w:spacing w:after="0"/>
              <w:jc w:val="both"/>
              <w:rPr>
                <w:rFonts w:ascii="Times New Roman" w:eastAsia="宋体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07461C6" w14:textId="2B87D9B2" w:rsidR="0097410A" w:rsidRDefault="00D03666">
            <w:pPr>
              <w:pStyle w:val="TableText"/>
              <w:spacing w:after="0"/>
              <w:jc w:val="both"/>
              <w:rPr>
                <w:rFonts w:ascii="Times New Roman" w:eastAsia="宋体" w:hAnsi="Times New Roman"/>
                <w:szCs w:val="2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bCs/>
                <w:szCs w:val="28"/>
                <w:lang w:val="en-GB" w:eastAsia="zh-CN"/>
              </w:rPr>
              <w:sym w:font="Wingdings" w:char="00FE"/>
            </w:r>
            <w:r>
              <w:rPr>
                <w:rFonts w:ascii="Times New Roman" w:eastAsia="宋体" w:hAnsi="Times New Roman" w:cs="宋体" w:hint="eastAsia"/>
                <w:bCs/>
                <w:szCs w:val="28"/>
                <w:lang w:eastAsia="zh-CN"/>
              </w:rPr>
              <w:t xml:space="preserve"> </w:t>
            </w:r>
            <w:r>
              <w:rPr>
                <w:rFonts w:ascii="Times New Roman" w:eastAsia="宋体" w:hAnsi="Times New Roman"/>
                <w:spacing w:val="3"/>
                <w:szCs w:val="28"/>
                <w:lang w:eastAsia="zh-CN"/>
              </w:rPr>
              <w:t>5.</w:t>
            </w:r>
            <w:r>
              <w:rPr>
                <w:rFonts w:ascii="Times New Roman" w:eastAsia="宋体" w:hAnsi="Times New Roman"/>
                <w:spacing w:val="3"/>
                <w:szCs w:val="28"/>
                <w:lang w:eastAsia="zh-CN"/>
              </w:rPr>
              <w:t>参与集中的经营者收购境外企业股权或资产的，该</w:t>
            </w:r>
            <w:r>
              <w:rPr>
                <w:rFonts w:ascii="Times New Roman" w:eastAsia="宋体" w:hAnsi="Times New Roman"/>
                <w:spacing w:val="2"/>
                <w:szCs w:val="28"/>
                <w:lang w:eastAsia="zh-CN"/>
              </w:rPr>
              <w:t>境外企业不在中</w:t>
            </w:r>
            <w:r>
              <w:rPr>
                <w:rFonts w:ascii="Times New Roman" w:eastAsia="宋体" w:hAnsi="Times New Roman"/>
                <w:spacing w:val="-3"/>
                <w:szCs w:val="28"/>
                <w:lang w:eastAsia="zh-CN"/>
              </w:rPr>
              <w:t>国境内从事经济活动。</w:t>
            </w:r>
          </w:p>
        </w:tc>
      </w:tr>
      <w:tr w:rsidR="0097410A" w14:paraId="401587D3" w14:textId="77777777">
        <w:trPr>
          <w:trHeight w:val="699"/>
        </w:trPr>
        <w:tc>
          <w:tcPr>
            <w:tcW w:w="1944" w:type="dxa"/>
            <w:vMerge/>
            <w:vAlign w:val="center"/>
          </w:tcPr>
          <w:p w14:paraId="3FCA700E" w14:textId="77777777" w:rsidR="0097410A" w:rsidRDefault="0097410A">
            <w:pPr>
              <w:spacing w:after="0"/>
              <w:jc w:val="both"/>
              <w:rPr>
                <w:rFonts w:ascii="Times New Roman" w:eastAsia="宋体" w:hAnsi="Times New Roman"/>
                <w:sz w:val="24"/>
                <w:szCs w:val="28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43994FD" w14:textId="77777777" w:rsidR="0097410A" w:rsidRDefault="00000000">
            <w:pPr>
              <w:pStyle w:val="TableText"/>
              <w:spacing w:after="0"/>
              <w:jc w:val="both"/>
              <w:rPr>
                <w:rFonts w:ascii="Times New Roman" w:eastAsia="宋体" w:hAnsi="Times New Roman"/>
                <w:szCs w:val="28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bCs/>
                <w:szCs w:val="28"/>
                <w:lang w:val="en-GB" w:eastAsia="zh-CN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bCs/>
                <w:szCs w:val="28"/>
                <w:lang w:eastAsia="zh-CN"/>
              </w:rPr>
              <w:t xml:space="preserve"> </w:t>
            </w:r>
            <w:r>
              <w:rPr>
                <w:rFonts w:ascii="Times New Roman" w:eastAsia="宋体" w:hAnsi="Times New Roman"/>
                <w:szCs w:val="28"/>
                <w:lang w:eastAsia="zh-CN"/>
              </w:rPr>
              <w:t>6.</w:t>
            </w:r>
            <w:r>
              <w:rPr>
                <w:rFonts w:ascii="Times New Roman" w:eastAsia="宋体" w:hAnsi="Times New Roman"/>
                <w:szCs w:val="28"/>
                <w:lang w:eastAsia="zh-CN"/>
              </w:rPr>
              <w:t>由两个以上的经营者共同控制的合营企业，通过集中被其中一个或</w:t>
            </w:r>
            <w:r>
              <w:rPr>
                <w:rFonts w:ascii="Times New Roman" w:eastAsia="宋体" w:hAnsi="Times New Roman"/>
                <w:spacing w:val="-1"/>
                <w:szCs w:val="28"/>
                <w:lang w:eastAsia="zh-CN"/>
              </w:rPr>
              <w:t>一个以上经营者控制。</w:t>
            </w:r>
          </w:p>
        </w:tc>
      </w:tr>
      <w:tr w:rsidR="0097410A" w14:paraId="4F33328D" w14:textId="77777777">
        <w:trPr>
          <w:trHeight w:val="632"/>
        </w:trPr>
        <w:tc>
          <w:tcPr>
            <w:tcW w:w="1944" w:type="dxa"/>
            <w:shd w:val="clear" w:color="auto" w:fill="D9D9D9"/>
            <w:vAlign w:val="center"/>
          </w:tcPr>
          <w:p w14:paraId="1508824C" w14:textId="77777777" w:rsidR="0097410A" w:rsidRDefault="00000000">
            <w:pPr>
              <w:pStyle w:val="TableText"/>
              <w:spacing w:after="0"/>
              <w:jc w:val="both"/>
              <w:rPr>
                <w:rFonts w:ascii="Times New Roman" w:eastAsia="宋体" w:hAnsi="Times New Roman"/>
                <w:szCs w:val="28"/>
              </w:rPr>
            </w:pPr>
            <w:proofErr w:type="spellStart"/>
            <w:r>
              <w:rPr>
                <w:rFonts w:ascii="Times New Roman" w:eastAsia="宋体" w:hAnsi="Times New Roman"/>
                <w:spacing w:val="-3"/>
                <w:szCs w:val="28"/>
              </w:rPr>
              <w:t>备注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027B4C85" w14:textId="05A05445" w:rsidR="0097410A" w:rsidRDefault="00D03666">
            <w:pPr>
              <w:pStyle w:val="TableText"/>
              <w:spacing w:after="0"/>
              <w:jc w:val="both"/>
              <w:rPr>
                <w:rFonts w:ascii="Times New Roman" w:eastAsia="宋体" w:hAnsi="Times New Roman"/>
                <w:szCs w:val="28"/>
                <w:lang w:eastAsia="zh-CN"/>
              </w:rPr>
            </w:pPr>
            <w:r>
              <w:rPr>
                <w:rFonts w:ascii="Times New Roman" w:eastAsia="宋体" w:hAnsi="Times New Roman" w:hint="eastAsia"/>
                <w:szCs w:val="28"/>
                <w:lang w:eastAsia="zh-CN"/>
              </w:rPr>
              <w:t>不适用</w:t>
            </w:r>
          </w:p>
        </w:tc>
      </w:tr>
    </w:tbl>
    <w:p w14:paraId="7A2739D1" w14:textId="77777777" w:rsidR="0097410A" w:rsidRDefault="0097410A">
      <w:pPr>
        <w:pStyle w:val="a3"/>
        <w:spacing w:after="0"/>
        <w:outlineLvl w:val="1"/>
        <w:rPr>
          <w:rFonts w:ascii="Times New Roman" w:eastAsia="宋体" w:hAnsi="Times New Roman"/>
          <w:spacing w:val="-5"/>
          <w:lang w:eastAsia="zh-CN"/>
        </w:rPr>
      </w:pPr>
    </w:p>
    <w:sectPr w:rsidR="0097410A">
      <w:pgSz w:w="11906" w:h="16839"/>
      <w:pgMar w:top="1440" w:right="1473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27BE" w14:textId="77777777" w:rsidR="00D0218F" w:rsidRDefault="00D0218F">
      <w:pPr>
        <w:spacing w:after="0"/>
      </w:pPr>
      <w:r>
        <w:separator/>
      </w:r>
    </w:p>
  </w:endnote>
  <w:endnote w:type="continuationSeparator" w:id="0">
    <w:p w14:paraId="30504F89" w14:textId="77777777" w:rsidR="00D0218F" w:rsidRDefault="00D021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8FD06" w14:textId="77777777" w:rsidR="00D0218F" w:rsidRDefault="00D0218F">
      <w:pPr>
        <w:spacing w:after="0"/>
      </w:pPr>
      <w:r>
        <w:separator/>
      </w:r>
    </w:p>
  </w:footnote>
  <w:footnote w:type="continuationSeparator" w:id="0">
    <w:p w14:paraId="0E2F509E" w14:textId="77777777" w:rsidR="00D0218F" w:rsidRDefault="00D021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245B"/>
    <w:multiLevelType w:val="multilevel"/>
    <w:tmpl w:val="106C245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56312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5D"/>
    <w:rsid w:val="00104AFB"/>
    <w:rsid w:val="002059A9"/>
    <w:rsid w:val="002740C4"/>
    <w:rsid w:val="00276E40"/>
    <w:rsid w:val="00282A6B"/>
    <w:rsid w:val="00285134"/>
    <w:rsid w:val="004125D2"/>
    <w:rsid w:val="004F0278"/>
    <w:rsid w:val="00522138"/>
    <w:rsid w:val="005308FA"/>
    <w:rsid w:val="005A32C4"/>
    <w:rsid w:val="006045B4"/>
    <w:rsid w:val="00620D81"/>
    <w:rsid w:val="006A2853"/>
    <w:rsid w:val="006A617C"/>
    <w:rsid w:val="006D44B0"/>
    <w:rsid w:val="0072732E"/>
    <w:rsid w:val="00765D64"/>
    <w:rsid w:val="007E3402"/>
    <w:rsid w:val="00855E8B"/>
    <w:rsid w:val="00883B7F"/>
    <w:rsid w:val="008A35EA"/>
    <w:rsid w:val="0092381D"/>
    <w:rsid w:val="0097410A"/>
    <w:rsid w:val="009F2E3D"/>
    <w:rsid w:val="00A33D7D"/>
    <w:rsid w:val="00B07F04"/>
    <w:rsid w:val="00B902AD"/>
    <w:rsid w:val="00B96A5D"/>
    <w:rsid w:val="00BF41C2"/>
    <w:rsid w:val="00C73CAE"/>
    <w:rsid w:val="00CA2EDE"/>
    <w:rsid w:val="00D0218F"/>
    <w:rsid w:val="00D03666"/>
    <w:rsid w:val="00D46C5A"/>
    <w:rsid w:val="00D52184"/>
    <w:rsid w:val="00D56CE9"/>
    <w:rsid w:val="00DD19C0"/>
    <w:rsid w:val="00E15E87"/>
    <w:rsid w:val="00E57241"/>
    <w:rsid w:val="00E72D03"/>
    <w:rsid w:val="00F048B1"/>
    <w:rsid w:val="00F27BA9"/>
    <w:rsid w:val="00F51536"/>
    <w:rsid w:val="00FA2D47"/>
    <w:rsid w:val="09605B29"/>
    <w:rsid w:val="103D0BD7"/>
    <w:rsid w:val="2DA208EE"/>
    <w:rsid w:val="37537F32"/>
    <w:rsid w:val="3FFA0F4B"/>
    <w:rsid w:val="4F5C097D"/>
    <w:rsid w:val="677E64A2"/>
    <w:rsid w:val="75F77951"/>
    <w:rsid w:val="7AD16EC6"/>
    <w:rsid w:val="7FA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49C47"/>
  <w15:docId w15:val="{8DFDFB39-D4CC-4010-A8BE-6432DCC1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snapToGrid w:val="0"/>
      <w:color w:val="000000"/>
      <w:sz w:val="21"/>
      <w:szCs w:val="21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2"/>
    </w:pPr>
    <w:rPr>
      <w:rFonts w:ascii="Times New Roman" w:eastAsia="宋体" w:hAnsi="Times New Roman" w:cstheme="majorBidi"/>
      <w:snapToGrid/>
      <w:color w:val="auto"/>
      <w:kern w:val="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28"/>
      <w:szCs w:val="28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4"/>
      <w:szCs w:val="24"/>
    </w:rPr>
  </w:style>
  <w:style w:type="character" w:customStyle="1" w:styleId="30">
    <w:name w:val="标题 3 字符"/>
    <w:basedOn w:val="a0"/>
    <w:link w:val="3"/>
    <w:uiPriority w:val="9"/>
    <w:rPr>
      <w:rFonts w:ascii="Times New Roman" w:eastAsia="宋体" w:hAnsi="Times New Roman" w:cstheme="majorBidi"/>
      <w:kern w:val="2"/>
      <w:sz w:val="21"/>
      <w:szCs w:val="32"/>
    </w:rPr>
  </w:style>
  <w:style w:type="character" w:styleId="a4">
    <w:name w:val="annotation reference"/>
    <w:basedOn w:val="a0"/>
    <w:uiPriority w:val="99"/>
    <w:semiHidden/>
    <w:unhideWhenUsed/>
    <w:rsid w:val="00620D81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620D81"/>
    <w:rPr>
      <w:sz w:val="20"/>
      <w:szCs w:val="20"/>
    </w:rPr>
  </w:style>
  <w:style w:type="character" w:customStyle="1" w:styleId="a6">
    <w:name w:val="批注文字 字符"/>
    <w:basedOn w:val="a0"/>
    <w:link w:val="a5"/>
    <w:uiPriority w:val="99"/>
    <w:rsid w:val="00620D81"/>
    <w:rPr>
      <w:snapToGrid w:val="0"/>
      <w:color w:val="000000"/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20D81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620D81"/>
    <w:rPr>
      <w:b/>
      <w:bCs/>
      <w:snapToGrid w:val="0"/>
      <w:color w:val="000000"/>
      <w:lang w:eastAsia="en-US"/>
    </w:rPr>
  </w:style>
  <w:style w:type="paragraph" w:styleId="a9">
    <w:name w:val="Revision"/>
    <w:hidden/>
    <w:uiPriority w:val="99"/>
    <w:unhideWhenUsed/>
    <w:rsid w:val="00C73CAE"/>
    <w:rPr>
      <w:snapToGrid w:val="0"/>
      <w:color w:val="000000"/>
      <w:sz w:val="21"/>
      <w:szCs w:val="21"/>
      <w:lang w:eastAsia="en-US"/>
    </w:rPr>
  </w:style>
  <w:style w:type="paragraph" w:styleId="aa">
    <w:name w:val="header"/>
    <w:basedOn w:val="a"/>
    <w:link w:val="ab"/>
    <w:uiPriority w:val="99"/>
    <w:unhideWhenUsed/>
    <w:rsid w:val="006D44B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D44B0"/>
    <w:rPr>
      <w:snapToGrid w:val="0"/>
      <w:color w:val="000000"/>
      <w:sz w:val="18"/>
      <w:szCs w:val="18"/>
      <w:lang w:eastAsia="en-US"/>
    </w:rPr>
  </w:style>
  <w:style w:type="paragraph" w:styleId="ac">
    <w:name w:val="footer"/>
    <w:basedOn w:val="a"/>
    <w:link w:val="ad"/>
    <w:uiPriority w:val="99"/>
    <w:unhideWhenUsed/>
    <w:rsid w:val="006D44B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D44B0"/>
    <w:rPr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cp:lastModifiedBy>Diana Xu</cp:lastModifiedBy>
  <cp:revision>11</cp:revision>
  <dcterms:created xsi:type="dcterms:W3CDTF">2026-02-03T02:11:00Z</dcterms:created>
  <dcterms:modified xsi:type="dcterms:W3CDTF">2026-06-10T06:23:00Z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2025-05-30T11:25:37Z</vt:filetime>
  </property>
  <property fmtid="{D5CDD505-2E9C-101B-9397-08002B2CF9AE}" pid="4" name="KSOTemplateDocerSaveRecord">
    <vt:lpwstr>eyJoZGlkIjoiNDI1NGQ4MDY4NjMxYWVlMzc3ODM2NDE0MmU1ODUxYzYiLCJ1c2VySWQiOiIzMjAyMzcwNTQifQ==</vt:lpwstr>
  </property>
  <property fmtid="{D5CDD505-2E9C-101B-9397-08002B2CF9AE}" pid="5" name="KSOProductBuildVer">
    <vt:lpwstr>2052-12.1.0.24657</vt:lpwstr>
  </property>
  <property fmtid="{D5CDD505-2E9C-101B-9397-08002B2CF9AE}" pid="6" name="ICV">
    <vt:lpwstr>D79185BA871A4996ABBBFCAC986DCB55_12</vt:lpwstr>
  </property>
</Properties>
</file>