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B75A9">
      <w:pPr>
        <w:pStyle w:val="24"/>
        <w:rPr>
          <w:rFonts w:eastAsia="宋体"/>
          <w:strike/>
          <w:sz w:val="24"/>
          <w:szCs w:val="24"/>
          <w:lang w:val="en-US" w:eastAsia="zh-CN"/>
        </w:rPr>
      </w:pPr>
      <w:bookmarkStart w:id="0" w:name="_cp_change_0"/>
    </w:p>
    <w:bookmarkEnd w:id="0"/>
    <w:p w14:paraId="1900511F">
      <w:pPr>
        <w:snapToGrid w:val="0"/>
        <w:jc w:val="center"/>
        <w:rPr>
          <w:rFonts w:ascii="黑体" w:hAnsi="黑体" w:eastAsia="黑体" w:cs="黑体"/>
          <w:b w:val="0"/>
          <w:bCs/>
          <w:sz w:val="36"/>
          <w:szCs w:val="36"/>
        </w:rPr>
      </w:pPr>
      <w:r>
        <w:rPr>
          <w:rFonts w:hint="eastAsia" w:ascii="黑体" w:hAnsi="黑体" w:eastAsia="黑体" w:cs="黑体"/>
          <w:b w:val="0"/>
          <w:bCs/>
          <w:sz w:val="36"/>
          <w:szCs w:val="36"/>
        </w:rPr>
        <w:t>经营者集中简易案件公示表</w:t>
      </w:r>
    </w:p>
    <w:p w14:paraId="7483D3C3">
      <w:pPr>
        <w:snapToGrid w:val="0"/>
        <w:rPr>
          <w:rFonts w:eastAsia="宋体"/>
          <w:b/>
          <w:sz w:val="24"/>
          <w:szCs w:val="24"/>
        </w:rPr>
      </w:pP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1595"/>
        <w:gridCol w:w="5739"/>
      </w:tblGrid>
      <w:tr w14:paraId="14061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861" w:type="dxa"/>
            <w:shd w:val="clear" w:color="auto" w:fill="D9D9D9"/>
            <w:vAlign w:val="center"/>
          </w:tcPr>
          <w:p w14:paraId="20A2E143">
            <w:pPr>
              <w:snapToGrid w:val="0"/>
              <w:rPr>
                <w:rFonts w:ascii="宋体" w:hAnsi="宋体" w:eastAsia="宋体"/>
                <w:b/>
                <w:sz w:val="24"/>
                <w:szCs w:val="24"/>
              </w:rPr>
            </w:pPr>
            <w:r>
              <w:rPr>
                <w:rFonts w:hint="eastAsia" w:ascii="宋体" w:hAnsi="宋体" w:eastAsia="宋体"/>
                <w:b/>
                <w:sz w:val="24"/>
                <w:szCs w:val="24"/>
              </w:rPr>
              <w:t>案件名称</w:t>
            </w:r>
          </w:p>
        </w:tc>
        <w:tc>
          <w:tcPr>
            <w:tcW w:w="3968" w:type="pct"/>
            <w:gridSpan w:val="2"/>
            <w:vAlign w:val="center"/>
          </w:tcPr>
          <w:p w14:paraId="23A88BC0">
            <w:pPr>
              <w:widowControl/>
              <w:snapToGrid w:val="0"/>
              <w:rPr>
                <w:rFonts w:ascii="宋体" w:hAnsi="宋体" w:eastAsia="宋体"/>
                <w:sz w:val="24"/>
                <w:szCs w:val="24"/>
              </w:rPr>
            </w:pPr>
            <w:r>
              <w:rPr>
                <w:rFonts w:ascii="宋体" w:hAnsi="宋体" w:eastAsia="宋体"/>
                <w:sz w:val="24"/>
                <w:szCs w:val="24"/>
              </w:rPr>
              <w:t>GBL公众有限公司收购锐康迪化学与制药工业股份公司股权案</w:t>
            </w:r>
          </w:p>
        </w:tc>
      </w:tr>
      <w:tr w14:paraId="47315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61" w:type="dxa"/>
            <w:shd w:val="clear" w:color="auto" w:fill="D9D9D9"/>
            <w:vAlign w:val="center"/>
          </w:tcPr>
          <w:p w14:paraId="715CBA9D">
            <w:pPr>
              <w:snapToGrid w:val="0"/>
              <w:rPr>
                <w:rFonts w:ascii="宋体" w:hAnsi="宋体" w:eastAsia="宋体"/>
                <w:kern w:val="0"/>
                <w:sz w:val="24"/>
                <w:szCs w:val="24"/>
              </w:rPr>
            </w:pPr>
            <w:r>
              <w:rPr>
                <w:rFonts w:hint="eastAsia" w:ascii="宋体" w:hAnsi="宋体" w:eastAsia="宋体"/>
                <w:b/>
                <w:bCs/>
                <w:kern w:val="0"/>
                <w:sz w:val="24"/>
                <w:szCs w:val="24"/>
              </w:rPr>
              <w:t>交易概况（限</w:t>
            </w:r>
            <w:r>
              <w:rPr>
                <w:rFonts w:ascii="宋体" w:hAnsi="宋体" w:eastAsia="宋体"/>
                <w:b/>
                <w:bCs/>
                <w:kern w:val="0"/>
                <w:sz w:val="24"/>
                <w:szCs w:val="24"/>
              </w:rPr>
              <w:t>200字内）</w:t>
            </w:r>
          </w:p>
        </w:tc>
        <w:tc>
          <w:tcPr>
            <w:tcW w:w="3968" w:type="pct"/>
            <w:gridSpan w:val="2"/>
          </w:tcPr>
          <w:p w14:paraId="57BEA0F2">
            <w:pPr>
              <w:snapToGrid w:val="0"/>
              <w:ind w:firstLine="480" w:firstLineChars="200"/>
              <w:rPr>
                <w:rFonts w:ascii="宋体" w:hAnsi="宋体" w:eastAsia="宋体"/>
                <w:b/>
                <w:bCs/>
                <w:i/>
                <w:iCs/>
                <w:kern w:val="0"/>
                <w:sz w:val="24"/>
                <w:szCs w:val="24"/>
              </w:rPr>
            </w:pPr>
            <w:r>
              <w:rPr>
                <w:rFonts w:hint="eastAsia" w:ascii="宋体" w:hAnsi="宋体" w:eastAsia="宋体"/>
                <w:kern w:val="0"/>
                <w:sz w:val="24"/>
                <w:szCs w:val="24"/>
              </w:rPr>
              <w:t>GBL公众有限公司（“</w:t>
            </w:r>
            <w:r>
              <w:rPr>
                <w:rFonts w:hint="eastAsia" w:ascii="宋体" w:hAnsi="宋体" w:eastAsia="宋体"/>
                <w:b/>
                <w:bCs/>
                <w:kern w:val="0"/>
                <w:sz w:val="24"/>
                <w:szCs w:val="24"/>
              </w:rPr>
              <w:t>GBL</w:t>
            </w:r>
            <w:r>
              <w:rPr>
                <w:rFonts w:hint="eastAsia" w:ascii="宋体" w:hAnsi="宋体" w:eastAsia="宋体"/>
                <w:kern w:val="0"/>
                <w:sz w:val="24"/>
                <w:szCs w:val="24"/>
              </w:rPr>
              <w:t>”）与由</w:t>
            </w:r>
            <w:r>
              <w:rPr>
                <w:rFonts w:ascii="宋体" w:hAnsi="宋体" w:eastAsia="宋体"/>
                <w:kern w:val="0"/>
                <w:sz w:val="24"/>
                <w:szCs w:val="24"/>
              </w:rPr>
              <w:t>熙维资本合伙有限公司</w:t>
            </w:r>
            <w:r>
              <w:rPr>
                <w:rFonts w:hint="eastAsia" w:ascii="宋体" w:hAnsi="宋体" w:eastAsia="宋体"/>
                <w:kern w:val="0"/>
                <w:sz w:val="24"/>
                <w:szCs w:val="24"/>
              </w:rPr>
              <w:t>（“</w:t>
            </w:r>
            <w:r>
              <w:rPr>
                <w:rFonts w:hint="eastAsia" w:ascii="宋体" w:hAnsi="宋体" w:eastAsia="宋体"/>
                <w:b/>
                <w:bCs/>
                <w:kern w:val="0"/>
                <w:sz w:val="24"/>
                <w:szCs w:val="24"/>
              </w:rPr>
              <w:t>熙维资本</w:t>
            </w:r>
            <w:r>
              <w:rPr>
                <w:rFonts w:hint="eastAsia" w:ascii="宋体" w:hAnsi="宋体" w:eastAsia="宋体"/>
                <w:kern w:val="0"/>
                <w:sz w:val="24"/>
                <w:szCs w:val="24"/>
              </w:rPr>
              <w:t>”）管理及/或提供咨询的若干基金及投资工具（“</w:t>
            </w:r>
            <w:r>
              <w:rPr>
                <w:rFonts w:hint="eastAsia" w:ascii="宋体" w:hAnsi="宋体" w:eastAsia="宋体"/>
                <w:b/>
                <w:bCs/>
                <w:kern w:val="0"/>
                <w:sz w:val="24"/>
                <w:szCs w:val="24"/>
              </w:rPr>
              <w:t>熙维基金</w:t>
            </w:r>
            <w:r>
              <w:rPr>
                <w:rFonts w:hint="eastAsia" w:ascii="宋体" w:hAnsi="宋体" w:eastAsia="宋体"/>
                <w:kern w:val="0"/>
                <w:sz w:val="24"/>
                <w:szCs w:val="24"/>
              </w:rPr>
              <w:t>”）将以公开要约收购的方式，间接收购</w:t>
            </w:r>
            <w:r>
              <w:rPr>
                <w:rFonts w:ascii="宋体" w:hAnsi="宋体" w:eastAsia="宋体"/>
                <w:sz w:val="24"/>
                <w:szCs w:val="24"/>
              </w:rPr>
              <w:t>锐康迪</w:t>
            </w:r>
            <w:bookmarkStart w:id="2" w:name="_GoBack"/>
            <w:bookmarkEnd w:id="2"/>
            <w:r>
              <w:rPr>
                <w:rFonts w:ascii="宋体" w:hAnsi="宋体" w:eastAsia="宋体"/>
                <w:sz w:val="24"/>
                <w:szCs w:val="24"/>
              </w:rPr>
              <w:t>化学与制药工业股份公司</w:t>
            </w:r>
            <w:r>
              <w:rPr>
                <w:rFonts w:hint="eastAsia" w:ascii="宋体" w:hAnsi="宋体" w:eastAsia="宋体"/>
                <w:kern w:val="0"/>
                <w:sz w:val="24"/>
                <w:szCs w:val="24"/>
              </w:rPr>
              <w:t>（“</w:t>
            </w:r>
            <w:r>
              <w:rPr>
                <w:rFonts w:ascii="宋体" w:hAnsi="宋体" w:eastAsia="宋体"/>
                <w:b/>
                <w:bCs/>
                <w:sz w:val="24"/>
                <w:szCs w:val="24"/>
              </w:rPr>
              <w:t>锐康迪</w:t>
            </w:r>
            <w:r>
              <w:rPr>
                <w:rFonts w:hint="eastAsia" w:ascii="宋体" w:hAnsi="宋体" w:eastAsia="宋体"/>
                <w:kern w:val="0"/>
                <w:sz w:val="24"/>
                <w:szCs w:val="24"/>
              </w:rPr>
              <w:t>”）全部已发行普通股。</w:t>
            </w:r>
            <w:r>
              <w:rPr>
                <w:rFonts w:ascii="宋体" w:hAnsi="宋体" w:eastAsia="宋体"/>
                <w:sz w:val="24"/>
                <w:szCs w:val="24"/>
              </w:rPr>
              <w:t>锐康迪主要</w:t>
            </w:r>
            <w:r>
              <w:rPr>
                <w:rFonts w:hint="eastAsia" w:ascii="宋体" w:hAnsi="宋体" w:eastAsia="宋体"/>
                <w:sz w:val="24"/>
                <w:szCs w:val="24"/>
              </w:rPr>
              <w:t>从事</w:t>
            </w:r>
            <w:r>
              <w:rPr>
                <w:rFonts w:ascii="宋体" w:hAnsi="宋体" w:eastAsia="宋体"/>
                <w:sz w:val="24"/>
                <w:szCs w:val="24"/>
              </w:rPr>
              <w:t>研发、生产及销售用于常规治疗和专科治疗用药及罕见病治疗药物</w:t>
            </w:r>
            <w:r>
              <w:rPr>
                <w:rFonts w:hint="eastAsia" w:ascii="宋体" w:hAnsi="宋体" w:eastAsia="宋体"/>
                <w:sz w:val="24"/>
                <w:szCs w:val="24"/>
              </w:rPr>
              <w:t>业务</w:t>
            </w:r>
            <w:r>
              <w:rPr>
                <w:rFonts w:hint="eastAsia" w:ascii="宋体" w:hAnsi="宋体" w:eastAsia="宋体"/>
                <w:kern w:val="0"/>
                <w:sz w:val="24"/>
                <w:szCs w:val="24"/>
              </w:rPr>
              <w:t>。交易前，熙维基金间接持有</w:t>
            </w:r>
            <w:r>
              <w:rPr>
                <w:rFonts w:ascii="宋体" w:hAnsi="宋体" w:eastAsia="宋体"/>
                <w:sz w:val="24"/>
                <w:szCs w:val="24"/>
              </w:rPr>
              <w:t>锐康迪</w:t>
            </w:r>
            <w:r>
              <w:rPr>
                <w:rFonts w:hint="eastAsia" w:ascii="宋体" w:hAnsi="宋体" w:eastAsia="宋体"/>
                <w:sz w:val="24"/>
                <w:szCs w:val="24"/>
              </w:rPr>
              <w:t>约</w:t>
            </w:r>
            <w:r>
              <w:rPr>
                <w:rFonts w:hint="eastAsia" w:ascii="宋体" w:hAnsi="宋体" w:eastAsia="宋体"/>
                <w:kern w:val="0"/>
                <w:sz w:val="24"/>
                <w:szCs w:val="24"/>
              </w:rPr>
              <w:t>47%的股份，单独控制</w:t>
            </w:r>
            <w:r>
              <w:rPr>
                <w:rFonts w:ascii="宋体" w:hAnsi="宋体" w:eastAsia="宋体"/>
                <w:sz w:val="24"/>
                <w:szCs w:val="24"/>
              </w:rPr>
              <w:t>锐康迪</w:t>
            </w:r>
            <w:r>
              <w:rPr>
                <w:rFonts w:hint="eastAsia" w:ascii="宋体" w:hAnsi="宋体" w:eastAsia="宋体"/>
                <w:kern w:val="0"/>
                <w:sz w:val="24"/>
                <w:szCs w:val="24"/>
              </w:rPr>
              <w:t>。交易后，GBL与熙维基金将分别间接持有</w:t>
            </w:r>
            <w:r>
              <w:rPr>
                <w:rFonts w:ascii="宋体" w:hAnsi="宋体" w:eastAsia="宋体"/>
                <w:sz w:val="24"/>
                <w:szCs w:val="24"/>
              </w:rPr>
              <w:t>锐康迪</w:t>
            </w:r>
            <w:r>
              <w:rPr>
                <w:rFonts w:hint="eastAsia" w:ascii="宋体" w:hAnsi="宋体" w:eastAsia="宋体"/>
                <w:sz w:val="24"/>
                <w:szCs w:val="24"/>
              </w:rPr>
              <w:t>约30</w:t>
            </w:r>
            <w:r>
              <w:rPr>
                <w:rFonts w:hint="eastAsia" w:ascii="宋体" w:hAnsi="宋体" w:eastAsia="宋体"/>
                <w:kern w:val="0"/>
                <w:sz w:val="24"/>
                <w:szCs w:val="24"/>
              </w:rPr>
              <w:t>%和约70</w:t>
            </w:r>
            <w:r>
              <w:rPr>
                <w:rFonts w:ascii="宋体" w:hAnsi="宋体" w:eastAsia="宋体"/>
                <w:kern w:val="0"/>
                <w:sz w:val="24"/>
                <w:szCs w:val="24"/>
              </w:rPr>
              <w:t>%</w:t>
            </w:r>
            <w:r>
              <w:rPr>
                <w:rFonts w:hint="eastAsia" w:ascii="宋体" w:hAnsi="宋体" w:eastAsia="宋体"/>
                <w:kern w:val="0"/>
                <w:sz w:val="24"/>
                <w:szCs w:val="24"/>
              </w:rPr>
              <w:t>的股份，共同控制</w:t>
            </w:r>
            <w:r>
              <w:rPr>
                <w:rFonts w:ascii="宋体" w:hAnsi="宋体" w:eastAsia="宋体"/>
                <w:sz w:val="24"/>
                <w:szCs w:val="24"/>
              </w:rPr>
              <w:t>锐康迪</w:t>
            </w:r>
            <w:r>
              <w:rPr>
                <w:rFonts w:hint="eastAsia" w:ascii="宋体" w:hAnsi="宋体" w:eastAsia="宋体"/>
                <w:kern w:val="0"/>
                <w:sz w:val="24"/>
                <w:szCs w:val="24"/>
              </w:rPr>
              <w:t>。</w:t>
            </w:r>
          </w:p>
        </w:tc>
      </w:tr>
      <w:tr w14:paraId="37F15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861" w:type="dxa"/>
            <w:vMerge w:val="restart"/>
            <w:shd w:val="clear" w:color="auto" w:fill="D9D9D9"/>
            <w:vAlign w:val="center"/>
          </w:tcPr>
          <w:p w14:paraId="5404B167">
            <w:pPr>
              <w:snapToGrid w:val="0"/>
              <w:rPr>
                <w:rFonts w:ascii="宋体" w:hAnsi="宋体" w:eastAsia="宋体"/>
                <w:b/>
                <w:sz w:val="24"/>
                <w:szCs w:val="24"/>
              </w:rPr>
            </w:pPr>
            <w:r>
              <w:rPr>
                <w:rFonts w:ascii="宋体" w:hAnsi="宋体" w:eastAsia="宋体"/>
                <w:b/>
                <w:sz w:val="24"/>
                <w:szCs w:val="24"/>
              </w:rPr>
              <w:t>参与集中的经营者</w:t>
            </w:r>
            <w:r>
              <w:rPr>
                <w:rFonts w:hint="eastAsia" w:ascii="宋体" w:hAnsi="宋体" w:eastAsia="宋体"/>
                <w:b/>
                <w:sz w:val="24"/>
                <w:szCs w:val="24"/>
              </w:rPr>
              <w:t>简介（每个限</w:t>
            </w:r>
            <w:r>
              <w:rPr>
                <w:rFonts w:ascii="宋体" w:hAnsi="宋体" w:eastAsia="宋体"/>
                <w:b/>
                <w:sz w:val="24"/>
                <w:szCs w:val="24"/>
              </w:rPr>
              <w:t>100字以内）</w:t>
            </w:r>
          </w:p>
        </w:tc>
        <w:tc>
          <w:tcPr>
            <w:tcW w:w="863" w:type="pct"/>
          </w:tcPr>
          <w:p w14:paraId="53169A74">
            <w:pPr>
              <w:snapToGrid w:val="0"/>
              <w:rPr>
                <w:rFonts w:ascii="宋体" w:hAnsi="宋体" w:eastAsia="宋体"/>
                <w:kern w:val="0"/>
                <w:sz w:val="24"/>
                <w:szCs w:val="24"/>
              </w:rPr>
            </w:pPr>
            <w:r>
              <w:rPr>
                <w:rFonts w:ascii="宋体" w:hAnsi="宋体" w:eastAsia="宋体"/>
                <w:kern w:val="0"/>
                <w:sz w:val="24"/>
                <w:szCs w:val="24"/>
              </w:rPr>
              <w:t>1.</w:t>
            </w:r>
            <w:r>
              <w:rPr>
                <w:rFonts w:hint="eastAsia" w:ascii="宋体" w:hAnsi="宋体" w:eastAsia="宋体"/>
                <w:kern w:val="0"/>
                <w:sz w:val="24"/>
                <w:szCs w:val="24"/>
              </w:rPr>
              <w:t xml:space="preserve"> </w:t>
            </w:r>
            <w:r>
              <w:rPr>
                <w:rFonts w:ascii="宋体" w:hAnsi="宋体" w:eastAsia="宋体"/>
                <w:kern w:val="0"/>
                <w:sz w:val="24"/>
                <w:szCs w:val="24"/>
              </w:rPr>
              <w:t>GBL</w:t>
            </w:r>
          </w:p>
        </w:tc>
        <w:tc>
          <w:tcPr>
            <w:tcW w:w="3105" w:type="pct"/>
          </w:tcPr>
          <w:p w14:paraId="020BD5B3">
            <w:pPr>
              <w:snapToGrid w:val="0"/>
              <w:ind w:firstLine="480" w:firstLineChars="200"/>
              <w:rPr>
                <w:rFonts w:ascii="宋体" w:hAnsi="宋体" w:eastAsia="宋体" w:cs="楷体"/>
                <w:sz w:val="24"/>
                <w:szCs w:val="24"/>
              </w:rPr>
            </w:pPr>
            <w:r>
              <w:rPr>
                <w:rFonts w:ascii="宋体" w:hAnsi="宋体" w:eastAsia="宋体" w:cs="楷体"/>
                <w:sz w:val="24"/>
                <w:szCs w:val="24"/>
              </w:rPr>
              <w:t>GBL于1902年1月10日</w:t>
            </w:r>
            <w:r>
              <w:rPr>
                <w:rFonts w:hint="eastAsia" w:ascii="宋体" w:hAnsi="宋体" w:eastAsia="宋体" w:cs="楷体"/>
                <w:sz w:val="24"/>
                <w:szCs w:val="24"/>
              </w:rPr>
              <w:t>成立于</w:t>
            </w:r>
            <w:r>
              <w:rPr>
                <w:rFonts w:ascii="宋体" w:hAnsi="宋体" w:eastAsia="宋体" w:cs="楷体"/>
                <w:sz w:val="24"/>
                <w:szCs w:val="24"/>
              </w:rPr>
              <w:t>比利时，在泛欧交易所布鲁塞尔证券交易所上市。</w:t>
            </w:r>
            <w:r>
              <w:rPr>
                <w:rFonts w:hint="eastAsia" w:ascii="宋体" w:hAnsi="宋体" w:eastAsia="宋体" w:cs="楷体"/>
                <w:sz w:val="24"/>
                <w:szCs w:val="24"/>
              </w:rPr>
              <w:t>GBL</w:t>
            </w:r>
            <w:r>
              <w:rPr>
                <w:rFonts w:ascii="宋体" w:hAnsi="宋体" w:eastAsia="宋体" w:cs="楷体"/>
                <w:sz w:val="24"/>
                <w:szCs w:val="24"/>
              </w:rPr>
              <w:t>是一家投资控股公司，总部位于比利时布鲁塞尔，投资于全球多个行业的</w:t>
            </w:r>
            <w:r>
              <w:rPr>
                <w:rFonts w:hint="eastAsia" w:ascii="宋体" w:hAnsi="宋体" w:eastAsia="宋体" w:cs="楷体"/>
                <w:sz w:val="24"/>
                <w:szCs w:val="24"/>
              </w:rPr>
              <w:t>公司</w:t>
            </w:r>
            <w:r>
              <w:rPr>
                <w:rFonts w:ascii="宋体" w:hAnsi="宋体" w:eastAsia="宋体" w:cs="楷体"/>
                <w:sz w:val="24"/>
                <w:szCs w:val="24"/>
              </w:rPr>
              <w:t>，这些公司总部</w:t>
            </w:r>
            <w:r>
              <w:rPr>
                <w:rFonts w:hint="eastAsia" w:ascii="宋体" w:hAnsi="宋体" w:eastAsia="宋体" w:cs="楷体"/>
                <w:sz w:val="24"/>
                <w:szCs w:val="24"/>
              </w:rPr>
              <w:t>主要</w:t>
            </w:r>
            <w:r>
              <w:rPr>
                <w:rFonts w:ascii="宋体" w:hAnsi="宋体" w:eastAsia="宋体" w:cs="楷体"/>
                <w:sz w:val="24"/>
                <w:szCs w:val="24"/>
              </w:rPr>
              <w:t>位于欧洲。</w:t>
            </w:r>
          </w:p>
          <w:p w14:paraId="18D82ADF">
            <w:pPr>
              <w:snapToGrid w:val="0"/>
              <w:ind w:firstLine="480" w:firstLineChars="200"/>
              <w:rPr>
                <w:rFonts w:ascii="宋体" w:hAnsi="宋体" w:eastAsia="宋体"/>
                <w:i/>
                <w:sz w:val="24"/>
                <w:szCs w:val="24"/>
              </w:rPr>
            </w:pPr>
            <w:r>
              <w:rPr>
                <w:rFonts w:ascii="宋体" w:hAnsi="宋体" w:eastAsia="宋体" w:cs="楷体"/>
                <w:sz w:val="24"/>
                <w:szCs w:val="24"/>
              </w:rPr>
              <w:t>GBL最终由自然人控制，</w:t>
            </w:r>
            <w:r>
              <w:rPr>
                <w:rFonts w:hint="eastAsia" w:ascii="宋体" w:hAnsi="宋体" w:eastAsia="宋体" w:cs="楷体"/>
                <w:sz w:val="24"/>
                <w:szCs w:val="24"/>
              </w:rPr>
              <w:t>其</w:t>
            </w:r>
            <w:r>
              <w:rPr>
                <w:rFonts w:ascii="宋体" w:hAnsi="宋体" w:eastAsia="宋体" w:cs="楷体"/>
                <w:sz w:val="24"/>
                <w:szCs w:val="24"/>
              </w:rPr>
              <w:t>主要</w:t>
            </w:r>
            <w:r>
              <w:rPr>
                <w:rFonts w:hint="eastAsia" w:ascii="宋体" w:hAnsi="宋体" w:eastAsia="宋体" w:cs="楷体"/>
                <w:sz w:val="24"/>
                <w:szCs w:val="24"/>
              </w:rPr>
              <w:t>从事多元化行业</w:t>
            </w:r>
            <w:r>
              <w:rPr>
                <w:rFonts w:ascii="宋体" w:hAnsi="宋体" w:eastAsia="宋体" w:cs="楷体"/>
                <w:sz w:val="24"/>
                <w:szCs w:val="24"/>
              </w:rPr>
              <w:t>的投资，包括多媒体、广告、资产管理或可再生能源领域。</w:t>
            </w:r>
          </w:p>
        </w:tc>
      </w:tr>
      <w:tr w14:paraId="75793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032" w:type="pct"/>
            <w:vMerge w:val="continue"/>
            <w:shd w:val="clear" w:color="auto" w:fill="D9D9D9"/>
            <w:vAlign w:val="center"/>
          </w:tcPr>
          <w:p w14:paraId="4196B284">
            <w:pPr>
              <w:snapToGrid w:val="0"/>
              <w:rPr>
                <w:rFonts w:ascii="宋体" w:hAnsi="宋体" w:eastAsia="宋体"/>
                <w:b/>
                <w:sz w:val="24"/>
                <w:szCs w:val="24"/>
              </w:rPr>
            </w:pPr>
          </w:p>
        </w:tc>
        <w:tc>
          <w:tcPr>
            <w:tcW w:w="863" w:type="pct"/>
          </w:tcPr>
          <w:p w14:paraId="4D4B389C">
            <w:pPr>
              <w:snapToGrid w:val="0"/>
              <w:rPr>
                <w:rFonts w:ascii="宋体" w:hAnsi="宋体" w:eastAsia="宋体"/>
                <w:kern w:val="0"/>
                <w:sz w:val="24"/>
                <w:szCs w:val="24"/>
              </w:rPr>
            </w:pPr>
            <w:r>
              <w:rPr>
                <w:rFonts w:ascii="宋体" w:hAnsi="宋体" w:eastAsia="宋体"/>
                <w:kern w:val="0"/>
                <w:sz w:val="24"/>
                <w:szCs w:val="24"/>
              </w:rPr>
              <w:t>2.</w:t>
            </w:r>
            <w:r>
              <w:rPr>
                <w:rFonts w:hint="eastAsia" w:ascii="宋体" w:hAnsi="宋体" w:eastAsia="宋体"/>
                <w:kern w:val="0"/>
                <w:sz w:val="24"/>
                <w:szCs w:val="24"/>
              </w:rPr>
              <w:t xml:space="preserve"> 熙维资本</w:t>
            </w:r>
          </w:p>
        </w:tc>
        <w:tc>
          <w:tcPr>
            <w:tcW w:w="3105" w:type="pct"/>
          </w:tcPr>
          <w:p w14:paraId="2B25CA81">
            <w:pPr>
              <w:snapToGrid w:val="0"/>
              <w:ind w:firstLine="480" w:firstLineChars="200"/>
              <w:rPr>
                <w:rFonts w:ascii="宋体" w:hAnsi="宋体" w:eastAsia="宋体"/>
                <w:sz w:val="24"/>
                <w:szCs w:val="24"/>
              </w:rPr>
            </w:pPr>
            <w:bookmarkStart w:id="1" w:name="OLE_LINK2"/>
            <w:r>
              <w:rPr>
                <w:rFonts w:ascii="宋体" w:hAnsi="宋体" w:eastAsia="宋体"/>
                <w:kern w:val="0"/>
                <w:sz w:val="24"/>
                <w:szCs w:val="24"/>
              </w:rPr>
              <w:t>熙维资本于</w:t>
            </w:r>
            <w:r>
              <w:rPr>
                <w:rFonts w:ascii="宋体" w:hAnsi="宋体" w:eastAsia="宋体"/>
                <w:sz w:val="24"/>
                <w:szCs w:val="24"/>
              </w:rPr>
              <w:t>2021年12月21日</w:t>
            </w:r>
            <w:r>
              <w:rPr>
                <w:rFonts w:hint="eastAsia" w:ascii="宋体" w:hAnsi="宋体" w:eastAsia="宋体"/>
                <w:sz w:val="24"/>
                <w:szCs w:val="24"/>
              </w:rPr>
              <w:t>成立于</w:t>
            </w:r>
            <w:r>
              <w:rPr>
                <w:rFonts w:ascii="宋体" w:hAnsi="宋体" w:eastAsia="宋体"/>
                <w:sz w:val="24"/>
                <w:szCs w:val="24"/>
              </w:rPr>
              <w:t>泽西岛，</w:t>
            </w:r>
            <w:r>
              <w:rPr>
                <w:rFonts w:hint="eastAsia" w:ascii="宋体" w:hAnsi="宋体" w:eastAsia="宋体"/>
                <w:sz w:val="24"/>
                <w:szCs w:val="24"/>
              </w:rPr>
              <w:t>为</w:t>
            </w:r>
            <w:r>
              <w:rPr>
                <w:rFonts w:ascii="宋体" w:hAnsi="宋体" w:eastAsia="宋体"/>
                <w:sz w:val="24"/>
                <w:szCs w:val="24"/>
              </w:rPr>
              <w:t>阿姆斯特丹泛欧证券交易所上市</w:t>
            </w:r>
            <w:r>
              <w:rPr>
                <w:rFonts w:hint="eastAsia" w:ascii="宋体" w:hAnsi="宋体" w:eastAsia="宋体"/>
                <w:sz w:val="24"/>
                <w:szCs w:val="24"/>
              </w:rPr>
              <w:t>公司，熙维资本及其各时期特定子公司的主要业务为向特定基金和投资工具提供投资建议和</w:t>
            </w:r>
            <w:r>
              <w:rPr>
                <w:rFonts w:ascii="宋体" w:hAnsi="宋体" w:eastAsia="宋体"/>
                <w:sz w:val="24"/>
                <w:szCs w:val="24"/>
              </w:rPr>
              <w:t>/</w:t>
            </w:r>
            <w:r>
              <w:rPr>
                <w:rFonts w:hint="eastAsia" w:ascii="宋体" w:hAnsi="宋体" w:eastAsia="宋体"/>
                <w:sz w:val="24"/>
                <w:szCs w:val="24"/>
              </w:rPr>
              <w:t>或代表其管理投资，熙维基金持有全球多个行业的多家公司的股权，领域涉及金融服务、化工、公共事业、制造业、零售和分销。</w:t>
            </w:r>
          </w:p>
          <w:p w14:paraId="60714BE3">
            <w:pPr>
              <w:snapToGrid w:val="0"/>
              <w:ind w:firstLine="480" w:firstLineChars="200"/>
              <w:rPr>
                <w:rFonts w:ascii="宋体" w:hAnsi="宋体" w:eastAsia="宋体"/>
                <w:sz w:val="24"/>
                <w:szCs w:val="24"/>
              </w:rPr>
            </w:pPr>
            <w:r>
              <w:rPr>
                <w:rFonts w:ascii="宋体" w:hAnsi="宋体" w:eastAsia="宋体"/>
                <w:sz w:val="24"/>
                <w:szCs w:val="24"/>
              </w:rPr>
              <w:t>熙维资本</w:t>
            </w:r>
            <w:r>
              <w:rPr>
                <w:rFonts w:hint="eastAsia" w:ascii="宋体" w:hAnsi="宋体" w:eastAsia="宋体"/>
                <w:sz w:val="24"/>
                <w:szCs w:val="24"/>
              </w:rPr>
              <w:t>无最终控制人。</w:t>
            </w:r>
            <w:bookmarkEnd w:id="1"/>
          </w:p>
        </w:tc>
      </w:tr>
      <w:tr w14:paraId="120F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1" w:type="dxa"/>
            <w:vMerge w:val="restart"/>
            <w:shd w:val="clear" w:color="auto" w:fill="D9D9D9"/>
            <w:vAlign w:val="center"/>
          </w:tcPr>
          <w:p w14:paraId="2F1743ED">
            <w:pPr>
              <w:snapToGrid w:val="0"/>
              <w:rPr>
                <w:rFonts w:ascii="宋体" w:hAnsi="宋体" w:eastAsia="宋体"/>
                <w:b/>
                <w:sz w:val="24"/>
                <w:szCs w:val="24"/>
              </w:rPr>
            </w:pPr>
            <w:r>
              <w:rPr>
                <w:rFonts w:hint="eastAsia" w:ascii="宋体" w:hAnsi="宋体" w:eastAsia="宋体"/>
                <w:b/>
                <w:sz w:val="24"/>
                <w:szCs w:val="24"/>
              </w:rPr>
              <w:t>简易案件理由</w:t>
            </w:r>
          </w:p>
          <w:p w14:paraId="1A567287">
            <w:pPr>
              <w:snapToGrid w:val="0"/>
              <w:rPr>
                <w:rFonts w:ascii="宋体" w:hAnsi="宋体" w:eastAsia="宋体"/>
                <w:b/>
                <w:sz w:val="24"/>
                <w:szCs w:val="24"/>
              </w:rPr>
            </w:pPr>
            <w:r>
              <w:rPr>
                <w:rFonts w:hint="eastAsia" w:ascii="宋体" w:hAnsi="宋体" w:eastAsia="宋体"/>
                <w:b/>
                <w:sz w:val="24"/>
                <w:szCs w:val="24"/>
              </w:rPr>
              <w:t>（可以单选，也</w:t>
            </w:r>
          </w:p>
          <w:p w14:paraId="46541DBE">
            <w:pPr>
              <w:snapToGrid w:val="0"/>
              <w:rPr>
                <w:rFonts w:ascii="宋体" w:hAnsi="宋体" w:eastAsia="宋体"/>
                <w:b/>
                <w:sz w:val="24"/>
                <w:szCs w:val="24"/>
              </w:rPr>
            </w:pPr>
            <w:r>
              <w:rPr>
                <w:rFonts w:hint="eastAsia" w:ascii="宋体" w:hAnsi="宋体" w:eastAsia="宋体"/>
                <w:b/>
                <w:sz w:val="24"/>
                <w:szCs w:val="24"/>
              </w:rPr>
              <w:t>可以多选）</w:t>
            </w:r>
          </w:p>
        </w:tc>
        <w:tc>
          <w:tcPr>
            <w:tcW w:w="7155" w:type="dxa"/>
            <w:gridSpan w:val="2"/>
          </w:tcPr>
          <w:p w14:paraId="2405EADA">
            <w:pPr>
              <w:tabs>
                <w:tab w:val="left" w:pos="269"/>
              </w:tabs>
              <w:snapToGrid w:val="0"/>
              <w:rPr>
                <w:rFonts w:ascii="宋体" w:hAnsi="宋体" w:eastAsia="宋体"/>
                <w:sz w:val="24"/>
                <w:szCs w:val="24"/>
              </w:rPr>
            </w:pPr>
            <w:r>
              <w:rPr>
                <w:rFonts w:ascii="宋体" w:hAnsi="宋体" w:eastAsia="宋体"/>
                <w:sz w:val="24"/>
                <w:szCs w:val="24"/>
                <w:lang w:val="en-GB"/>
              </w:rPr>
              <w:sym w:font="Wingdings" w:char="F0A8"/>
            </w:r>
            <w:r>
              <w:rPr>
                <w:rFonts w:ascii="宋体" w:hAnsi="宋体" w:eastAsia="宋体"/>
                <w:sz w:val="24"/>
                <w:szCs w:val="24"/>
              </w:rPr>
              <w:t>1.在同一相关市场，参与集中的经营者所占的市场份额之和小于15%</w:t>
            </w:r>
            <w:r>
              <w:rPr>
                <w:rFonts w:hint="eastAsia" w:ascii="宋体" w:hAnsi="宋体" w:eastAsia="宋体"/>
                <w:sz w:val="24"/>
                <w:szCs w:val="24"/>
              </w:rPr>
              <w:t>。</w:t>
            </w:r>
          </w:p>
        </w:tc>
      </w:tr>
      <w:tr w14:paraId="345AF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pct"/>
            <w:vMerge w:val="continue"/>
            <w:shd w:val="clear" w:color="auto" w:fill="D9D9D9"/>
            <w:vAlign w:val="center"/>
          </w:tcPr>
          <w:p w14:paraId="73A61086">
            <w:pPr>
              <w:snapToGrid w:val="0"/>
              <w:rPr>
                <w:rFonts w:ascii="宋体" w:hAnsi="宋体" w:eastAsia="宋体"/>
                <w:b/>
                <w:sz w:val="24"/>
                <w:szCs w:val="24"/>
              </w:rPr>
            </w:pPr>
          </w:p>
        </w:tc>
        <w:tc>
          <w:tcPr>
            <w:tcW w:w="7155" w:type="dxa"/>
            <w:gridSpan w:val="2"/>
          </w:tcPr>
          <w:p w14:paraId="44D4D778">
            <w:pPr>
              <w:tabs>
                <w:tab w:val="left" w:pos="269"/>
              </w:tabs>
              <w:snapToGrid w:val="0"/>
              <w:rPr>
                <w:rFonts w:ascii="宋体" w:hAnsi="宋体" w:eastAsia="宋体"/>
                <w:sz w:val="24"/>
                <w:szCs w:val="24"/>
              </w:rPr>
            </w:pPr>
            <w:r>
              <w:rPr>
                <w:rFonts w:ascii="宋体" w:hAnsi="宋体" w:eastAsia="宋体"/>
                <w:sz w:val="24"/>
                <w:szCs w:val="24"/>
                <w:lang w:val="en-GB"/>
              </w:rPr>
              <w:sym w:font="Wingdings" w:char="F0A8"/>
            </w:r>
            <w:r>
              <w:rPr>
                <w:rFonts w:ascii="宋体" w:hAnsi="宋体" w:eastAsia="宋体"/>
                <w:sz w:val="24"/>
                <w:szCs w:val="24"/>
              </w:rPr>
              <w:t>2.在上下游市场，参与集中的经营者所占的市场份额均小于25%</w:t>
            </w:r>
            <w:r>
              <w:rPr>
                <w:rFonts w:hint="eastAsia" w:ascii="宋体" w:hAnsi="宋体" w:eastAsia="宋体"/>
                <w:sz w:val="24"/>
                <w:szCs w:val="24"/>
              </w:rPr>
              <w:t>。</w:t>
            </w:r>
          </w:p>
        </w:tc>
      </w:tr>
      <w:tr w14:paraId="15038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pct"/>
            <w:vMerge w:val="continue"/>
            <w:shd w:val="clear" w:color="auto" w:fill="D9D9D9"/>
            <w:vAlign w:val="center"/>
          </w:tcPr>
          <w:p w14:paraId="215911E5">
            <w:pPr>
              <w:snapToGrid w:val="0"/>
              <w:rPr>
                <w:rFonts w:ascii="宋体" w:hAnsi="宋体" w:eastAsia="宋体"/>
                <w:b/>
                <w:sz w:val="24"/>
                <w:szCs w:val="24"/>
              </w:rPr>
            </w:pPr>
          </w:p>
        </w:tc>
        <w:tc>
          <w:tcPr>
            <w:tcW w:w="7155" w:type="dxa"/>
            <w:gridSpan w:val="2"/>
          </w:tcPr>
          <w:p w14:paraId="71102FB7">
            <w:pPr>
              <w:tabs>
                <w:tab w:val="left" w:pos="269"/>
              </w:tabs>
              <w:snapToGrid w:val="0"/>
              <w:rPr>
                <w:rFonts w:ascii="宋体" w:hAnsi="宋体" w:eastAsia="宋体"/>
                <w:sz w:val="24"/>
                <w:szCs w:val="24"/>
              </w:rPr>
            </w:pPr>
            <w:r>
              <w:rPr>
                <w:rFonts w:ascii="宋体" w:hAnsi="宋体" w:eastAsia="宋体"/>
                <w:sz w:val="24"/>
                <w:szCs w:val="24"/>
              </w:rPr>
              <w:sym w:font="Wingdings" w:char="F0FE"/>
            </w:r>
            <w:r>
              <w:rPr>
                <w:rFonts w:ascii="宋体" w:hAnsi="宋体" w:eastAsia="宋体"/>
                <w:sz w:val="24"/>
                <w:szCs w:val="24"/>
              </w:rPr>
              <w:t>3.不在同一相关市场也不存在上下游关系的参与集中的经营者，在与交易有关的每个市场所占的市场份额均小于25%</w:t>
            </w:r>
            <w:r>
              <w:rPr>
                <w:rFonts w:hint="eastAsia" w:ascii="宋体" w:hAnsi="宋体" w:eastAsia="宋体"/>
                <w:sz w:val="24"/>
                <w:szCs w:val="24"/>
              </w:rPr>
              <w:t>。</w:t>
            </w:r>
          </w:p>
        </w:tc>
      </w:tr>
      <w:tr w14:paraId="5912C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pct"/>
            <w:vMerge w:val="continue"/>
            <w:shd w:val="clear" w:color="auto" w:fill="D9D9D9"/>
            <w:vAlign w:val="center"/>
          </w:tcPr>
          <w:p w14:paraId="42A509FA">
            <w:pPr>
              <w:snapToGrid w:val="0"/>
              <w:rPr>
                <w:rFonts w:ascii="宋体" w:hAnsi="宋体" w:eastAsia="宋体"/>
                <w:b/>
                <w:sz w:val="24"/>
                <w:szCs w:val="24"/>
              </w:rPr>
            </w:pPr>
          </w:p>
        </w:tc>
        <w:tc>
          <w:tcPr>
            <w:tcW w:w="7155" w:type="dxa"/>
            <w:gridSpan w:val="2"/>
          </w:tcPr>
          <w:p w14:paraId="507CA6AB">
            <w:pPr>
              <w:snapToGrid w:val="0"/>
              <w:rPr>
                <w:rFonts w:ascii="宋体" w:hAnsi="宋体" w:eastAsia="宋体"/>
                <w:sz w:val="24"/>
                <w:szCs w:val="24"/>
              </w:rPr>
            </w:pPr>
            <w:r>
              <w:rPr>
                <w:rFonts w:ascii="宋体" w:hAnsi="宋体" w:eastAsia="宋体"/>
                <w:sz w:val="24"/>
                <w:szCs w:val="24"/>
                <w:lang w:val="en-GB"/>
              </w:rPr>
              <w:sym w:font="Wingdings" w:char="F0A8"/>
            </w:r>
            <w:r>
              <w:rPr>
                <w:rFonts w:ascii="宋体" w:hAnsi="宋体" w:eastAsia="宋体"/>
                <w:sz w:val="24"/>
                <w:szCs w:val="24"/>
              </w:rPr>
              <w:t>4.</w:t>
            </w:r>
            <w:r>
              <w:rPr>
                <w:rFonts w:hint="eastAsia" w:ascii="宋体" w:hAnsi="宋体" w:eastAsia="宋体"/>
                <w:sz w:val="24"/>
                <w:szCs w:val="24"/>
              </w:rPr>
              <w:t>参与集中的经营者在中国境外设立合营企业，合营企业不在中国境内从事经济活动。</w:t>
            </w:r>
          </w:p>
        </w:tc>
      </w:tr>
      <w:tr w14:paraId="38807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pct"/>
            <w:vMerge w:val="continue"/>
            <w:shd w:val="clear" w:color="auto" w:fill="D9D9D9"/>
            <w:vAlign w:val="center"/>
          </w:tcPr>
          <w:p w14:paraId="40AAB8BF">
            <w:pPr>
              <w:snapToGrid w:val="0"/>
              <w:rPr>
                <w:rFonts w:ascii="宋体" w:hAnsi="宋体" w:eastAsia="宋体"/>
                <w:b/>
                <w:sz w:val="24"/>
                <w:szCs w:val="24"/>
              </w:rPr>
            </w:pPr>
          </w:p>
        </w:tc>
        <w:tc>
          <w:tcPr>
            <w:tcW w:w="7155" w:type="dxa"/>
            <w:gridSpan w:val="2"/>
          </w:tcPr>
          <w:p w14:paraId="707E4DED">
            <w:pPr>
              <w:snapToGrid w:val="0"/>
              <w:rPr>
                <w:rFonts w:ascii="宋体" w:hAnsi="宋体" w:eastAsia="宋体"/>
                <w:sz w:val="24"/>
                <w:szCs w:val="24"/>
              </w:rPr>
            </w:pPr>
            <w:r>
              <w:rPr>
                <w:rFonts w:ascii="宋体" w:hAnsi="宋体" w:eastAsia="宋体"/>
                <w:sz w:val="24"/>
                <w:szCs w:val="24"/>
                <w:lang w:val="en-GB"/>
              </w:rPr>
              <w:sym w:font="Wingdings" w:char="F0A8"/>
            </w:r>
            <w:r>
              <w:rPr>
                <w:rFonts w:ascii="宋体" w:hAnsi="宋体" w:eastAsia="宋体"/>
                <w:sz w:val="24"/>
                <w:szCs w:val="24"/>
              </w:rPr>
              <w:t>5.参与集中的经营者收购境外企业股权或资产</w:t>
            </w:r>
            <w:r>
              <w:rPr>
                <w:rFonts w:hint="eastAsia" w:ascii="宋体" w:hAnsi="宋体" w:eastAsia="宋体"/>
                <w:sz w:val="24"/>
                <w:szCs w:val="24"/>
              </w:rPr>
              <w:t>的</w:t>
            </w:r>
            <w:r>
              <w:rPr>
                <w:rFonts w:ascii="宋体" w:hAnsi="宋体" w:eastAsia="宋体"/>
                <w:sz w:val="24"/>
                <w:szCs w:val="24"/>
              </w:rPr>
              <w:t>，该境外企业不在中国境内从事经济活动</w:t>
            </w:r>
            <w:r>
              <w:rPr>
                <w:rFonts w:hint="eastAsia" w:ascii="宋体" w:hAnsi="宋体" w:eastAsia="宋体"/>
                <w:sz w:val="24"/>
                <w:szCs w:val="24"/>
              </w:rPr>
              <w:t>。</w:t>
            </w:r>
          </w:p>
        </w:tc>
      </w:tr>
      <w:tr w14:paraId="374AC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pct"/>
            <w:vMerge w:val="continue"/>
            <w:shd w:val="clear" w:color="auto" w:fill="D9D9D9"/>
            <w:vAlign w:val="center"/>
          </w:tcPr>
          <w:p w14:paraId="3325F260">
            <w:pPr>
              <w:snapToGrid w:val="0"/>
              <w:rPr>
                <w:rFonts w:ascii="宋体" w:hAnsi="宋体" w:eastAsia="宋体"/>
                <w:b/>
                <w:sz w:val="24"/>
                <w:szCs w:val="24"/>
              </w:rPr>
            </w:pPr>
          </w:p>
        </w:tc>
        <w:tc>
          <w:tcPr>
            <w:tcW w:w="7155" w:type="dxa"/>
            <w:gridSpan w:val="2"/>
          </w:tcPr>
          <w:p w14:paraId="51D0188D">
            <w:pPr>
              <w:snapToGrid w:val="0"/>
              <w:rPr>
                <w:rFonts w:ascii="宋体" w:hAnsi="宋体" w:eastAsia="宋体"/>
                <w:sz w:val="24"/>
                <w:szCs w:val="24"/>
              </w:rPr>
            </w:pPr>
            <w:r>
              <w:rPr>
                <w:rFonts w:ascii="宋体" w:hAnsi="宋体" w:eastAsia="宋体"/>
                <w:sz w:val="24"/>
                <w:szCs w:val="24"/>
                <w:lang w:val="en-GB"/>
              </w:rPr>
              <w:sym w:font="Wingdings" w:char="F0A8"/>
            </w:r>
            <w:r>
              <w:rPr>
                <w:rFonts w:ascii="宋体" w:hAnsi="宋体" w:eastAsia="宋体"/>
                <w:sz w:val="24"/>
                <w:szCs w:val="24"/>
              </w:rPr>
              <w:t>6.由两个以上</w:t>
            </w:r>
            <w:r>
              <w:rPr>
                <w:rFonts w:hint="eastAsia" w:ascii="宋体" w:hAnsi="宋体" w:eastAsia="宋体"/>
                <w:sz w:val="24"/>
                <w:szCs w:val="24"/>
              </w:rPr>
              <w:t>的</w:t>
            </w:r>
            <w:r>
              <w:rPr>
                <w:rFonts w:ascii="宋体" w:hAnsi="宋体" w:eastAsia="宋体"/>
                <w:sz w:val="24"/>
                <w:szCs w:val="24"/>
              </w:rPr>
              <w:t>经营者共同控制的合营企业，通过集中被其中一个或一个以上经营者控制</w:t>
            </w:r>
            <w:r>
              <w:rPr>
                <w:rFonts w:hint="eastAsia" w:ascii="宋体" w:hAnsi="宋体" w:eastAsia="宋体"/>
                <w:sz w:val="24"/>
                <w:szCs w:val="24"/>
              </w:rPr>
              <w:t>。</w:t>
            </w:r>
          </w:p>
        </w:tc>
      </w:tr>
      <w:tr w14:paraId="5C822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1861" w:type="dxa"/>
            <w:shd w:val="clear" w:color="auto" w:fill="D9D9D9"/>
            <w:vAlign w:val="center"/>
          </w:tcPr>
          <w:p w14:paraId="4A64E039">
            <w:pPr>
              <w:snapToGrid w:val="0"/>
              <w:rPr>
                <w:rFonts w:ascii="宋体" w:hAnsi="宋体" w:eastAsia="宋体"/>
                <w:b/>
                <w:sz w:val="24"/>
                <w:szCs w:val="24"/>
              </w:rPr>
            </w:pPr>
            <w:r>
              <w:rPr>
                <w:rFonts w:hint="eastAsia" w:ascii="宋体" w:hAnsi="宋体" w:eastAsia="宋体"/>
                <w:b/>
                <w:sz w:val="24"/>
                <w:szCs w:val="24"/>
              </w:rPr>
              <w:t>备注</w:t>
            </w:r>
          </w:p>
        </w:tc>
        <w:tc>
          <w:tcPr>
            <w:tcW w:w="3968" w:type="pct"/>
            <w:gridSpan w:val="2"/>
          </w:tcPr>
          <w:p w14:paraId="1636C3C8">
            <w:pPr>
              <w:snapToGrid w:val="0"/>
              <w:rPr>
                <w:rFonts w:ascii="宋体" w:hAnsi="宋体" w:eastAsia="宋体"/>
                <w:i/>
                <w:iCs/>
                <w:sz w:val="24"/>
                <w:szCs w:val="24"/>
                <w:highlight w:val="yellow"/>
              </w:rPr>
            </w:pPr>
            <w:r>
              <w:rPr>
                <w:rFonts w:hint="eastAsia" w:ascii="宋体" w:hAnsi="宋体" w:eastAsia="宋体"/>
                <w:b/>
                <w:bCs/>
                <w:sz w:val="24"/>
                <w:szCs w:val="24"/>
              </w:rPr>
              <w:t>混合集中：</w:t>
            </w:r>
            <w:r>
              <w:rPr>
                <w:rFonts w:ascii="宋体" w:hAnsi="宋体" w:eastAsia="宋体"/>
                <w:b/>
                <w:bCs/>
                <w:sz w:val="24"/>
                <w:szCs w:val="24"/>
              </w:rPr>
              <w:t xml:space="preserve">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842"/>
              <w:gridCol w:w="2110"/>
            </w:tblGrid>
            <w:tr w14:paraId="47978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77" w:type="dxa"/>
                </w:tcPr>
                <w:p w14:paraId="640EFBF2">
                  <w:pPr>
                    <w:snapToGrid w:val="0"/>
                    <w:jc w:val="center"/>
                    <w:rPr>
                      <w:rFonts w:ascii="宋体" w:hAnsi="宋体" w:eastAsia="宋体"/>
                      <w:sz w:val="24"/>
                      <w:szCs w:val="24"/>
                    </w:rPr>
                  </w:pPr>
                  <w:r>
                    <w:rPr>
                      <w:rFonts w:hint="eastAsia" w:ascii="宋体" w:hAnsi="宋体" w:eastAsia="宋体"/>
                      <w:sz w:val="24"/>
                      <w:szCs w:val="24"/>
                    </w:rPr>
                    <w:t>相关商品市场</w:t>
                  </w:r>
                </w:p>
              </w:tc>
              <w:tc>
                <w:tcPr>
                  <w:tcW w:w="1842" w:type="dxa"/>
                </w:tcPr>
                <w:p w14:paraId="2DE46DF3">
                  <w:pPr>
                    <w:snapToGrid w:val="0"/>
                    <w:jc w:val="center"/>
                    <w:rPr>
                      <w:rFonts w:ascii="宋体" w:hAnsi="宋体" w:eastAsia="宋体"/>
                      <w:sz w:val="24"/>
                      <w:szCs w:val="24"/>
                    </w:rPr>
                  </w:pPr>
                  <w:r>
                    <w:rPr>
                      <w:rFonts w:hint="eastAsia" w:ascii="宋体" w:hAnsi="宋体" w:eastAsia="宋体"/>
                      <w:sz w:val="24"/>
                      <w:szCs w:val="24"/>
                    </w:rPr>
                    <w:t>相关地域市场</w:t>
                  </w:r>
                </w:p>
              </w:tc>
              <w:tc>
                <w:tcPr>
                  <w:tcW w:w="2110" w:type="dxa"/>
                </w:tcPr>
                <w:p w14:paraId="2F5AC07F">
                  <w:pPr>
                    <w:snapToGrid w:val="0"/>
                    <w:jc w:val="center"/>
                    <w:rPr>
                      <w:rFonts w:ascii="宋体" w:hAnsi="宋体" w:eastAsia="宋体"/>
                      <w:sz w:val="24"/>
                      <w:szCs w:val="24"/>
                    </w:rPr>
                  </w:pPr>
                  <w:r>
                    <w:rPr>
                      <w:rFonts w:ascii="宋体" w:hAnsi="宋体" w:eastAsia="宋体"/>
                      <w:sz w:val="24"/>
                      <w:szCs w:val="24"/>
                    </w:rPr>
                    <w:t>2025年市场份额</w:t>
                  </w:r>
                </w:p>
              </w:tc>
            </w:tr>
            <w:tr w14:paraId="4EA8D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77" w:type="dxa"/>
                </w:tcPr>
                <w:p w14:paraId="1BBB4D33">
                  <w:pPr>
                    <w:rPr>
                      <w:rFonts w:ascii="宋体" w:hAnsi="宋体" w:eastAsia="宋体"/>
                      <w:sz w:val="24"/>
                      <w:szCs w:val="24"/>
                    </w:rPr>
                  </w:pPr>
                  <w:r>
                    <w:rPr>
                      <w:rFonts w:hint="eastAsia" w:ascii="宋体" w:hAnsi="宋体" w:eastAsia="宋体"/>
                      <w:sz w:val="24"/>
                      <w:szCs w:val="24"/>
                    </w:rPr>
                    <w:t>抗肿瘤生物药市场</w:t>
                  </w:r>
                </w:p>
              </w:tc>
              <w:tc>
                <w:tcPr>
                  <w:tcW w:w="1842" w:type="dxa"/>
                </w:tcPr>
                <w:p w14:paraId="7B8D4FBA">
                  <w:pPr>
                    <w:snapToGrid w:val="0"/>
                    <w:jc w:val="center"/>
                    <w:rPr>
                      <w:rFonts w:ascii="宋体" w:hAnsi="宋体" w:eastAsia="宋体"/>
                      <w:sz w:val="24"/>
                      <w:szCs w:val="24"/>
                    </w:rPr>
                  </w:pPr>
                  <w:r>
                    <w:rPr>
                      <w:rFonts w:hint="eastAsia" w:ascii="宋体" w:hAnsi="宋体" w:eastAsia="宋体"/>
                      <w:sz w:val="24"/>
                      <w:szCs w:val="24"/>
                    </w:rPr>
                    <w:t>中国境内</w:t>
                  </w:r>
                </w:p>
              </w:tc>
              <w:tc>
                <w:tcPr>
                  <w:tcW w:w="2110" w:type="dxa"/>
                </w:tcPr>
                <w:p w14:paraId="7738873B">
                  <w:pPr>
                    <w:rPr>
                      <w:rFonts w:ascii="宋体" w:hAnsi="宋体" w:eastAsia="宋体"/>
                      <w:sz w:val="24"/>
                      <w:szCs w:val="24"/>
                    </w:rPr>
                  </w:pPr>
                  <w:r>
                    <w:rPr>
                      <w:rFonts w:ascii="宋体" w:hAnsi="宋体" w:eastAsia="宋体"/>
                      <w:kern w:val="0"/>
                      <w:sz w:val="24"/>
                      <w:szCs w:val="24"/>
                    </w:rPr>
                    <w:t>熙维资本</w:t>
                  </w:r>
                  <w:r>
                    <w:rPr>
                      <w:rFonts w:ascii="宋体" w:hAnsi="宋体" w:eastAsia="宋体"/>
                      <w:sz w:val="24"/>
                      <w:szCs w:val="24"/>
                    </w:rPr>
                    <w:t>：0-5%</w:t>
                  </w:r>
                </w:p>
              </w:tc>
            </w:tr>
            <w:tr w14:paraId="4D822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77" w:type="dxa"/>
                </w:tcPr>
                <w:p w14:paraId="3EFD251E">
                  <w:pPr>
                    <w:rPr>
                      <w:rFonts w:ascii="宋体" w:hAnsi="宋体" w:eastAsia="宋体"/>
                      <w:sz w:val="24"/>
                      <w:szCs w:val="24"/>
                    </w:rPr>
                  </w:pPr>
                  <w:r>
                    <w:rPr>
                      <w:rFonts w:hint="eastAsia" w:ascii="宋体" w:hAnsi="宋体" w:eastAsia="宋体"/>
                      <w:sz w:val="24"/>
                      <w:szCs w:val="24"/>
                    </w:rPr>
                    <w:t>抗高血压化学药市场</w:t>
                  </w:r>
                </w:p>
              </w:tc>
              <w:tc>
                <w:tcPr>
                  <w:tcW w:w="1842" w:type="dxa"/>
                </w:tcPr>
                <w:p w14:paraId="1085D401">
                  <w:pPr>
                    <w:snapToGrid w:val="0"/>
                    <w:jc w:val="center"/>
                    <w:rPr>
                      <w:rFonts w:ascii="宋体" w:hAnsi="宋体" w:eastAsia="宋体"/>
                      <w:sz w:val="24"/>
                      <w:szCs w:val="24"/>
                    </w:rPr>
                  </w:pPr>
                  <w:r>
                    <w:rPr>
                      <w:rFonts w:hint="eastAsia" w:ascii="宋体" w:hAnsi="宋体" w:eastAsia="宋体"/>
                      <w:sz w:val="24"/>
                      <w:szCs w:val="24"/>
                    </w:rPr>
                    <w:t>中国境内</w:t>
                  </w:r>
                </w:p>
              </w:tc>
              <w:tc>
                <w:tcPr>
                  <w:tcW w:w="2110" w:type="dxa"/>
                </w:tcPr>
                <w:p w14:paraId="7922F79C">
                  <w:pPr>
                    <w:rPr>
                      <w:rFonts w:ascii="宋体" w:hAnsi="宋体" w:eastAsia="宋体"/>
                      <w:sz w:val="24"/>
                      <w:szCs w:val="24"/>
                    </w:rPr>
                  </w:pPr>
                  <w:r>
                    <w:rPr>
                      <w:rFonts w:ascii="宋体" w:hAnsi="宋体" w:eastAsia="宋体"/>
                      <w:kern w:val="0"/>
                      <w:sz w:val="24"/>
                      <w:szCs w:val="24"/>
                    </w:rPr>
                    <w:t>熙维资本</w:t>
                  </w:r>
                  <w:r>
                    <w:rPr>
                      <w:rFonts w:ascii="宋体" w:hAnsi="宋体" w:eastAsia="宋体"/>
                      <w:sz w:val="24"/>
                      <w:szCs w:val="24"/>
                    </w:rPr>
                    <w:t>：0-5%</w:t>
                  </w:r>
                </w:p>
              </w:tc>
            </w:tr>
          </w:tbl>
          <w:p w14:paraId="3094EE2E">
            <w:pPr>
              <w:snapToGrid w:val="0"/>
              <w:rPr>
                <w:rFonts w:ascii="宋体" w:hAnsi="宋体" w:eastAsia="宋体"/>
                <w:sz w:val="24"/>
                <w:szCs w:val="24"/>
              </w:rPr>
            </w:pPr>
          </w:p>
        </w:tc>
      </w:tr>
    </w:tbl>
    <w:p w14:paraId="5BACBCD4">
      <w:pPr>
        <w:rPr>
          <w:rFonts w:eastAsia="宋体"/>
        </w:rPr>
      </w:pPr>
    </w:p>
    <w:sectPr>
      <w:pgSz w:w="11906" w:h="16838"/>
      <w:pgMar w:top="1440" w:right="1440" w:bottom="1440" w:left="1440"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Consolas">
    <w:altName w:val="Noto Sans Mono"/>
    <w:panose1 w:val="020B0609020204030204"/>
    <w:charset w:val="00"/>
    <w:family w:val="modern"/>
    <w:pitch w:val="default"/>
    <w:sig w:usb0="00000000" w:usb1="00000000" w:usb2="00000009" w:usb3="00000000" w:csb0="0000019F" w:csb1="00000000"/>
  </w:font>
  <w:font w:name="Noto Sans Mono">
    <w:panose1 w:val="020B0509040504020204"/>
    <w:charset w:val="00"/>
    <w:family w:val="auto"/>
    <w:pitch w:val="default"/>
    <w:sig w:usb0="E00002FF" w:usb1="4200FCFF" w:usb2="08000039" w:usb3="00100000" w:csb0="0000019F" w:csb1="DFD70000"/>
  </w:font>
  <w:font w:name="Segoe UI">
    <w:altName w:val="Noto Naskh Arabic"/>
    <w:panose1 w:val="020B0502040204020203"/>
    <w:charset w:val="00"/>
    <w:family w:val="swiss"/>
    <w:pitch w:val="default"/>
    <w:sig w:usb0="00000000" w:usb1="00000000" w:usb2="00000009" w:usb3="00000000" w:csb0="000001FF" w:csb1="00000000"/>
  </w:font>
  <w:font w:name="Noto Naskh Arabic">
    <w:panose1 w:val="020B0502040504020204"/>
    <w:charset w:val="00"/>
    <w:family w:val="auto"/>
    <w:pitch w:val="default"/>
    <w:sig w:usb0="80002003" w:usb1="80002000" w:usb2="00000008" w:usb3="00000000" w:csb0="00000041" w:csb1="00080000"/>
  </w:font>
  <w:font w:name="Arial">
    <w:altName w:val="Times New Roman"/>
    <w:panose1 w:val="020B0604020202020204"/>
    <w:charset w:val="00"/>
    <w:family w:val="swiss"/>
    <w:pitch w:val="default"/>
    <w:sig w:usb0="00000000" w:usb1="00000000" w:usb2="00000009" w:usb3="00000000" w:csb0="000001FF"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Wingdings">
    <w:panose1 w:val="05000000000000000000"/>
    <w:charset w:val="00"/>
    <w:family w:val="decorative"/>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displayBackgroundShape w:val="1"/>
  <w:bordersDoNotSurroundHeader w:val="1"/>
  <w:bordersDoNotSurroundFooter w:val="1"/>
  <w:doNotTrackFormatting/>
  <w:documentProtection w:enforcement="0"/>
  <w:styleLockQFSet/>
  <w:defaultTabStop w:val="420"/>
  <w:drawingGridVerticalSpacing w:val="156"/>
  <w:noPunctuationKerning w:val="1"/>
  <w:characterSpacingControl w:val="compressPunctuation"/>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heckedForWebBugs" w:val="True"/>
    <w:docVar w:name="TrlrDateFlag" w:val="0"/>
    <w:docVar w:name="TrlrDocTitleFlag" w:val="0"/>
    <w:docVar w:name="TrlrDOSFlag" w:val="0"/>
    <w:docVar w:name="TrlrDOSPathFlag" w:val="0"/>
    <w:docVar w:name="TrlrDraftFlag" w:val="0"/>
    <w:docVar w:name="TrlrFirstPageFlag" w:val="0"/>
    <w:docVar w:name="TrlrMatter" w:val="057462-0116"/>
    <w:docVar w:name="TrlrMatterFlag" w:val="0"/>
    <w:docVar w:name="TrlrRedlineFlag" w:val="0"/>
    <w:docVar w:name="TrlrTimeFlag" w:val="0"/>
    <w:docVar w:name="TrlrTypeFlag" w:val="1"/>
  </w:docVars>
  <w:rsids>
    <w:rsidRoot w:val="00EB3BC3"/>
    <w:rsid w:val="00011991"/>
    <w:rsid w:val="000123FD"/>
    <w:rsid w:val="00012FF4"/>
    <w:rsid w:val="000133D7"/>
    <w:rsid w:val="00013FE8"/>
    <w:rsid w:val="0001540F"/>
    <w:rsid w:val="00015E2D"/>
    <w:rsid w:val="0001621C"/>
    <w:rsid w:val="00020474"/>
    <w:rsid w:val="0002055B"/>
    <w:rsid w:val="00021ED0"/>
    <w:rsid w:val="00024B82"/>
    <w:rsid w:val="000256A4"/>
    <w:rsid w:val="00025F3A"/>
    <w:rsid w:val="000277FB"/>
    <w:rsid w:val="00031360"/>
    <w:rsid w:val="00031F8D"/>
    <w:rsid w:val="000331BB"/>
    <w:rsid w:val="000345BD"/>
    <w:rsid w:val="00040801"/>
    <w:rsid w:val="00040AF1"/>
    <w:rsid w:val="0004182E"/>
    <w:rsid w:val="00042BCF"/>
    <w:rsid w:val="000454E1"/>
    <w:rsid w:val="0005084F"/>
    <w:rsid w:val="00051E22"/>
    <w:rsid w:val="00052D1E"/>
    <w:rsid w:val="00056701"/>
    <w:rsid w:val="0006304F"/>
    <w:rsid w:val="000748BD"/>
    <w:rsid w:val="00077320"/>
    <w:rsid w:val="000775DF"/>
    <w:rsid w:val="0008008E"/>
    <w:rsid w:val="00090D0D"/>
    <w:rsid w:val="00091952"/>
    <w:rsid w:val="000922ED"/>
    <w:rsid w:val="00093163"/>
    <w:rsid w:val="0009325A"/>
    <w:rsid w:val="00094894"/>
    <w:rsid w:val="000A019F"/>
    <w:rsid w:val="000A0C1D"/>
    <w:rsid w:val="000A4414"/>
    <w:rsid w:val="000A6B3B"/>
    <w:rsid w:val="000A7911"/>
    <w:rsid w:val="000B2521"/>
    <w:rsid w:val="000B498C"/>
    <w:rsid w:val="000B4BED"/>
    <w:rsid w:val="000B6F06"/>
    <w:rsid w:val="000C0B23"/>
    <w:rsid w:val="000C0D62"/>
    <w:rsid w:val="000C1CE9"/>
    <w:rsid w:val="000C20A7"/>
    <w:rsid w:val="000C2C95"/>
    <w:rsid w:val="000C6755"/>
    <w:rsid w:val="000D1CBD"/>
    <w:rsid w:val="000D3204"/>
    <w:rsid w:val="000D36E4"/>
    <w:rsid w:val="000D48DD"/>
    <w:rsid w:val="000D4FC8"/>
    <w:rsid w:val="000D72FC"/>
    <w:rsid w:val="000E3A3E"/>
    <w:rsid w:val="000E5380"/>
    <w:rsid w:val="000E5506"/>
    <w:rsid w:val="000F2934"/>
    <w:rsid w:val="00101C32"/>
    <w:rsid w:val="00102B3A"/>
    <w:rsid w:val="00106E98"/>
    <w:rsid w:val="00112820"/>
    <w:rsid w:val="00132D56"/>
    <w:rsid w:val="00134AC9"/>
    <w:rsid w:val="00137F80"/>
    <w:rsid w:val="00143235"/>
    <w:rsid w:val="0014336A"/>
    <w:rsid w:val="00147B1E"/>
    <w:rsid w:val="00153942"/>
    <w:rsid w:val="00155343"/>
    <w:rsid w:val="00157F39"/>
    <w:rsid w:val="00163E67"/>
    <w:rsid w:val="00171FEC"/>
    <w:rsid w:val="00172953"/>
    <w:rsid w:val="00172E40"/>
    <w:rsid w:val="001734DC"/>
    <w:rsid w:val="00174A85"/>
    <w:rsid w:val="0017522C"/>
    <w:rsid w:val="001757FD"/>
    <w:rsid w:val="00181079"/>
    <w:rsid w:val="00187F6B"/>
    <w:rsid w:val="00190A78"/>
    <w:rsid w:val="0019477B"/>
    <w:rsid w:val="001A0BEA"/>
    <w:rsid w:val="001A236C"/>
    <w:rsid w:val="001A3673"/>
    <w:rsid w:val="001A533A"/>
    <w:rsid w:val="001A6FB2"/>
    <w:rsid w:val="001B1F07"/>
    <w:rsid w:val="001B287A"/>
    <w:rsid w:val="001B4363"/>
    <w:rsid w:val="001B47C9"/>
    <w:rsid w:val="001B6A64"/>
    <w:rsid w:val="001C38DF"/>
    <w:rsid w:val="001D08D9"/>
    <w:rsid w:val="001D3D42"/>
    <w:rsid w:val="001D505B"/>
    <w:rsid w:val="001E2E2A"/>
    <w:rsid w:val="001E4748"/>
    <w:rsid w:val="001E5511"/>
    <w:rsid w:val="001E5784"/>
    <w:rsid w:val="001E6489"/>
    <w:rsid w:val="001F0E3B"/>
    <w:rsid w:val="001F5031"/>
    <w:rsid w:val="001F73A2"/>
    <w:rsid w:val="002014F8"/>
    <w:rsid w:val="00203E1E"/>
    <w:rsid w:val="002134D4"/>
    <w:rsid w:val="00213D90"/>
    <w:rsid w:val="00214E55"/>
    <w:rsid w:val="00221552"/>
    <w:rsid w:val="002311F1"/>
    <w:rsid w:val="00231BF0"/>
    <w:rsid w:val="00234CAD"/>
    <w:rsid w:val="00240CA9"/>
    <w:rsid w:val="002431DD"/>
    <w:rsid w:val="00243DDA"/>
    <w:rsid w:val="00250E5D"/>
    <w:rsid w:val="00251F05"/>
    <w:rsid w:val="00252838"/>
    <w:rsid w:val="002551AE"/>
    <w:rsid w:val="002571C0"/>
    <w:rsid w:val="00257804"/>
    <w:rsid w:val="00257A26"/>
    <w:rsid w:val="002601C4"/>
    <w:rsid w:val="00260F92"/>
    <w:rsid w:val="00271087"/>
    <w:rsid w:val="0027210D"/>
    <w:rsid w:val="00275A81"/>
    <w:rsid w:val="002900E3"/>
    <w:rsid w:val="00290303"/>
    <w:rsid w:val="002963BE"/>
    <w:rsid w:val="00296F4D"/>
    <w:rsid w:val="002A06D9"/>
    <w:rsid w:val="002A45EF"/>
    <w:rsid w:val="002A5BF1"/>
    <w:rsid w:val="002A6816"/>
    <w:rsid w:val="002B14E3"/>
    <w:rsid w:val="002B76D5"/>
    <w:rsid w:val="002B7CC9"/>
    <w:rsid w:val="002C26FF"/>
    <w:rsid w:val="002C4839"/>
    <w:rsid w:val="002C7412"/>
    <w:rsid w:val="002D2C04"/>
    <w:rsid w:val="002D3E5D"/>
    <w:rsid w:val="002D599A"/>
    <w:rsid w:val="002E3DFD"/>
    <w:rsid w:val="002E5F54"/>
    <w:rsid w:val="002F0472"/>
    <w:rsid w:val="002F0867"/>
    <w:rsid w:val="002F3A8D"/>
    <w:rsid w:val="00302E23"/>
    <w:rsid w:val="00312866"/>
    <w:rsid w:val="0032380E"/>
    <w:rsid w:val="003260D2"/>
    <w:rsid w:val="00327A80"/>
    <w:rsid w:val="003315F9"/>
    <w:rsid w:val="00331719"/>
    <w:rsid w:val="00333427"/>
    <w:rsid w:val="003404D3"/>
    <w:rsid w:val="003407A1"/>
    <w:rsid w:val="003416F0"/>
    <w:rsid w:val="00342D92"/>
    <w:rsid w:val="003452BA"/>
    <w:rsid w:val="00345BD7"/>
    <w:rsid w:val="00354691"/>
    <w:rsid w:val="003566CC"/>
    <w:rsid w:val="00360001"/>
    <w:rsid w:val="0036311F"/>
    <w:rsid w:val="00367F59"/>
    <w:rsid w:val="00372271"/>
    <w:rsid w:val="00376B14"/>
    <w:rsid w:val="00384E32"/>
    <w:rsid w:val="003902BA"/>
    <w:rsid w:val="0039094B"/>
    <w:rsid w:val="0039722A"/>
    <w:rsid w:val="0039777C"/>
    <w:rsid w:val="003A0210"/>
    <w:rsid w:val="003A5149"/>
    <w:rsid w:val="003A5F14"/>
    <w:rsid w:val="003B2A85"/>
    <w:rsid w:val="003B738B"/>
    <w:rsid w:val="003B73DE"/>
    <w:rsid w:val="003D103B"/>
    <w:rsid w:val="003D382B"/>
    <w:rsid w:val="003E0777"/>
    <w:rsid w:val="003E0F7E"/>
    <w:rsid w:val="003E70EF"/>
    <w:rsid w:val="003F1A02"/>
    <w:rsid w:val="0040301F"/>
    <w:rsid w:val="0040445B"/>
    <w:rsid w:val="0040449B"/>
    <w:rsid w:val="004047CA"/>
    <w:rsid w:val="00407437"/>
    <w:rsid w:val="00411633"/>
    <w:rsid w:val="00411869"/>
    <w:rsid w:val="00411B39"/>
    <w:rsid w:val="0041359A"/>
    <w:rsid w:val="0041447A"/>
    <w:rsid w:val="00422086"/>
    <w:rsid w:val="00422FD4"/>
    <w:rsid w:val="0042630C"/>
    <w:rsid w:val="00427160"/>
    <w:rsid w:val="004418C2"/>
    <w:rsid w:val="00446345"/>
    <w:rsid w:val="00447076"/>
    <w:rsid w:val="00450F6F"/>
    <w:rsid w:val="00451B18"/>
    <w:rsid w:val="00460D0C"/>
    <w:rsid w:val="00462249"/>
    <w:rsid w:val="00472898"/>
    <w:rsid w:val="00474571"/>
    <w:rsid w:val="0047537C"/>
    <w:rsid w:val="00480997"/>
    <w:rsid w:val="004847EE"/>
    <w:rsid w:val="00486088"/>
    <w:rsid w:val="004A4750"/>
    <w:rsid w:val="004B09F6"/>
    <w:rsid w:val="004B768B"/>
    <w:rsid w:val="004B7D73"/>
    <w:rsid w:val="004C0DAF"/>
    <w:rsid w:val="004C22E6"/>
    <w:rsid w:val="004D013E"/>
    <w:rsid w:val="004D1C36"/>
    <w:rsid w:val="004D2085"/>
    <w:rsid w:val="004D3181"/>
    <w:rsid w:val="004E0089"/>
    <w:rsid w:val="004E1B98"/>
    <w:rsid w:val="004E2CBA"/>
    <w:rsid w:val="004F319B"/>
    <w:rsid w:val="004F429E"/>
    <w:rsid w:val="004F677E"/>
    <w:rsid w:val="00500026"/>
    <w:rsid w:val="00500F81"/>
    <w:rsid w:val="00501C44"/>
    <w:rsid w:val="00503B96"/>
    <w:rsid w:val="00504A06"/>
    <w:rsid w:val="00504A60"/>
    <w:rsid w:val="005070FE"/>
    <w:rsid w:val="005103B6"/>
    <w:rsid w:val="00510F08"/>
    <w:rsid w:val="005127B8"/>
    <w:rsid w:val="005135A4"/>
    <w:rsid w:val="0051784F"/>
    <w:rsid w:val="005216E6"/>
    <w:rsid w:val="0052404D"/>
    <w:rsid w:val="00530A75"/>
    <w:rsid w:val="00533749"/>
    <w:rsid w:val="00537D01"/>
    <w:rsid w:val="00544AF9"/>
    <w:rsid w:val="00544B00"/>
    <w:rsid w:val="00551B23"/>
    <w:rsid w:val="005548EB"/>
    <w:rsid w:val="00555277"/>
    <w:rsid w:val="005569EF"/>
    <w:rsid w:val="00560944"/>
    <w:rsid w:val="00561548"/>
    <w:rsid w:val="00561DC1"/>
    <w:rsid w:val="00562EDA"/>
    <w:rsid w:val="005641F2"/>
    <w:rsid w:val="005643CC"/>
    <w:rsid w:val="005661B9"/>
    <w:rsid w:val="00566A3D"/>
    <w:rsid w:val="00570597"/>
    <w:rsid w:val="00571FFD"/>
    <w:rsid w:val="00573E84"/>
    <w:rsid w:val="0057568C"/>
    <w:rsid w:val="00582049"/>
    <w:rsid w:val="00582C76"/>
    <w:rsid w:val="005845D9"/>
    <w:rsid w:val="005857A4"/>
    <w:rsid w:val="00593C9B"/>
    <w:rsid w:val="005950A0"/>
    <w:rsid w:val="005A07CA"/>
    <w:rsid w:val="005A452D"/>
    <w:rsid w:val="005A7CF2"/>
    <w:rsid w:val="005B1239"/>
    <w:rsid w:val="005B4351"/>
    <w:rsid w:val="005B4E0A"/>
    <w:rsid w:val="005B7DFD"/>
    <w:rsid w:val="005C2F69"/>
    <w:rsid w:val="005C69AD"/>
    <w:rsid w:val="005D3163"/>
    <w:rsid w:val="005D320E"/>
    <w:rsid w:val="005D3804"/>
    <w:rsid w:val="005D4965"/>
    <w:rsid w:val="005D59F4"/>
    <w:rsid w:val="005D7EA4"/>
    <w:rsid w:val="005E1CC4"/>
    <w:rsid w:val="005E692A"/>
    <w:rsid w:val="005F40C9"/>
    <w:rsid w:val="005F5144"/>
    <w:rsid w:val="00600EA5"/>
    <w:rsid w:val="00601650"/>
    <w:rsid w:val="006021DF"/>
    <w:rsid w:val="00613CF3"/>
    <w:rsid w:val="006158C4"/>
    <w:rsid w:val="0062076A"/>
    <w:rsid w:val="0062126D"/>
    <w:rsid w:val="00623181"/>
    <w:rsid w:val="00625EE9"/>
    <w:rsid w:val="006371A8"/>
    <w:rsid w:val="006407DB"/>
    <w:rsid w:val="006445A6"/>
    <w:rsid w:val="0064532F"/>
    <w:rsid w:val="00646793"/>
    <w:rsid w:val="006526A1"/>
    <w:rsid w:val="0065303F"/>
    <w:rsid w:val="0065323C"/>
    <w:rsid w:val="00654651"/>
    <w:rsid w:val="00655E6A"/>
    <w:rsid w:val="00657B88"/>
    <w:rsid w:val="00661BA4"/>
    <w:rsid w:val="006666EF"/>
    <w:rsid w:val="00666EA0"/>
    <w:rsid w:val="00685D17"/>
    <w:rsid w:val="00690C26"/>
    <w:rsid w:val="00691E10"/>
    <w:rsid w:val="006959AE"/>
    <w:rsid w:val="006A111B"/>
    <w:rsid w:val="006A12A1"/>
    <w:rsid w:val="006A3239"/>
    <w:rsid w:val="006A35DD"/>
    <w:rsid w:val="006A6B22"/>
    <w:rsid w:val="006B3EA5"/>
    <w:rsid w:val="006B5F55"/>
    <w:rsid w:val="006C1E65"/>
    <w:rsid w:val="006C5ECC"/>
    <w:rsid w:val="006D3D3F"/>
    <w:rsid w:val="006D7932"/>
    <w:rsid w:val="006E395D"/>
    <w:rsid w:val="006F0757"/>
    <w:rsid w:val="006F26CF"/>
    <w:rsid w:val="006F3656"/>
    <w:rsid w:val="00702E66"/>
    <w:rsid w:val="00713EE9"/>
    <w:rsid w:val="0071691E"/>
    <w:rsid w:val="007208DC"/>
    <w:rsid w:val="00724337"/>
    <w:rsid w:val="0072566A"/>
    <w:rsid w:val="00730364"/>
    <w:rsid w:val="007333ED"/>
    <w:rsid w:val="007360D0"/>
    <w:rsid w:val="007405F7"/>
    <w:rsid w:val="00740B80"/>
    <w:rsid w:val="00745741"/>
    <w:rsid w:val="007459C8"/>
    <w:rsid w:val="00746D62"/>
    <w:rsid w:val="00750D30"/>
    <w:rsid w:val="00751CAA"/>
    <w:rsid w:val="00753048"/>
    <w:rsid w:val="00756EE8"/>
    <w:rsid w:val="007578DF"/>
    <w:rsid w:val="00761065"/>
    <w:rsid w:val="00761945"/>
    <w:rsid w:val="00763042"/>
    <w:rsid w:val="00775DDC"/>
    <w:rsid w:val="00776EC8"/>
    <w:rsid w:val="00780CF4"/>
    <w:rsid w:val="00785F8D"/>
    <w:rsid w:val="00791E6C"/>
    <w:rsid w:val="00794DAC"/>
    <w:rsid w:val="007A7998"/>
    <w:rsid w:val="007B0011"/>
    <w:rsid w:val="007B10AE"/>
    <w:rsid w:val="007B15C1"/>
    <w:rsid w:val="007B3873"/>
    <w:rsid w:val="007B4018"/>
    <w:rsid w:val="007B7B7A"/>
    <w:rsid w:val="007C1899"/>
    <w:rsid w:val="007C3BB9"/>
    <w:rsid w:val="007C3EA3"/>
    <w:rsid w:val="007C6097"/>
    <w:rsid w:val="007D40A6"/>
    <w:rsid w:val="007D5797"/>
    <w:rsid w:val="007E032B"/>
    <w:rsid w:val="007E3E68"/>
    <w:rsid w:val="007E404B"/>
    <w:rsid w:val="007F1CFC"/>
    <w:rsid w:val="007F405D"/>
    <w:rsid w:val="007F5DB2"/>
    <w:rsid w:val="00800F6D"/>
    <w:rsid w:val="00801234"/>
    <w:rsid w:val="008042D9"/>
    <w:rsid w:val="0080437E"/>
    <w:rsid w:val="00811002"/>
    <w:rsid w:val="00814A4F"/>
    <w:rsid w:val="00824020"/>
    <w:rsid w:val="00824531"/>
    <w:rsid w:val="00824EAD"/>
    <w:rsid w:val="00836377"/>
    <w:rsid w:val="008457C5"/>
    <w:rsid w:val="00853D4D"/>
    <w:rsid w:val="0085515C"/>
    <w:rsid w:val="00860CD3"/>
    <w:rsid w:val="00861CDD"/>
    <w:rsid w:val="0086414F"/>
    <w:rsid w:val="00864F32"/>
    <w:rsid w:val="008675D3"/>
    <w:rsid w:val="00872934"/>
    <w:rsid w:val="00874391"/>
    <w:rsid w:val="0087439C"/>
    <w:rsid w:val="00885EA3"/>
    <w:rsid w:val="008871D6"/>
    <w:rsid w:val="00887378"/>
    <w:rsid w:val="008873EB"/>
    <w:rsid w:val="008925AD"/>
    <w:rsid w:val="00894AF4"/>
    <w:rsid w:val="00895041"/>
    <w:rsid w:val="008964A4"/>
    <w:rsid w:val="008A3FE9"/>
    <w:rsid w:val="008A648A"/>
    <w:rsid w:val="008B5D9B"/>
    <w:rsid w:val="008C21C4"/>
    <w:rsid w:val="008D00F0"/>
    <w:rsid w:val="008D1DD4"/>
    <w:rsid w:val="008D2A14"/>
    <w:rsid w:val="008D42CB"/>
    <w:rsid w:val="008D431E"/>
    <w:rsid w:val="008E0FDA"/>
    <w:rsid w:val="008E3BD5"/>
    <w:rsid w:val="008F0609"/>
    <w:rsid w:val="008F1B36"/>
    <w:rsid w:val="008F2C9D"/>
    <w:rsid w:val="00903B58"/>
    <w:rsid w:val="009054CE"/>
    <w:rsid w:val="00906774"/>
    <w:rsid w:val="00913BCE"/>
    <w:rsid w:val="00917AF8"/>
    <w:rsid w:val="00923F93"/>
    <w:rsid w:val="00924609"/>
    <w:rsid w:val="009269FF"/>
    <w:rsid w:val="00930699"/>
    <w:rsid w:val="00930867"/>
    <w:rsid w:val="00936BD8"/>
    <w:rsid w:val="0093726B"/>
    <w:rsid w:val="00943CD4"/>
    <w:rsid w:val="009440C8"/>
    <w:rsid w:val="0095401F"/>
    <w:rsid w:val="0095527D"/>
    <w:rsid w:val="0095613F"/>
    <w:rsid w:val="00960760"/>
    <w:rsid w:val="00961B6C"/>
    <w:rsid w:val="00971DF4"/>
    <w:rsid w:val="00973CDD"/>
    <w:rsid w:val="0097567F"/>
    <w:rsid w:val="00982928"/>
    <w:rsid w:val="00985E47"/>
    <w:rsid w:val="009866BB"/>
    <w:rsid w:val="009867A3"/>
    <w:rsid w:val="00996CD9"/>
    <w:rsid w:val="009A0D1F"/>
    <w:rsid w:val="009A5AC7"/>
    <w:rsid w:val="009A6142"/>
    <w:rsid w:val="009B5E92"/>
    <w:rsid w:val="009C0BD2"/>
    <w:rsid w:val="009C1F74"/>
    <w:rsid w:val="009D08F4"/>
    <w:rsid w:val="009D5052"/>
    <w:rsid w:val="009D79F6"/>
    <w:rsid w:val="009E1EA2"/>
    <w:rsid w:val="009E2B6C"/>
    <w:rsid w:val="009E461E"/>
    <w:rsid w:val="00A04476"/>
    <w:rsid w:val="00A0540B"/>
    <w:rsid w:val="00A0544D"/>
    <w:rsid w:val="00A11794"/>
    <w:rsid w:val="00A126A8"/>
    <w:rsid w:val="00A206DF"/>
    <w:rsid w:val="00A2193F"/>
    <w:rsid w:val="00A2485B"/>
    <w:rsid w:val="00A248B3"/>
    <w:rsid w:val="00A24E13"/>
    <w:rsid w:val="00A2669C"/>
    <w:rsid w:val="00A311EB"/>
    <w:rsid w:val="00A335D5"/>
    <w:rsid w:val="00A36031"/>
    <w:rsid w:val="00A362AC"/>
    <w:rsid w:val="00A40229"/>
    <w:rsid w:val="00A452C7"/>
    <w:rsid w:val="00A45BBF"/>
    <w:rsid w:val="00A46178"/>
    <w:rsid w:val="00A57D1B"/>
    <w:rsid w:val="00A607D0"/>
    <w:rsid w:val="00A60A8D"/>
    <w:rsid w:val="00A61B0F"/>
    <w:rsid w:val="00A658C0"/>
    <w:rsid w:val="00A66F9A"/>
    <w:rsid w:val="00A677B7"/>
    <w:rsid w:val="00A708E1"/>
    <w:rsid w:val="00A762FF"/>
    <w:rsid w:val="00A8017F"/>
    <w:rsid w:val="00A81CBA"/>
    <w:rsid w:val="00A840CA"/>
    <w:rsid w:val="00A873D5"/>
    <w:rsid w:val="00A91729"/>
    <w:rsid w:val="00A934A3"/>
    <w:rsid w:val="00A94261"/>
    <w:rsid w:val="00A9510F"/>
    <w:rsid w:val="00A96B09"/>
    <w:rsid w:val="00A9786E"/>
    <w:rsid w:val="00AA3563"/>
    <w:rsid w:val="00AA5031"/>
    <w:rsid w:val="00AA5549"/>
    <w:rsid w:val="00AB1550"/>
    <w:rsid w:val="00AB357D"/>
    <w:rsid w:val="00AC0EB6"/>
    <w:rsid w:val="00AC2F9C"/>
    <w:rsid w:val="00AD18B5"/>
    <w:rsid w:val="00AD1DDB"/>
    <w:rsid w:val="00AD3C84"/>
    <w:rsid w:val="00AE26E1"/>
    <w:rsid w:val="00AE2DAB"/>
    <w:rsid w:val="00AE7B6D"/>
    <w:rsid w:val="00AF2B84"/>
    <w:rsid w:val="00AF3597"/>
    <w:rsid w:val="00AF60B6"/>
    <w:rsid w:val="00B03923"/>
    <w:rsid w:val="00B06033"/>
    <w:rsid w:val="00B12D43"/>
    <w:rsid w:val="00B1387A"/>
    <w:rsid w:val="00B165BD"/>
    <w:rsid w:val="00B25A1F"/>
    <w:rsid w:val="00B30BFC"/>
    <w:rsid w:val="00B34EE6"/>
    <w:rsid w:val="00B42BD1"/>
    <w:rsid w:val="00B4448F"/>
    <w:rsid w:val="00B459EF"/>
    <w:rsid w:val="00B4626C"/>
    <w:rsid w:val="00B46AFE"/>
    <w:rsid w:val="00B550B0"/>
    <w:rsid w:val="00B56E1D"/>
    <w:rsid w:val="00B5720A"/>
    <w:rsid w:val="00B60D8F"/>
    <w:rsid w:val="00B6554B"/>
    <w:rsid w:val="00B65C01"/>
    <w:rsid w:val="00B714DE"/>
    <w:rsid w:val="00B75A9A"/>
    <w:rsid w:val="00B80298"/>
    <w:rsid w:val="00B8042E"/>
    <w:rsid w:val="00B808B9"/>
    <w:rsid w:val="00B808CB"/>
    <w:rsid w:val="00B85611"/>
    <w:rsid w:val="00B9124B"/>
    <w:rsid w:val="00B91288"/>
    <w:rsid w:val="00B9747E"/>
    <w:rsid w:val="00BB7584"/>
    <w:rsid w:val="00BC304A"/>
    <w:rsid w:val="00BC638D"/>
    <w:rsid w:val="00BE1077"/>
    <w:rsid w:val="00BE4F2D"/>
    <w:rsid w:val="00BE55F3"/>
    <w:rsid w:val="00BF35DF"/>
    <w:rsid w:val="00C00B80"/>
    <w:rsid w:val="00C010C3"/>
    <w:rsid w:val="00C01A71"/>
    <w:rsid w:val="00C039A8"/>
    <w:rsid w:val="00C0762B"/>
    <w:rsid w:val="00C076FF"/>
    <w:rsid w:val="00C10A5A"/>
    <w:rsid w:val="00C10FA1"/>
    <w:rsid w:val="00C111AD"/>
    <w:rsid w:val="00C1493D"/>
    <w:rsid w:val="00C24A78"/>
    <w:rsid w:val="00C2524E"/>
    <w:rsid w:val="00C272A6"/>
    <w:rsid w:val="00C337CE"/>
    <w:rsid w:val="00C3453E"/>
    <w:rsid w:val="00C40AD8"/>
    <w:rsid w:val="00C453D9"/>
    <w:rsid w:val="00C45510"/>
    <w:rsid w:val="00C47028"/>
    <w:rsid w:val="00C540BD"/>
    <w:rsid w:val="00C54A48"/>
    <w:rsid w:val="00C55BD8"/>
    <w:rsid w:val="00C645D5"/>
    <w:rsid w:val="00C65379"/>
    <w:rsid w:val="00C764D0"/>
    <w:rsid w:val="00C80876"/>
    <w:rsid w:val="00C84CDA"/>
    <w:rsid w:val="00C85D86"/>
    <w:rsid w:val="00C90377"/>
    <w:rsid w:val="00CA0511"/>
    <w:rsid w:val="00CA37F4"/>
    <w:rsid w:val="00CA461D"/>
    <w:rsid w:val="00CA6397"/>
    <w:rsid w:val="00CA74C0"/>
    <w:rsid w:val="00CA7847"/>
    <w:rsid w:val="00CC0272"/>
    <w:rsid w:val="00CC7360"/>
    <w:rsid w:val="00CD03C3"/>
    <w:rsid w:val="00CE1079"/>
    <w:rsid w:val="00CE1B8B"/>
    <w:rsid w:val="00CE71AD"/>
    <w:rsid w:val="00CF104A"/>
    <w:rsid w:val="00CF11A0"/>
    <w:rsid w:val="00CF1CEF"/>
    <w:rsid w:val="00CF3C96"/>
    <w:rsid w:val="00CF7D01"/>
    <w:rsid w:val="00D0048C"/>
    <w:rsid w:val="00D033BC"/>
    <w:rsid w:val="00D0374F"/>
    <w:rsid w:val="00D0590D"/>
    <w:rsid w:val="00D1164E"/>
    <w:rsid w:val="00D120C5"/>
    <w:rsid w:val="00D1321C"/>
    <w:rsid w:val="00D13C82"/>
    <w:rsid w:val="00D14320"/>
    <w:rsid w:val="00D20C3A"/>
    <w:rsid w:val="00D304BC"/>
    <w:rsid w:val="00D31EB5"/>
    <w:rsid w:val="00D373EB"/>
    <w:rsid w:val="00D44041"/>
    <w:rsid w:val="00D4636A"/>
    <w:rsid w:val="00D474B0"/>
    <w:rsid w:val="00D519CB"/>
    <w:rsid w:val="00D55577"/>
    <w:rsid w:val="00D611BB"/>
    <w:rsid w:val="00D62AC5"/>
    <w:rsid w:val="00D66535"/>
    <w:rsid w:val="00D706ED"/>
    <w:rsid w:val="00D74A93"/>
    <w:rsid w:val="00D83131"/>
    <w:rsid w:val="00D867EA"/>
    <w:rsid w:val="00D87548"/>
    <w:rsid w:val="00D958B0"/>
    <w:rsid w:val="00DA0E8F"/>
    <w:rsid w:val="00DA1B24"/>
    <w:rsid w:val="00DA6E88"/>
    <w:rsid w:val="00DB17AF"/>
    <w:rsid w:val="00DB342D"/>
    <w:rsid w:val="00DB50AC"/>
    <w:rsid w:val="00DB6B4B"/>
    <w:rsid w:val="00DC1FCD"/>
    <w:rsid w:val="00DC6F8E"/>
    <w:rsid w:val="00DD1424"/>
    <w:rsid w:val="00DD20C6"/>
    <w:rsid w:val="00DD2453"/>
    <w:rsid w:val="00DD2AE1"/>
    <w:rsid w:val="00DD33D0"/>
    <w:rsid w:val="00DD4279"/>
    <w:rsid w:val="00DE1ACF"/>
    <w:rsid w:val="00DE26C1"/>
    <w:rsid w:val="00DE4169"/>
    <w:rsid w:val="00DF0179"/>
    <w:rsid w:val="00E031FC"/>
    <w:rsid w:val="00E047F6"/>
    <w:rsid w:val="00E10D27"/>
    <w:rsid w:val="00E11598"/>
    <w:rsid w:val="00E13811"/>
    <w:rsid w:val="00E14C27"/>
    <w:rsid w:val="00E165CE"/>
    <w:rsid w:val="00E305A1"/>
    <w:rsid w:val="00E32BC0"/>
    <w:rsid w:val="00E33EAB"/>
    <w:rsid w:val="00E34EC7"/>
    <w:rsid w:val="00E37DB9"/>
    <w:rsid w:val="00E42E7A"/>
    <w:rsid w:val="00E46D0F"/>
    <w:rsid w:val="00E56375"/>
    <w:rsid w:val="00E62632"/>
    <w:rsid w:val="00E629A5"/>
    <w:rsid w:val="00E7457F"/>
    <w:rsid w:val="00E74C87"/>
    <w:rsid w:val="00E74E27"/>
    <w:rsid w:val="00E827D9"/>
    <w:rsid w:val="00E82AEC"/>
    <w:rsid w:val="00E86CB2"/>
    <w:rsid w:val="00E871F3"/>
    <w:rsid w:val="00E87BAB"/>
    <w:rsid w:val="00E9579C"/>
    <w:rsid w:val="00E97DF7"/>
    <w:rsid w:val="00EA0138"/>
    <w:rsid w:val="00EA78D4"/>
    <w:rsid w:val="00EB1508"/>
    <w:rsid w:val="00EB172E"/>
    <w:rsid w:val="00EB3500"/>
    <w:rsid w:val="00EB3BC3"/>
    <w:rsid w:val="00EB607B"/>
    <w:rsid w:val="00EB62E7"/>
    <w:rsid w:val="00EC43D6"/>
    <w:rsid w:val="00ED1E54"/>
    <w:rsid w:val="00ED2590"/>
    <w:rsid w:val="00ED3E21"/>
    <w:rsid w:val="00ED725A"/>
    <w:rsid w:val="00EE1988"/>
    <w:rsid w:val="00EE2B8F"/>
    <w:rsid w:val="00EE6032"/>
    <w:rsid w:val="00EE6227"/>
    <w:rsid w:val="00EF03F0"/>
    <w:rsid w:val="00EF04AF"/>
    <w:rsid w:val="00EF109B"/>
    <w:rsid w:val="00F02537"/>
    <w:rsid w:val="00F07180"/>
    <w:rsid w:val="00F077F3"/>
    <w:rsid w:val="00F10EF7"/>
    <w:rsid w:val="00F111AC"/>
    <w:rsid w:val="00F12184"/>
    <w:rsid w:val="00F14824"/>
    <w:rsid w:val="00F14C67"/>
    <w:rsid w:val="00F14FBB"/>
    <w:rsid w:val="00F158D7"/>
    <w:rsid w:val="00F170C9"/>
    <w:rsid w:val="00F17A24"/>
    <w:rsid w:val="00F22CF7"/>
    <w:rsid w:val="00F2565A"/>
    <w:rsid w:val="00F25785"/>
    <w:rsid w:val="00F2743A"/>
    <w:rsid w:val="00F3212E"/>
    <w:rsid w:val="00F37DA9"/>
    <w:rsid w:val="00F40E8A"/>
    <w:rsid w:val="00F449D6"/>
    <w:rsid w:val="00F52F72"/>
    <w:rsid w:val="00F53AA6"/>
    <w:rsid w:val="00F63159"/>
    <w:rsid w:val="00F639CE"/>
    <w:rsid w:val="00F7182E"/>
    <w:rsid w:val="00F77EC1"/>
    <w:rsid w:val="00F81275"/>
    <w:rsid w:val="00F845E4"/>
    <w:rsid w:val="00F913FE"/>
    <w:rsid w:val="00F95A16"/>
    <w:rsid w:val="00FA1109"/>
    <w:rsid w:val="00FA3C0B"/>
    <w:rsid w:val="00FB0ECE"/>
    <w:rsid w:val="00FB6392"/>
    <w:rsid w:val="00FC2899"/>
    <w:rsid w:val="00FC4AF2"/>
    <w:rsid w:val="00FC5E9C"/>
    <w:rsid w:val="00FD09E3"/>
    <w:rsid w:val="00FD4646"/>
    <w:rsid w:val="00FD4974"/>
    <w:rsid w:val="00FD643D"/>
    <w:rsid w:val="00FD7784"/>
    <w:rsid w:val="00FE04FE"/>
    <w:rsid w:val="00FE18D3"/>
    <w:rsid w:val="00FE53BF"/>
    <w:rsid w:val="00FF2096"/>
    <w:rsid w:val="00FF25C5"/>
    <w:rsid w:val="00FF2FA8"/>
    <w:rsid w:val="00FF3A47"/>
    <w:rsid w:val="00FF5F44"/>
    <w:rsid w:val="00FF67A7"/>
    <w:rsid w:val="1B8DE2A6"/>
    <w:rsid w:val="39ED148D"/>
    <w:rsid w:val="57DD7EBE"/>
    <w:rsid w:val="612F0A31"/>
    <w:rsid w:val="6FFECA28"/>
    <w:rsid w:val="79CFC4D0"/>
    <w:rsid w:val="7CFD3176"/>
    <w:rsid w:val="7FF92BEE"/>
    <w:rsid w:val="8FEB891C"/>
    <w:rsid w:val="93FD0664"/>
    <w:rsid w:val="9DEFFA40"/>
    <w:rsid w:val="ADFF10E3"/>
    <w:rsid w:val="D47F432B"/>
    <w:rsid w:val="D7FE07DB"/>
    <w:rsid w:val="F46B83EB"/>
    <w:rsid w:val="F7FD22F7"/>
    <w:rsid w:val="FDB7F2D5"/>
    <w:rsid w:val="FEE9996F"/>
    <w:rsid w:val="FF9E0AE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nhideWhenUsed="0" w:uiPriority="99" w:name="header"/>
    <w:lsdException w:qFormat="1" w:unhideWhenUsed="0"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Times New Roman" w:eastAsiaTheme="minorEastAsia"/>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macro"/>
    <w:link w:val="15"/>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Times New Roman" w:eastAsiaTheme="minorEastAsia"/>
      <w:kern w:val="2"/>
      <w:lang w:val="en-US" w:eastAsia="zh-CN" w:bidi="ar-SA"/>
    </w:rPr>
  </w:style>
  <w:style w:type="paragraph" w:styleId="3">
    <w:name w:val="annotation text"/>
    <w:basedOn w:val="1"/>
    <w:link w:val="21"/>
    <w:unhideWhenUsed/>
    <w:qFormat/>
    <w:uiPriority w:val="99"/>
    <w:pPr>
      <w:jc w:val="left"/>
    </w:pPr>
  </w:style>
  <w:style w:type="paragraph" w:styleId="4">
    <w:name w:val="Balloon Text"/>
    <w:basedOn w:val="1"/>
    <w:link w:val="23"/>
    <w:semiHidden/>
    <w:unhideWhenUsed/>
    <w:qFormat/>
    <w:uiPriority w:val="99"/>
    <w:rPr>
      <w:rFonts w:ascii="Segoe UI" w:hAnsi="Segoe UI" w:cs="Segoe UI"/>
      <w:sz w:val="18"/>
      <w:szCs w:val="18"/>
    </w:rPr>
  </w:style>
  <w:style w:type="paragraph" w:styleId="5">
    <w:name w:val="footer"/>
    <w:basedOn w:val="1"/>
    <w:link w:val="18"/>
    <w:semiHidden/>
    <w:qFormat/>
    <w:uiPriority w:val="99"/>
    <w:pPr>
      <w:tabs>
        <w:tab w:val="center" w:pos="4153"/>
        <w:tab w:val="right" w:pos="8306"/>
      </w:tabs>
      <w:snapToGrid w:val="0"/>
      <w:jc w:val="left"/>
    </w:pPr>
    <w:rPr>
      <w:sz w:val="18"/>
      <w:szCs w:val="18"/>
    </w:rPr>
  </w:style>
  <w:style w:type="paragraph" w:styleId="6">
    <w:name w:val="header"/>
    <w:basedOn w:val="1"/>
    <w:link w:val="16"/>
    <w:semiHidden/>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31"/>
    <w:semiHidden/>
    <w:unhideWhenUsed/>
    <w:qFormat/>
    <w:uiPriority w:val="99"/>
    <w:pPr>
      <w:snapToGrid w:val="0"/>
      <w:jc w:val="left"/>
    </w:pPr>
    <w:rPr>
      <w:rFonts w:eastAsia="宋体"/>
      <w:sz w:val="18"/>
      <w:szCs w:val="18"/>
    </w:rPr>
  </w:style>
  <w:style w:type="paragraph" w:styleId="8">
    <w:name w:val="annotation subject"/>
    <w:basedOn w:val="3"/>
    <w:next w:val="3"/>
    <w:link w:val="22"/>
    <w:semiHidden/>
    <w:unhideWhenUsed/>
    <w:qFormat/>
    <w:uiPriority w:val="99"/>
    <w:rPr>
      <w:b/>
      <w:bCs/>
    </w:rPr>
  </w:style>
  <w:style w:type="table" w:styleId="10">
    <w:name w:val="Table Grid"/>
    <w:basedOn w:val="9"/>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0"/>
    <w:rPr>
      <w:color w:val="0563C1" w:themeColor="hyperlink"/>
      <w:u w:val="single"/>
      <w14:textFill>
        <w14:solidFill>
          <w14:schemeClr w14:val="hlink"/>
        </w14:solidFill>
      </w14:textFill>
    </w:rPr>
  </w:style>
  <w:style w:type="character" w:styleId="13">
    <w:name w:val="annotation reference"/>
    <w:basedOn w:val="11"/>
    <w:semiHidden/>
    <w:unhideWhenUsed/>
    <w:qFormat/>
    <w:uiPriority w:val="0"/>
    <w:rPr>
      <w:sz w:val="21"/>
      <w:szCs w:val="21"/>
    </w:rPr>
  </w:style>
  <w:style w:type="character" w:styleId="14">
    <w:name w:val="footnote reference"/>
    <w:basedOn w:val="11"/>
    <w:unhideWhenUsed/>
    <w:qFormat/>
    <w:uiPriority w:val="99"/>
    <w:rPr>
      <w:vertAlign w:val="superscript"/>
    </w:rPr>
  </w:style>
  <w:style w:type="character" w:customStyle="1" w:styleId="15">
    <w:name w:val="宏文本 字符"/>
    <w:basedOn w:val="11"/>
    <w:link w:val="2"/>
    <w:semiHidden/>
    <w:qFormat/>
    <w:uiPriority w:val="99"/>
    <w:rPr>
      <w:rFonts w:ascii="Consolas" w:hAnsi="Consolas" w:cs="Times New Roman"/>
      <w:sz w:val="20"/>
      <w:szCs w:val="20"/>
    </w:rPr>
  </w:style>
  <w:style w:type="character" w:customStyle="1" w:styleId="16">
    <w:name w:val="页眉 字符"/>
    <w:basedOn w:val="11"/>
    <w:link w:val="6"/>
    <w:semiHidden/>
    <w:qFormat/>
    <w:uiPriority w:val="99"/>
    <w:rPr>
      <w:rFonts w:ascii="Times New Roman" w:hAnsi="Times New Roman" w:cs="Times New Roman"/>
      <w:sz w:val="18"/>
      <w:szCs w:val="18"/>
    </w:rPr>
  </w:style>
  <w:style w:type="paragraph" w:customStyle="1" w:styleId="17">
    <w:name w:val="DocId"/>
    <w:basedOn w:val="5"/>
    <w:qFormat/>
    <w:uiPriority w:val="0"/>
    <w:pPr>
      <w:widowControl/>
      <w:tabs>
        <w:tab w:val="center" w:pos="4680"/>
        <w:tab w:val="right" w:pos="9360"/>
        <w:tab w:val="clear" w:pos="4153"/>
        <w:tab w:val="clear" w:pos="8306"/>
      </w:tabs>
      <w:snapToGrid/>
    </w:pPr>
    <w:rPr>
      <w:rFonts w:cstheme="minorBidi"/>
      <w:kern w:val="0"/>
      <w:sz w:val="16"/>
      <w:szCs w:val="16"/>
      <w:lang w:eastAsia="en-US"/>
    </w:rPr>
  </w:style>
  <w:style w:type="character" w:customStyle="1" w:styleId="18">
    <w:name w:val="页脚 字符"/>
    <w:basedOn w:val="11"/>
    <w:link w:val="5"/>
    <w:semiHidden/>
    <w:qFormat/>
    <w:uiPriority w:val="99"/>
    <w:rPr>
      <w:rFonts w:ascii="Times New Roman" w:hAnsi="Times New Roman" w:cs="Times New Roman"/>
      <w:sz w:val="18"/>
      <w:szCs w:val="18"/>
    </w:rPr>
  </w:style>
  <w:style w:type="paragraph" w:styleId="19">
    <w:name w:val="List Paragraph"/>
    <w:basedOn w:val="1"/>
    <w:qFormat/>
    <w:uiPriority w:val="34"/>
    <w:pPr>
      <w:ind w:firstLine="420" w:firstLineChars="200"/>
    </w:pPr>
  </w:style>
  <w:style w:type="paragraph" w:customStyle="1" w:styleId="20">
    <w:name w:val="Revision1"/>
    <w:hidden/>
    <w:semiHidden/>
    <w:qFormat/>
    <w:uiPriority w:val="99"/>
    <w:rPr>
      <w:rFonts w:ascii="Times New Roman" w:hAnsi="Times New Roman" w:cs="Times New Roman" w:eastAsiaTheme="minorEastAsia"/>
      <w:kern w:val="2"/>
      <w:sz w:val="21"/>
      <w:szCs w:val="22"/>
      <w:lang w:val="en-US" w:eastAsia="zh-CN" w:bidi="ar-SA"/>
    </w:rPr>
  </w:style>
  <w:style w:type="character" w:customStyle="1" w:styleId="21">
    <w:name w:val="批注文字 字符"/>
    <w:basedOn w:val="11"/>
    <w:link w:val="3"/>
    <w:qFormat/>
    <w:uiPriority w:val="99"/>
    <w:rPr>
      <w:rFonts w:ascii="Times New Roman" w:hAnsi="Times New Roman" w:cs="Times New Roman"/>
      <w:szCs w:val="22"/>
    </w:rPr>
  </w:style>
  <w:style w:type="character" w:customStyle="1" w:styleId="22">
    <w:name w:val="批注主题 字符"/>
    <w:basedOn w:val="21"/>
    <w:link w:val="8"/>
    <w:semiHidden/>
    <w:qFormat/>
    <w:uiPriority w:val="99"/>
    <w:rPr>
      <w:rFonts w:ascii="Times New Roman" w:hAnsi="Times New Roman" w:cs="Times New Roman"/>
      <w:b/>
      <w:bCs/>
      <w:szCs w:val="22"/>
    </w:rPr>
  </w:style>
  <w:style w:type="character" w:customStyle="1" w:styleId="23">
    <w:name w:val="批注框文本 字符"/>
    <w:basedOn w:val="11"/>
    <w:link w:val="4"/>
    <w:semiHidden/>
    <w:qFormat/>
    <w:uiPriority w:val="99"/>
    <w:rPr>
      <w:rFonts w:ascii="Segoe UI" w:hAnsi="Segoe UI" w:cs="Segoe UI"/>
      <w:sz w:val="18"/>
      <w:szCs w:val="18"/>
    </w:rPr>
  </w:style>
  <w:style w:type="paragraph" w:customStyle="1" w:styleId="24">
    <w:name w:val="MacPacTrailer"/>
    <w:qFormat/>
    <w:uiPriority w:val="0"/>
    <w:pPr>
      <w:widowControl w:val="0"/>
      <w:spacing w:line="170" w:lineRule="exact"/>
    </w:pPr>
    <w:rPr>
      <w:rFonts w:ascii="Times New Roman" w:hAnsi="Times New Roman" w:cs="Times New Roman" w:eastAsiaTheme="minorEastAsia"/>
      <w:kern w:val="2"/>
      <w:sz w:val="14"/>
      <w:szCs w:val="22"/>
      <w:lang w:val="en-GB" w:eastAsia="en-GB" w:bidi="ar-SA"/>
    </w:rPr>
  </w:style>
  <w:style w:type="paragraph" w:customStyle="1" w:styleId="25">
    <w:name w:val="Revision2"/>
    <w:hidden/>
    <w:unhideWhenUsed/>
    <w:qFormat/>
    <w:uiPriority w:val="99"/>
    <w:rPr>
      <w:rFonts w:ascii="Times New Roman" w:hAnsi="Times New Roman" w:cs="Times New Roman" w:eastAsiaTheme="minorEastAsia"/>
      <w:kern w:val="2"/>
      <w:sz w:val="21"/>
      <w:szCs w:val="22"/>
      <w:lang w:val="en-US" w:eastAsia="zh-CN" w:bidi="ar-SA"/>
    </w:rPr>
  </w:style>
  <w:style w:type="paragraph" w:customStyle="1" w:styleId="26">
    <w:name w:val="修订1"/>
    <w:hidden/>
    <w:unhideWhenUsed/>
    <w:qFormat/>
    <w:uiPriority w:val="99"/>
    <w:rPr>
      <w:rFonts w:ascii="Times New Roman" w:hAnsi="Times New Roman" w:cs="Times New Roman" w:eastAsiaTheme="minorEastAsia"/>
      <w:kern w:val="2"/>
      <w:sz w:val="21"/>
      <w:szCs w:val="22"/>
      <w:lang w:val="en-US" w:eastAsia="zh-CN" w:bidi="ar-SA"/>
    </w:rPr>
  </w:style>
  <w:style w:type="paragraph" w:customStyle="1" w:styleId="27">
    <w:name w:val="Footer_1"/>
    <w:semiHidden/>
    <w:qFormat/>
    <w:uiPriority w:val="99"/>
    <w:pPr>
      <w:widowControl w:val="0"/>
      <w:tabs>
        <w:tab w:val="center" w:pos="4153"/>
        <w:tab w:val="right" w:pos="8306"/>
      </w:tabs>
      <w:snapToGrid w:val="0"/>
    </w:pPr>
    <w:rPr>
      <w:rFonts w:ascii="Times New Roman" w:hAnsi="Times New Roman" w:cs="Times New Roman" w:eastAsiaTheme="minorEastAsia"/>
      <w:kern w:val="2"/>
      <w:sz w:val="18"/>
      <w:szCs w:val="18"/>
      <w:lang w:val="en-GB" w:eastAsia="en-GB" w:bidi="ar-SA"/>
    </w:rPr>
  </w:style>
  <w:style w:type="paragraph" w:customStyle="1" w:styleId="28">
    <w:name w:val="Revision3"/>
    <w:hidden/>
    <w:unhideWhenUsed/>
    <w:qFormat/>
    <w:uiPriority w:val="99"/>
    <w:rPr>
      <w:rFonts w:ascii="Times New Roman" w:hAnsi="Times New Roman" w:cs="Times New Roman" w:eastAsiaTheme="minorEastAsia"/>
      <w:kern w:val="2"/>
      <w:sz w:val="21"/>
      <w:szCs w:val="22"/>
      <w:lang w:val="en-US" w:eastAsia="zh-CN" w:bidi="ar-SA"/>
    </w:rPr>
  </w:style>
  <w:style w:type="paragraph" w:customStyle="1" w:styleId="29">
    <w:name w:val="修订2"/>
    <w:hidden/>
    <w:semiHidden/>
    <w:qFormat/>
    <w:uiPriority w:val="99"/>
    <w:rPr>
      <w:rFonts w:ascii="Times New Roman" w:hAnsi="Times New Roman" w:cs="Times New Roman" w:eastAsiaTheme="minorEastAsia"/>
      <w:kern w:val="2"/>
      <w:sz w:val="21"/>
      <w:szCs w:val="22"/>
      <w:lang w:val="en-US" w:eastAsia="zh-CN" w:bidi="ar-SA"/>
    </w:rPr>
  </w:style>
  <w:style w:type="character" w:customStyle="1" w:styleId="30">
    <w:name w:val="未处理的提及1"/>
    <w:basedOn w:val="11"/>
    <w:semiHidden/>
    <w:unhideWhenUsed/>
    <w:qFormat/>
    <w:uiPriority w:val="99"/>
    <w:rPr>
      <w:color w:val="605E5C"/>
      <w:shd w:val="clear" w:color="auto" w:fill="E1DFDD"/>
    </w:rPr>
  </w:style>
  <w:style w:type="character" w:customStyle="1" w:styleId="31">
    <w:name w:val="脚注文本 字符"/>
    <w:basedOn w:val="11"/>
    <w:link w:val="7"/>
    <w:semiHidden/>
    <w:qFormat/>
    <w:uiPriority w:val="99"/>
    <w:rPr>
      <w:rFonts w:ascii="Times New Roman" w:hAnsi="Times New Roman" w:eastAsia="宋体" w:cs="Times New Roman"/>
      <w:kern w:val="2"/>
      <w:sz w:val="18"/>
      <w:szCs w:val="18"/>
      <w:lang w:val="en-US"/>
    </w:rPr>
  </w:style>
  <w:style w:type="character" w:customStyle="1" w:styleId="32">
    <w:name w:val="未处理的提及2"/>
    <w:basedOn w:val="11"/>
    <w:semiHidden/>
    <w:unhideWhenUsed/>
    <w:qFormat/>
    <w:uiPriority w:val="99"/>
    <w:rPr>
      <w:color w:val="605E5C"/>
      <w:shd w:val="clear" w:color="auto" w:fill="E1DFDD"/>
    </w:rPr>
  </w:style>
  <w:style w:type="paragraph" w:customStyle="1" w:styleId="33">
    <w:name w:val="修订3"/>
    <w:hidden/>
    <w:unhideWhenUsed/>
    <w:qFormat/>
    <w:uiPriority w:val="99"/>
    <w:rPr>
      <w:rFonts w:ascii="Times New Roman" w:hAnsi="Times New Roman" w:cs="Times New Roman" w:eastAsiaTheme="minorEastAsia"/>
      <w:kern w:val="2"/>
      <w:sz w:val="21"/>
      <w:szCs w:val="22"/>
      <w:lang w:val="en-US" w:eastAsia="zh-CN" w:bidi="ar-SA"/>
    </w:rPr>
  </w:style>
  <w:style w:type="paragraph" w:customStyle="1" w:styleId="34">
    <w:name w:val="修订4"/>
    <w:hidden/>
    <w:unhideWhenUsed/>
    <w:qFormat/>
    <w:uiPriority w:val="99"/>
    <w:rPr>
      <w:rFonts w:ascii="Times New Roman" w:hAnsi="Times New Roman" w:cs="Times New Roman" w:eastAsiaTheme="minorEastAsia"/>
      <w:kern w:val="2"/>
      <w:sz w:val="21"/>
      <w:szCs w:val="22"/>
      <w:lang w:val="en-US" w:eastAsia="zh-CN" w:bidi="ar-SA"/>
    </w:rPr>
  </w:style>
  <w:style w:type="paragraph" w:customStyle="1" w:styleId="35">
    <w:name w:val="Revision"/>
    <w:hidden/>
    <w:unhideWhenUsed/>
    <w:qFormat/>
    <w:uiPriority w:val="99"/>
    <w:rPr>
      <w:rFonts w:ascii="Times New Roman" w:hAnsi="Times New Roman" w:cs="Times New Roman" w:eastAsiaTheme="minorEastAsia"/>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147</Words>
  <Characters>843</Characters>
  <Lines>7</Lines>
  <Paragraphs>1</Paragraphs>
  <TotalTime>5</TotalTime>
  <ScaleCrop>false</ScaleCrop>
  <LinksUpToDate>false</LinksUpToDate>
  <CharactersWithSpaces>989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2026-05-26T16:33:00Z</dcterms:created>
  <dc:creator>Data</dc:creator>
  <cp:lastModifiedBy>guest</cp:lastModifiedBy>
  <dcterms:modified xsi:type="dcterms:W3CDTF">2026-06-22T17:20:38Z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
    <vt:lpwstr>{REF:0574620116}</vt:lpwstr>
  </property>
  <property fmtid="{D5CDD505-2E9C-101B-9397-08002B2CF9AE}" pid="3" name="REF0">
    <vt:lpwstr>{REF0:0}</vt:lpwstr>
  </property>
  <property fmtid="{D5CDD505-2E9C-101B-9397-08002B2CF9AE}" pid="4" name="REF1">
    <vt:lpwstr>{REF1:057462}</vt:lpwstr>
  </property>
  <property fmtid="{D5CDD505-2E9C-101B-9397-08002B2CF9AE}" pid="5" name="KSOProductBuildVer">
    <vt:lpwstr>2052-12.8.2.1119</vt:lpwstr>
  </property>
  <property fmtid="{D5CDD505-2E9C-101B-9397-08002B2CF9AE}" pid="6" name="ICV">
    <vt:lpwstr>C791ED49D1F13CF5511EDF69B4D8CA54_43</vt:lpwstr>
  </property>
  <property fmtid="{D5CDD505-2E9C-101B-9397-08002B2CF9AE}" pid="7" name="KSOTemplateDocerSaveRecord">
    <vt:lpwstr>eyJoZGlkIjoiNjRlYzMyNTMyMjU5YmVjYjg2MTEwNWU3YTA4NjMxODAiLCJ1c2VySWQiOiI0Njk2MTQzNDQifQ==</vt:lpwstr>
  </property>
</Properties>
</file>