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0C0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96"/>
        <w:gridCol w:w="5783"/>
      </w:tblGrid>
      <w:tr w14:paraId="2582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案件名称</w:t>
            </w:r>
          </w:p>
        </w:tc>
        <w:tc>
          <w:tcPr>
            <w:tcW w:w="7579" w:type="dxa"/>
            <w:gridSpan w:val="2"/>
            <w:vAlign w:val="center"/>
          </w:tcPr>
          <w:p w14:paraId="4253D798">
            <w:pPr>
              <w:adjustRightInd w:val="0"/>
              <w:snapToGrid w:val="0"/>
              <w:spacing w:before="60" w:after="60"/>
              <w:rPr>
                <w:rFonts w:cs="宋体"/>
                <w:lang w:val="en-US"/>
              </w:rPr>
            </w:pPr>
            <w:r>
              <w:rPr>
                <w:rFonts w:hint="eastAsia" w:cs="宋体"/>
                <w:lang w:val="en-US"/>
              </w:rPr>
              <w:t>加拿大公共部门养老金投资委员会收购AIREIT JV IV LP股权案</w:t>
            </w:r>
          </w:p>
        </w:tc>
      </w:tr>
      <w:tr w14:paraId="7EA7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602DC560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交易概况</w:t>
            </w:r>
          </w:p>
          <w:p w14:paraId="229AFDF4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（限200字内）</w:t>
            </w:r>
          </w:p>
        </w:tc>
        <w:tc>
          <w:tcPr>
            <w:tcW w:w="7579" w:type="dxa"/>
            <w:gridSpan w:val="2"/>
            <w:vAlign w:val="center"/>
          </w:tcPr>
          <w:p w14:paraId="2F377C49">
            <w:pPr>
              <w:widowControl w:val="0"/>
              <w:adjustRightInd w:val="0"/>
              <w:snapToGrid w:val="0"/>
              <w:spacing w:before="60" w:after="60"/>
              <w:rPr>
                <w:rFonts w:cs="宋体"/>
                <w:lang w:val="en-US"/>
              </w:rPr>
            </w:pPr>
            <w:bookmarkStart w:id="0" w:name="_GoBack"/>
            <w:r>
              <w:rPr>
                <w:rFonts w:hint="eastAsia" w:cs="宋体"/>
                <w:lang w:val="en-US"/>
              </w:rPr>
              <w:t>加拿大公共部门养老金投资委员会（“</w:t>
            </w:r>
            <w:r>
              <w:rPr>
                <w:rFonts w:cs="宋体"/>
                <w:b/>
                <w:bCs/>
                <w:lang w:val="en-US"/>
              </w:rPr>
              <w:t>PSPIB</w:t>
            </w:r>
            <w:r>
              <w:rPr>
                <w:rFonts w:hint="eastAsia" w:cs="宋体"/>
                <w:lang w:val="en-US"/>
              </w:rPr>
              <w:t>”）与阿瑞斯管理公司（“</w:t>
            </w:r>
            <w:r>
              <w:rPr>
                <w:rFonts w:hint="eastAsia" w:cs="宋体"/>
                <w:b/>
                <w:bCs/>
                <w:lang w:val="en-US"/>
              </w:rPr>
              <w:t>阿瑞斯</w:t>
            </w:r>
            <w:r>
              <w:rPr>
                <w:rFonts w:hint="eastAsia" w:cs="宋体"/>
                <w:lang w:val="en-US"/>
              </w:rPr>
              <w:t>”）（分别通过其间接控制的实体）、</w:t>
            </w:r>
            <w:r>
              <w:rPr>
                <w:rFonts w:cs="宋体"/>
                <w:lang w:val="en-US"/>
              </w:rPr>
              <w:t xml:space="preserve">AIREIT JV </w:t>
            </w:r>
            <w:r>
              <w:rPr>
                <w:rFonts w:hint="eastAsia" w:cs="宋体"/>
                <w:lang w:val="en-US"/>
              </w:rPr>
              <w:t xml:space="preserve">IV </w:t>
            </w:r>
            <w:r>
              <w:rPr>
                <w:rFonts w:cs="宋体"/>
                <w:lang w:val="en-US"/>
              </w:rPr>
              <w:t>LP</w:t>
            </w:r>
            <w:r>
              <w:rPr>
                <w:rFonts w:hint="eastAsia" w:cs="宋体"/>
                <w:lang w:val="en-US"/>
              </w:rPr>
              <w:t>（“</w:t>
            </w:r>
            <w:r>
              <w:rPr>
                <w:rFonts w:hint="eastAsia" w:cs="宋体"/>
                <w:b/>
                <w:bCs/>
                <w:lang w:val="en-US"/>
              </w:rPr>
              <w:t>目标公司</w:t>
            </w:r>
            <w:r>
              <w:rPr>
                <w:rFonts w:hint="eastAsia" w:cs="宋体"/>
                <w:lang w:val="en-US"/>
              </w:rPr>
              <w:t>”）签署协议，根据协议，PSPIB将收购目标公司49%的合伙权益。目标公司将在交割时持有并运营全部位于美国境内的工业地产。交易前，阿瑞斯（通过其间接控制的实体）持有目标公司100%的合伙权益，单独控制目标公司。交易后，PSPIB与阿瑞斯将分别（通过其间接控制的实体）持有目标公司49%与51%的合伙权益，共同控制目标公司。</w:t>
            </w:r>
            <w:bookmarkEnd w:id="0"/>
          </w:p>
        </w:tc>
      </w:tr>
      <w:tr w14:paraId="311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484757CC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参与集中的经营者简介</w:t>
            </w:r>
          </w:p>
          <w:p w14:paraId="056D54E7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（每个限100字以内）</w:t>
            </w:r>
          </w:p>
        </w:tc>
        <w:tc>
          <w:tcPr>
            <w:tcW w:w="1796" w:type="dxa"/>
            <w:vAlign w:val="center"/>
          </w:tcPr>
          <w:p w14:paraId="4E5ED8B1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1.PSPIB</w:t>
            </w:r>
          </w:p>
        </w:tc>
        <w:tc>
          <w:tcPr>
            <w:tcW w:w="5783" w:type="dxa"/>
            <w:vAlign w:val="center"/>
          </w:tcPr>
          <w:p w14:paraId="24078638">
            <w:pPr>
              <w:widowControl w:val="0"/>
              <w:adjustRightInd w:val="0"/>
              <w:snapToGrid w:val="0"/>
              <w:spacing w:before="60" w:after="60"/>
              <w:rPr>
                <w:rFonts w:cs="宋体"/>
                <w:lang w:val="en-US"/>
              </w:rPr>
            </w:pPr>
            <w:r>
              <w:rPr>
                <w:rFonts w:hint="eastAsia" w:cs="宋体"/>
                <w:lang w:val="en-US"/>
              </w:rPr>
              <w:t>PSPIB于1999年9月14日成立于加拿大。PSPIB管理着多元化的全球投资组合，主要涉及资本市场、私募股权、房地产、基础设施、自然资源和信贷投资领域。</w:t>
            </w:r>
          </w:p>
          <w:p w14:paraId="3E612D64">
            <w:pPr>
              <w:widowControl w:val="0"/>
              <w:adjustRightInd w:val="0"/>
              <w:snapToGrid w:val="0"/>
              <w:spacing w:before="60" w:after="60"/>
              <w:rPr>
                <w:rFonts w:cs="宋体"/>
                <w:lang w:val="en-US"/>
              </w:rPr>
            </w:pPr>
            <w:r>
              <w:rPr>
                <w:rFonts w:hint="eastAsia" w:cs="宋体"/>
                <w:lang w:val="en-US"/>
              </w:rPr>
              <w:t>PSPIB是由加拿大国会根据《公共部门养老金投资委员会法案》设立的一家加拿大皇家公司。PSPIB无最终控制人。</w:t>
            </w:r>
          </w:p>
        </w:tc>
      </w:tr>
      <w:tr w14:paraId="03FE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6181F5E7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2.阿瑞斯</w:t>
            </w:r>
          </w:p>
        </w:tc>
        <w:tc>
          <w:tcPr>
            <w:tcW w:w="5783" w:type="dxa"/>
            <w:vAlign w:val="center"/>
          </w:tcPr>
          <w:p w14:paraId="20FEE92A">
            <w:pPr>
              <w:widowControl w:val="0"/>
              <w:adjustRightInd w:val="0"/>
              <w:snapToGrid w:val="0"/>
              <w:spacing w:after="60"/>
              <w:rPr>
                <w:rFonts w:cs="Arial"/>
              </w:rPr>
            </w:pPr>
            <w:r>
              <w:rPr>
                <w:rFonts w:cs="Arial"/>
              </w:rPr>
              <w:t>阿瑞斯于2013年在美国成立，为纽约证券交易所上市公司，主要业务为投资。</w:t>
            </w:r>
          </w:p>
          <w:p w14:paraId="29E2FC89">
            <w:pPr>
              <w:adjustRightInd w:val="0"/>
              <w:snapToGrid w:val="0"/>
              <w:spacing w:before="60" w:after="60"/>
              <w:rPr>
                <w:rFonts w:cs="宋体"/>
                <w:lang w:val="en-US"/>
              </w:rPr>
            </w:pPr>
            <w:r>
              <w:rPr>
                <w:rFonts w:cs="Arial"/>
              </w:rPr>
              <w:t>阿瑞斯</w:t>
            </w:r>
            <w:r>
              <w:rPr>
                <w:rFonts w:hint="eastAsia" w:cs="Arial"/>
              </w:rPr>
              <w:t>最终控制人为Ares Partners Holdco LLC，主要业务为通过阿瑞斯投资</w:t>
            </w:r>
            <w:r>
              <w:rPr>
                <w:rFonts w:cs="Arial"/>
              </w:rPr>
              <w:t>。</w:t>
            </w:r>
          </w:p>
        </w:tc>
      </w:tr>
      <w:tr w14:paraId="501E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431CA729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简易案件理由</w:t>
            </w:r>
          </w:p>
          <w:p w14:paraId="621457B3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>
            <w:pPr>
              <w:pStyle w:val="5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lang w:val="en-US" w:eastAsia="zh-CN"/>
              </w:rPr>
              <w:t xml:space="preserve"> 1.在同一相关市场，参与集中的经营者所占的市场份额之和小于15%。</w:t>
            </w:r>
          </w:p>
        </w:tc>
      </w:tr>
      <w:tr w14:paraId="0A05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50D7F7E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>
            <w:pPr>
              <w:pStyle w:val="5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lang w:val="en-US" w:eastAsia="zh-CN"/>
              </w:rPr>
              <w:t xml:space="preserve"> 2.在上下游市场，参与集中的经营者所占的市场份额均小于25%。</w:t>
            </w:r>
          </w:p>
        </w:tc>
      </w:tr>
      <w:tr w14:paraId="19E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12C1E95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>
            <w:pPr>
              <w:pStyle w:val="5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lang w:val="en-US" w:eastAsia="zh-CN"/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496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0E9192B8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>
            <w:pPr>
              <w:pStyle w:val="5"/>
              <w:pageBreakBefore/>
              <w:widowControl w:val="0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lang w:val="en-US" w:eastAsia="zh-CN"/>
              </w:rPr>
              <w:t xml:space="preserve"> 4.参与集中的经营者在中国境外设立合营企业，合营企业不在中国境内从事经济活动。</w:t>
            </w:r>
          </w:p>
        </w:tc>
      </w:tr>
      <w:tr w14:paraId="773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73332EA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>
            <w:pPr>
              <w:pStyle w:val="5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sym w:font="Wingdings" w:char="00FE"/>
            </w:r>
            <w:r>
              <w:rPr>
                <w:rFonts w:hint="eastAsia" w:cs="宋体"/>
                <w:lang w:val="en-US" w:eastAsia="zh-CN"/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849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25739E7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>
            <w:pPr>
              <w:pStyle w:val="5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lang w:val="en-US" w:eastAsia="zh-CN"/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66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>
            <w:pPr>
              <w:pStyle w:val="5"/>
              <w:adjustRightInd w:val="0"/>
              <w:snapToGrid w:val="0"/>
              <w:spacing w:after="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>
            <w:pPr>
              <w:pStyle w:val="5"/>
              <w:adjustRightInd w:val="0"/>
              <w:snapToGrid w:val="0"/>
              <w:spacing w:before="60" w:after="60"/>
              <w:rPr>
                <w:rFonts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不适用</w:t>
            </w:r>
          </w:p>
        </w:tc>
      </w:tr>
    </w:tbl>
    <w:p w14:paraId="20474651">
      <w:pPr>
        <w:spacing w:line="20" w:lineRule="exact"/>
        <w:rPr>
          <w:rFonts w:cs="宋体"/>
          <w:bCs/>
          <w:color w:val="000000"/>
          <w:sz w:val="28"/>
          <w:szCs w:val="28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removePersonalInformation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trackRevisions w:val="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484E"/>
    <w:rsid w:val="00006A49"/>
    <w:rsid w:val="000150B7"/>
    <w:rsid w:val="00021AB2"/>
    <w:rsid w:val="00031015"/>
    <w:rsid w:val="000326C8"/>
    <w:rsid w:val="000350B3"/>
    <w:rsid w:val="00041C40"/>
    <w:rsid w:val="0004292A"/>
    <w:rsid w:val="000467AA"/>
    <w:rsid w:val="00062616"/>
    <w:rsid w:val="00066532"/>
    <w:rsid w:val="00073E6B"/>
    <w:rsid w:val="0007723F"/>
    <w:rsid w:val="00077D60"/>
    <w:rsid w:val="00083590"/>
    <w:rsid w:val="00092F4E"/>
    <w:rsid w:val="000A1F89"/>
    <w:rsid w:val="000B563D"/>
    <w:rsid w:val="000B58E5"/>
    <w:rsid w:val="000B5958"/>
    <w:rsid w:val="000B653C"/>
    <w:rsid w:val="000C12E5"/>
    <w:rsid w:val="000C1C03"/>
    <w:rsid w:val="000C6953"/>
    <w:rsid w:val="000C6A02"/>
    <w:rsid w:val="000D0853"/>
    <w:rsid w:val="000E29A9"/>
    <w:rsid w:val="000E3A81"/>
    <w:rsid w:val="000E6BDA"/>
    <w:rsid w:val="000F3072"/>
    <w:rsid w:val="00107E19"/>
    <w:rsid w:val="0011419B"/>
    <w:rsid w:val="00115F62"/>
    <w:rsid w:val="00116BB8"/>
    <w:rsid w:val="00123E26"/>
    <w:rsid w:val="0013032F"/>
    <w:rsid w:val="001435C8"/>
    <w:rsid w:val="00144ED5"/>
    <w:rsid w:val="00145A04"/>
    <w:rsid w:val="00145B05"/>
    <w:rsid w:val="001639D8"/>
    <w:rsid w:val="00163B78"/>
    <w:rsid w:val="00167474"/>
    <w:rsid w:val="00186A05"/>
    <w:rsid w:val="001965E2"/>
    <w:rsid w:val="001A2C0F"/>
    <w:rsid w:val="001B4EA1"/>
    <w:rsid w:val="001C0E1F"/>
    <w:rsid w:val="001C5840"/>
    <w:rsid w:val="001C611D"/>
    <w:rsid w:val="001D1555"/>
    <w:rsid w:val="001D6168"/>
    <w:rsid w:val="001E0F1F"/>
    <w:rsid w:val="001F346E"/>
    <w:rsid w:val="001F35AA"/>
    <w:rsid w:val="001F367B"/>
    <w:rsid w:val="001F36B7"/>
    <w:rsid w:val="002003C5"/>
    <w:rsid w:val="00216C5E"/>
    <w:rsid w:val="00224A7C"/>
    <w:rsid w:val="00226ABA"/>
    <w:rsid w:val="00227605"/>
    <w:rsid w:val="002278D1"/>
    <w:rsid w:val="00231665"/>
    <w:rsid w:val="00232ABA"/>
    <w:rsid w:val="00233737"/>
    <w:rsid w:val="002403B5"/>
    <w:rsid w:val="002432A2"/>
    <w:rsid w:val="00244773"/>
    <w:rsid w:val="00245281"/>
    <w:rsid w:val="00250E61"/>
    <w:rsid w:val="00261F94"/>
    <w:rsid w:val="002676B9"/>
    <w:rsid w:val="00267941"/>
    <w:rsid w:val="002703AE"/>
    <w:rsid w:val="0027717D"/>
    <w:rsid w:val="00287E91"/>
    <w:rsid w:val="00291652"/>
    <w:rsid w:val="00295A9A"/>
    <w:rsid w:val="002964A1"/>
    <w:rsid w:val="002A25F2"/>
    <w:rsid w:val="002A7C26"/>
    <w:rsid w:val="002C2FA2"/>
    <w:rsid w:val="002D0419"/>
    <w:rsid w:val="002E19BF"/>
    <w:rsid w:val="002E2000"/>
    <w:rsid w:val="002F09A7"/>
    <w:rsid w:val="002F5271"/>
    <w:rsid w:val="00306B88"/>
    <w:rsid w:val="00310488"/>
    <w:rsid w:val="00311263"/>
    <w:rsid w:val="00340A3F"/>
    <w:rsid w:val="0034107F"/>
    <w:rsid w:val="00344D27"/>
    <w:rsid w:val="0035604C"/>
    <w:rsid w:val="00371332"/>
    <w:rsid w:val="0037525D"/>
    <w:rsid w:val="003850D4"/>
    <w:rsid w:val="00385F00"/>
    <w:rsid w:val="003866EF"/>
    <w:rsid w:val="003A11E0"/>
    <w:rsid w:val="003A4565"/>
    <w:rsid w:val="003B27EC"/>
    <w:rsid w:val="003B2F86"/>
    <w:rsid w:val="003B4439"/>
    <w:rsid w:val="003B4C9E"/>
    <w:rsid w:val="003B7CBC"/>
    <w:rsid w:val="003C3456"/>
    <w:rsid w:val="003C6AEC"/>
    <w:rsid w:val="003D1727"/>
    <w:rsid w:val="003D3FCB"/>
    <w:rsid w:val="003E3B57"/>
    <w:rsid w:val="003E73DB"/>
    <w:rsid w:val="003F1EAC"/>
    <w:rsid w:val="003F45F7"/>
    <w:rsid w:val="00410914"/>
    <w:rsid w:val="004119F5"/>
    <w:rsid w:val="004166B2"/>
    <w:rsid w:val="004203EF"/>
    <w:rsid w:val="00422E6D"/>
    <w:rsid w:val="00426083"/>
    <w:rsid w:val="00427E52"/>
    <w:rsid w:val="00446353"/>
    <w:rsid w:val="0044739B"/>
    <w:rsid w:val="00447FA5"/>
    <w:rsid w:val="00465F79"/>
    <w:rsid w:val="00467A6B"/>
    <w:rsid w:val="00483A62"/>
    <w:rsid w:val="00495A0A"/>
    <w:rsid w:val="0049707A"/>
    <w:rsid w:val="004973DB"/>
    <w:rsid w:val="0049771A"/>
    <w:rsid w:val="004A4BF1"/>
    <w:rsid w:val="004B106F"/>
    <w:rsid w:val="004C3420"/>
    <w:rsid w:val="004D018B"/>
    <w:rsid w:val="004D124C"/>
    <w:rsid w:val="004D36E3"/>
    <w:rsid w:val="004D4435"/>
    <w:rsid w:val="00504EF0"/>
    <w:rsid w:val="00512A53"/>
    <w:rsid w:val="00523905"/>
    <w:rsid w:val="005251B9"/>
    <w:rsid w:val="005254D7"/>
    <w:rsid w:val="00530BB4"/>
    <w:rsid w:val="0054543A"/>
    <w:rsid w:val="00545A47"/>
    <w:rsid w:val="005517F9"/>
    <w:rsid w:val="005574A9"/>
    <w:rsid w:val="00557B7E"/>
    <w:rsid w:val="0057200D"/>
    <w:rsid w:val="00584750"/>
    <w:rsid w:val="00591CEC"/>
    <w:rsid w:val="00595460"/>
    <w:rsid w:val="005A2906"/>
    <w:rsid w:val="005A74EA"/>
    <w:rsid w:val="005B0CEB"/>
    <w:rsid w:val="005B18A3"/>
    <w:rsid w:val="005B6FCB"/>
    <w:rsid w:val="005B7E63"/>
    <w:rsid w:val="005D277C"/>
    <w:rsid w:val="005D6D17"/>
    <w:rsid w:val="005E4B84"/>
    <w:rsid w:val="005E7B2F"/>
    <w:rsid w:val="005F2977"/>
    <w:rsid w:val="005F332B"/>
    <w:rsid w:val="005F5280"/>
    <w:rsid w:val="005F5904"/>
    <w:rsid w:val="005F7223"/>
    <w:rsid w:val="0060413B"/>
    <w:rsid w:val="00605EE6"/>
    <w:rsid w:val="0060669E"/>
    <w:rsid w:val="00614EBB"/>
    <w:rsid w:val="0061583E"/>
    <w:rsid w:val="0061599C"/>
    <w:rsid w:val="00617BCA"/>
    <w:rsid w:val="006224CE"/>
    <w:rsid w:val="00632159"/>
    <w:rsid w:val="00640E74"/>
    <w:rsid w:val="00645B6A"/>
    <w:rsid w:val="00646D6B"/>
    <w:rsid w:val="00651ED7"/>
    <w:rsid w:val="00652D70"/>
    <w:rsid w:val="006546F3"/>
    <w:rsid w:val="00655225"/>
    <w:rsid w:val="00664174"/>
    <w:rsid w:val="006643EA"/>
    <w:rsid w:val="0067348D"/>
    <w:rsid w:val="006745A9"/>
    <w:rsid w:val="00682729"/>
    <w:rsid w:val="00693129"/>
    <w:rsid w:val="006A3F69"/>
    <w:rsid w:val="006A5B9F"/>
    <w:rsid w:val="006A6F18"/>
    <w:rsid w:val="006B0310"/>
    <w:rsid w:val="006B4541"/>
    <w:rsid w:val="006D1E2B"/>
    <w:rsid w:val="006E0D98"/>
    <w:rsid w:val="006E3180"/>
    <w:rsid w:val="006E6E26"/>
    <w:rsid w:val="006E70AA"/>
    <w:rsid w:val="006F28E7"/>
    <w:rsid w:val="006F69FB"/>
    <w:rsid w:val="006F7A98"/>
    <w:rsid w:val="007029CB"/>
    <w:rsid w:val="00705778"/>
    <w:rsid w:val="00710859"/>
    <w:rsid w:val="00710977"/>
    <w:rsid w:val="0071288A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7244A"/>
    <w:rsid w:val="00794062"/>
    <w:rsid w:val="00797584"/>
    <w:rsid w:val="00797D96"/>
    <w:rsid w:val="007A2D94"/>
    <w:rsid w:val="007B651A"/>
    <w:rsid w:val="007B6ED8"/>
    <w:rsid w:val="007B75E4"/>
    <w:rsid w:val="007C0517"/>
    <w:rsid w:val="007E2608"/>
    <w:rsid w:val="007E267D"/>
    <w:rsid w:val="007F1726"/>
    <w:rsid w:val="007F1F8F"/>
    <w:rsid w:val="0080200E"/>
    <w:rsid w:val="00803A33"/>
    <w:rsid w:val="008051ED"/>
    <w:rsid w:val="00811775"/>
    <w:rsid w:val="00811A21"/>
    <w:rsid w:val="008248B2"/>
    <w:rsid w:val="00834D88"/>
    <w:rsid w:val="00843E38"/>
    <w:rsid w:val="008447D3"/>
    <w:rsid w:val="00852F66"/>
    <w:rsid w:val="008575A9"/>
    <w:rsid w:val="008614F2"/>
    <w:rsid w:val="00864085"/>
    <w:rsid w:val="008729BA"/>
    <w:rsid w:val="008803D0"/>
    <w:rsid w:val="00880F24"/>
    <w:rsid w:val="008836AF"/>
    <w:rsid w:val="00885C9B"/>
    <w:rsid w:val="00893879"/>
    <w:rsid w:val="008B2172"/>
    <w:rsid w:val="008C5C00"/>
    <w:rsid w:val="008C6DD2"/>
    <w:rsid w:val="008D4ED8"/>
    <w:rsid w:val="008D644E"/>
    <w:rsid w:val="008D6AC0"/>
    <w:rsid w:val="008E0A9B"/>
    <w:rsid w:val="008E5BCA"/>
    <w:rsid w:val="008E6E5F"/>
    <w:rsid w:val="008F6149"/>
    <w:rsid w:val="009022B0"/>
    <w:rsid w:val="00905F4A"/>
    <w:rsid w:val="009140B6"/>
    <w:rsid w:val="009145E4"/>
    <w:rsid w:val="009156CA"/>
    <w:rsid w:val="009301D9"/>
    <w:rsid w:val="0094346F"/>
    <w:rsid w:val="009450B4"/>
    <w:rsid w:val="00953187"/>
    <w:rsid w:val="009551E9"/>
    <w:rsid w:val="0096333E"/>
    <w:rsid w:val="009668EC"/>
    <w:rsid w:val="009779E4"/>
    <w:rsid w:val="00977C3B"/>
    <w:rsid w:val="00985214"/>
    <w:rsid w:val="00986A9A"/>
    <w:rsid w:val="009901B5"/>
    <w:rsid w:val="009A0BCC"/>
    <w:rsid w:val="009A2AF3"/>
    <w:rsid w:val="009A2EFA"/>
    <w:rsid w:val="009A4ADE"/>
    <w:rsid w:val="009A57C5"/>
    <w:rsid w:val="009A6CD4"/>
    <w:rsid w:val="009A6E66"/>
    <w:rsid w:val="009B0211"/>
    <w:rsid w:val="009B13F3"/>
    <w:rsid w:val="009C0787"/>
    <w:rsid w:val="009C16F8"/>
    <w:rsid w:val="009C1DE7"/>
    <w:rsid w:val="009C5625"/>
    <w:rsid w:val="009C5962"/>
    <w:rsid w:val="009C5AA1"/>
    <w:rsid w:val="009D0999"/>
    <w:rsid w:val="009E679E"/>
    <w:rsid w:val="009F0698"/>
    <w:rsid w:val="009F70DE"/>
    <w:rsid w:val="00A05705"/>
    <w:rsid w:val="00A12A2E"/>
    <w:rsid w:val="00A14643"/>
    <w:rsid w:val="00A15314"/>
    <w:rsid w:val="00A16F03"/>
    <w:rsid w:val="00A20754"/>
    <w:rsid w:val="00A21136"/>
    <w:rsid w:val="00A2266D"/>
    <w:rsid w:val="00A3323A"/>
    <w:rsid w:val="00A3446F"/>
    <w:rsid w:val="00A40481"/>
    <w:rsid w:val="00A42FA7"/>
    <w:rsid w:val="00A46C66"/>
    <w:rsid w:val="00A46FAF"/>
    <w:rsid w:val="00A5131B"/>
    <w:rsid w:val="00A5674A"/>
    <w:rsid w:val="00A60059"/>
    <w:rsid w:val="00A623EF"/>
    <w:rsid w:val="00A64F91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310D"/>
    <w:rsid w:val="00AD3D4D"/>
    <w:rsid w:val="00AD5894"/>
    <w:rsid w:val="00AE4069"/>
    <w:rsid w:val="00AE7916"/>
    <w:rsid w:val="00AF09EA"/>
    <w:rsid w:val="00AF1D6D"/>
    <w:rsid w:val="00AF5632"/>
    <w:rsid w:val="00AF7089"/>
    <w:rsid w:val="00B0038A"/>
    <w:rsid w:val="00B022EE"/>
    <w:rsid w:val="00B04913"/>
    <w:rsid w:val="00B11B00"/>
    <w:rsid w:val="00B2169A"/>
    <w:rsid w:val="00B31D4D"/>
    <w:rsid w:val="00B3616B"/>
    <w:rsid w:val="00B37633"/>
    <w:rsid w:val="00B518C9"/>
    <w:rsid w:val="00B52EAC"/>
    <w:rsid w:val="00B54969"/>
    <w:rsid w:val="00B80B9E"/>
    <w:rsid w:val="00B838DA"/>
    <w:rsid w:val="00B853DE"/>
    <w:rsid w:val="00B86E3A"/>
    <w:rsid w:val="00BA017F"/>
    <w:rsid w:val="00BC2004"/>
    <w:rsid w:val="00BD535F"/>
    <w:rsid w:val="00BE6E64"/>
    <w:rsid w:val="00BF31B7"/>
    <w:rsid w:val="00BF4F99"/>
    <w:rsid w:val="00C10048"/>
    <w:rsid w:val="00C25EA9"/>
    <w:rsid w:val="00C30E9B"/>
    <w:rsid w:val="00C424FC"/>
    <w:rsid w:val="00C43BEF"/>
    <w:rsid w:val="00C501B9"/>
    <w:rsid w:val="00C51ECC"/>
    <w:rsid w:val="00C600D9"/>
    <w:rsid w:val="00C67ADA"/>
    <w:rsid w:val="00C810E8"/>
    <w:rsid w:val="00C847C2"/>
    <w:rsid w:val="00C87A80"/>
    <w:rsid w:val="00C90BF7"/>
    <w:rsid w:val="00CA6613"/>
    <w:rsid w:val="00CC1D0F"/>
    <w:rsid w:val="00CC25D0"/>
    <w:rsid w:val="00CC3B23"/>
    <w:rsid w:val="00CC69AD"/>
    <w:rsid w:val="00CD4F63"/>
    <w:rsid w:val="00CF1664"/>
    <w:rsid w:val="00CF5A8A"/>
    <w:rsid w:val="00D0098F"/>
    <w:rsid w:val="00D01278"/>
    <w:rsid w:val="00D05F1A"/>
    <w:rsid w:val="00D12AB1"/>
    <w:rsid w:val="00D210DE"/>
    <w:rsid w:val="00D23B36"/>
    <w:rsid w:val="00D27AEB"/>
    <w:rsid w:val="00D340DF"/>
    <w:rsid w:val="00D43191"/>
    <w:rsid w:val="00D434BF"/>
    <w:rsid w:val="00D53BAE"/>
    <w:rsid w:val="00D57DBA"/>
    <w:rsid w:val="00D57EBC"/>
    <w:rsid w:val="00D64977"/>
    <w:rsid w:val="00D66472"/>
    <w:rsid w:val="00D675A1"/>
    <w:rsid w:val="00D71F76"/>
    <w:rsid w:val="00D77095"/>
    <w:rsid w:val="00D80573"/>
    <w:rsid w:val="00D867A5"/>
    <w:rsid w:val="00D94BB1"/>
    <w:rsid w:val="00D961C9"/>
    <w:rsid w:val="00D97B80"/>
    <w:rsid w:val="00DA1D73"/>
    <w:rsid w:val="00DA41AC"/>
    <w:rsid w:val="00DB03F1"/>
    <w:rsid w:val="00DB2761"/>
    <w:rsid w:val="00DB2FF6"/>
    <w:rsid w:val="00DD0E0C"/>
    <w:rsid w:val="00DD71BF"/>
    <w:rsid w:val="00DD7765"/>
    <w:rsid w:val="00DE1802"/>
    <w:rsid w:val="00DE522D"/>
    <w:rsid w:val="00DF230B"/>
    <w:rsid w:val="00DF5521"/>
    <w:rsid w:val="00DF72DB"/>
    <w:rsid w:val="00E06974"/>
    <w:rsid w:val="00E23955"/>
    <w:rsid w:val="00E322C7"/>
    <w:rsid w:val="00E340CC"/>
    <w:rsid w:val="00E417DF"/>
    <w:rsid w:val="00E47327"/>
    <w:rsid w:val="00E60038"/>
    <w:rsid w:val="00E66815"/>
    <w:rsid w:val="00E7385D"/>
    <w:rsid w:val="00E74E7F"/>
    <w:rsid w:val="00E86579"/>
    <w:rsid w:val="00E90A19"/>
    <w:rsid w:val="00E9205F"/>
    <w:rsid w:val="00E97388"/>
    <w:rsid w:val="00E974F8"/>
    <w:rsid w:val="00EA2741"/>
    <w:rsid w:val="00EA2758"/>
    <w:rsid w:val="00EA38E5"/>
    <w:rsid w:val="00EA79DA"/>
    <w:rsid w:val="00EC1274"/>
    <w:rsid w:val="00EC3217"/>
    <w:rsid w:val="00EC636E"/>
    <w:rsid w:val="00EC7E55"/>
    <w:rsid w:val="00ED6F93"/>
    <w:rsid w:val="00EE7984"/>
    <w:rsid w:val="00EE7CB8"/>
    <w:rsid w:val="00EE7DD1"/>
    <w:rsid w:val="00EF16FB"/>
    <w:rsid w:val="00EF20E4"/>
    <w:rsid w:val="00EF6A3B"/>
    <w:rsid w:val="00F02216"/>
    <w:rsid w:val="00F0291C"/>
    <w:rsid w:val="00F07324"/>
    <w:rsid w:val="00F07508"/>
    <w:rsid w:val="00F101DD"/>
    <w:rsid w:val="00F12D82"/>
    <w:rsid w:val="00F14193"/>
    <w:rsid w:val="00F14D59"/>
    <w:rsid w:val="00F1733A"/>
    <w:rsid w:val="00F20CCE"/>
    <w:rsid w:val="00F3614E"/>
    <w:rsid w:val="00F43F55"/>
    <w:rsid w:val="00F500F9"/>
    <w:rsid w:val="00F56870"/>
    <w:rsid w:val="00F576E0"/>
    <w:rsid w:val="00F6440C"/>
    <w:rsid w:val="00F87813"/>
    <w:rsid w:val="00F901CF"/>
    <w:rsid w:val="00F90205"/>
    <w:rsid w:val="00F906EF"/>
    <w:rsid w:val="00FB1FA1"/>
    <w:rsid w:val="00FB33FD"/>
    <w:rsid w:val="00FB645E"/>
    <w:rsid w:val="00FC35ED"/>
    <w:rsid w:val="00FD6CD9"/>
    <w:rsid w:val="00FE20D9"/>
    <w:rsid w:val="00FF5334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2CD9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3">
    <w:name w:val="Bullet L9"/>
    <w:basedOn w:val="1"/>
    <w:link w:val="304"/>
    <w:qFormat/>
    <w:uiPriority w:val="0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5">
    <w:name w:val="Bullet L8"/>
    <w:basedOn w:val="1"/>
    <w:link w:val="306"/>
    <w:qFormat/>
    <w:uiPriority w:val="0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7">
    <w:name w:val="Bullet L7"/>
    <w:basedOn w:val="1"/>
    <w:link w:val="308"/>
    <w:qFormat/>
    <w:uiPriority w:val="0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9">
    <w:name w:val="Bullet L6"/>
    <w:basedOn w:val="1"/>
    <w:link w:val="310"/>
    <w:qFormat/>
    <w:uiPriority w:val="0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1">
    <w:name w:val="Bullet L5"/>
    <w:basedOn w:val="1"/>
    <w:link w:val="312"/>
    <w:qFormat/>
    <w:uiPriority w:val="0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3">
    <w:name w:val="Bullet L4"/>
    <w:basedOn w:val="1"/>
    <w:link w:val="314"/>
    <w:qFormat/>
    <w:uiPriority w:val="0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5">
    <w:name w:val="Bullet L3"/>
    <w:basedOn w:val="1"/>
    <w:link w:val="316"/>
    <w:qFormat/>
    <w:uiPriority w:val="0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7">
    <w:name w:val="Bullet L2"/>
    <w:basedOn w:val="1"/>
    <w:link w:val="318"/>
    <w:qFormat/>
    <w:uiPriority w:val="0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9">
    <w:name w:val="Bullet L1"/>
    <w:basedOn w:val="1"/>
    <w:link w:val="320"/>
    <w:qFormat/>
    <w:uiPriority w:val="0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rFonts w:cs="Simplified Arabic"/>
      <w:b/>
      <w:caps/>
      <w:sz w:val="24"/>
      <w:szCs w:val="24"/>
      <w:lang w:val="en-GB"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8C85240-57F9-4E3E-B63E-8CCADD931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434</Characters>
  <Lines>33</Lines>
  <Paragraphs>10</Paragraphs>
  <TotalTime>1</TotalTime>
  <ScaleCrop>false</ScaleCrop>
  <LinksUpToDate>false</LinksUpToDate>
  <CharactersWithSpaces>853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2026-07-06T12:35:00Z</dcterms:created>
  <dcterms:modified xsi:type="dcterms:W3CDTF">2026-07-09T11:07:05Z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DA1041163CE7F1A659104F6A5F2DA6AA_42</vt:lpwstr>
  </property>
</Properties>
</file>