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E2AA" w14:textId="77777777" w:rsidR="004B76FE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783"/>
        <w:gridCol w:w="5917"/>
      </w:tblGrid>
      <w:tr w:rsidR="004B76FE" w14:paraId="07A503A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04DAA127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5264FF5A" w14:textId="77777777" w:rsidR="004B76FE" w:rsidRDefault="00000000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Triton Fund 6 GP SARL</w:t>
            </w:r>
            <w:r>
              <w:rPr>
                <w:rFonts w:ascii="宋体" w:hAnsi="宋体" w:cs="宋体" w:hint="eastAsia"/>
                <w:lang w:val="en-US" w:bidi="ar-SA"/>
              </w:rPr>
              <w:t>收购弗兰德集团有限责任公司</w:t>
            </w:r>
            <w:r>
              <w:rPr>
                <w:rFonts w:ascii="宋体" w:hAnsi="宋体" w:cs="宋体" w:hint="eastAsia"/>
              </w:rPr>
              <w:t>股权案</w:t>
            </w:r>
          </w:p>
        </w:tc>
      </w:tr>
      <w:tr w:rsidR="004B76FE" w14:paraId="2A62DD35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089DCFB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23EF75AF" w14:textId="77777777" w:rsidR="004B76FE" w:rsidRDefault="00000000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Triton Fund 6 GP SARL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“</w:t>
            </w:r>
            <w:r>
              <w:rPr>
                <w:b/>
                <w:bCs/>
                <w:lang w:val="en-US"/>
              </w:rPr>
              <w:t>Triton Fund 6 GP</w:t>
            </w:r>
            <w:r>
              <w:rPr>
                <w:rFonts w:hint="eastAsia"/>
                <w:lang w:val="en-US"/>
              </w:rPr>
              <w:t>”</w:t>
            </w:r>
            <w:r>
              <w:rPr>
                <w:lang w:val="en-US"/>
              </w:rPr>
              <w:t>）间接控股</w:t>
            </w:r>
            <w:r>
              <w:rPr>
                <w:rFonts w:hint="eastAsia"/>
                <w:lang w:val="en-US"/>
              </w:rPr>
              <w:t>的</w:t>
            </w:r>
            <w:proofErr w:type="spellStart"/>
            <w:r>
              <w:rPr>
                <w:lang w:val="en-US"/>
              </w:rPr>
              <w:t>Foxtrott</w:t>
            </w:r>
            <w:proofErr w:type="spellEnd"/>
            <w:r>
              <w:rPr>
                <w:rFonts w:hint="eastAsia"/>
                <w:lang w:val="en-US"/>
              </w:rPr>
              <w:t>收购</w:t>
            </w:r>
            <w:r>
              <w:rPr>
                <w:lang w:val="en-US"/>
              </w:rPr>
              <w:t>有限责任公司，</w:t>
            </w:r>
            <w:r>
              <w:rPr>
                <w:rFonts w:hint="eastAsia"/>
                <w:lang w:val="en-US"/>
              </w:rPr>
              <w:t>与凯雷集团公司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“</w:t>
            </w:r>
            <w:r>
              <w:rPr>
                <w:rFonts w:hint="eastAsia"/>
                <w:b/>
                <w:bCs/>
                <w:lang w:val="en-US"/>
              </w:rPr>
              <w:t>凯雷</w:t>
            </w:r>
            <w:r>
              <w:rPr>
                <w:rFonts w:hint="eastAsia"/>
                <w:lang w:val="en-US"/>
              </w:rPr>
              <w:t>”</w:t>
            </w:r>
            <w:r>
              <w:rPr>
                <w:lang w:val="en-US"/>
              </w:rPr>
              <w:t>）</w:t>
            </w:r>
            <w:r>
              <w:rPr>
                <w:rFonts w:hint="eastAsia"/>
                <w:lang w:val="en-US"/>
              </w:rPr>
              <w:t>旗下的</w:t>
            </w:r>
            <w:r>
              <w:rPr>
                <w:lang w:val="en-US"/>
              </w:rPr>
              <w:t>关联</w:t>
            </w:r>
            <w:r>
              <w:rPr>
                <w:rFonts w:hint="eastAsia"/>
                <w:lang w:val="en-US"/>
              </w:rPr>
              <w:t>公司</w:t>
            </w:r>
            <w:r>
              <w:rPr>
                <w:lang w:val="en-US"/>
              </w:rPr>
              <w:t>签署</w:t>
            </w:r>
            <w:r>
              <w:rPr>
                <w:rFonts w:hint="eastAsia"/>
                <w:lang w:val="en-US"/>
              </w:rPr>
              <w:t>了</w:t>
            </w:r>
            <w:r>
              <w:rPr>
                <w:lang w:val="en-US"/>
              </w:rPr>
              <w:t>一份</w:t>
            </w:r>
            <w:r>
              <w:rPr>
                <w:rFonts w:hint="eastAsia"/>
                <w:lang w:val="en-US"/>
              </w:rPr>
              <w:t>《买卖</w:t>
            </w:r>
            <w:r>
              <w:rPr>
                <w:lang w:val="en-US"/>
              </w:rPr>
              <w:t>协议》。根据协议约定，</w:t>
            </w:r>
            <w:proofErr w:type="spellStart"/>
            <w:r>
              <w:rPr>
                <w:lang w:val="en-US"/>
              </w:rPr>
              <w:t>Foxtrott</w:t>
            </w:r>
            <w:proofErr w:type="spellEnd"/>
            <w:r>
              <w:rPr>
                <w:rFonts w:hint="eastAsia"/>
                <w:lang w:val="en-US"/>
              </w:rPr>
              <w:t>收购</w:t>
            </w:r>
            <w:r>
              <w:rPr>
                <w:lang w:val="en-US"/>
              </w:rPr>
              <w:t>有限责任公司将</w:t>
            </w:r>
            <w:r>
              <w:rPr>
                <w:rFonts w:hint="eastAsia"/>
                <w:lang w:val="en-US"/>
              </w:rPr>
              <w:t>从</w:t>
            </w:r>
            <w:r>
              <w:rPr>
                <w:lang w:val="en-US"/>
              </w:rPr>
              <w:t>凯雷</w:t>
            </w:r>
            <w:r>
              <w:rPr>
                <w:rFonts w:hint="eastAsia"/>
                <w:lang w:val="en-US"/>
              </w:rPr>
              <w:t>处</w:t>
            </w:r>
            <w:r>
              <w:rPr>
                <w:lang w:val="en-US"/>
              </w:rPr>
              <w:t>收购</w:t>
            </w:r>
            <w:r>
              <w:rPr>
                <w:rFonts w:hint="eastAsia"/>
                <w:lang w:val="en-US"/>
              </w:rPr>
              <w:t>弗兰德集团有限责任公司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“</w:t>
            </w:r>
            <w:r>
              <w:rPr>
                <w:rFonts w:hint="eastAsia"/>
                <w:b/>
                <w:bCs/>
                <w:lang w:val="en-US"/>
              </w:rPr>
              <w:t>弗兰德</w:t>
            </w:r>
            <w:r>
              <w:rPr>
                <w:rFonts w:hint="eastAsia"/>
                <w:lang w:val="en-US"/>
              </w:rPr>
              <w:t>”</w:t>
            </w:r>
            <w:r>
              <w:rPr>
                <w:lang w:val="en-US"/>
              </w:rPr>
              <w:t>）的全部股权及单独控制权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。</w:t>
            </w:r>
            <w:r>
              <w:rPr>
                <w:rFonts w:hint="eastAsia"/>
                <w:lang w:val="en-US"/>
              </w:rPr>
              <w:t>弗兰德</w:t>
            </w:r>
            <w:r>
              <w:rPr>
                <w:lang w:val="en-US"/>
              </w:rPr>
              <w:t>是一家国际传动系统制造商，产品涵盖传动零部件、</w:t>
            </w:r>
            <w:r>
              <w:rPr>
                <w:rFonts w:hint="eastAsia"/>
                <w:lang w:val="en-US"/>
              </w:rPr>
              <w:t>齿轮装</w:t>
            </w:r>
            <w:r>
              <w:rPr>
                <w:lang w:val="en-US"/>
              </w:rPr>
              <w:t>置、齿轮箱、</w:t>
            </w:r>
            <w:r>
              <w:rPr>
                <w:rFonts w:hint="eastAsia"/>
                <w:lang w:val="en-US"/>
              </w:rPr>
              <w:t>联轴器、</w:t>
            </w:r>
            <w:r>
              <w:rPr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涡轮</w:t>
            </w:r>
            <w:r>
              <w:rPr>
                <w:lang w:val="en-US"/>
              </w:rPr>
              <w:t>发电机</w:t>
            </w:r>
            <w:r>
              <w:rPr>
                <w:rFonts w:hint="eastAsia"/>
                <w:lang w:val="en-US"/>
              </w:rPr>
              <w:t>以及相关服务</w:t>
            </w:r>
            <w:r>
              <w:rPr>
                <w:lang w:val="en-US"/>
              </w:rPr>
              <w:t>等。</w:t>
            </w:r>
          </w:p>
          <w:p w14:paraId="34826EA7" w14:textId="77777777" w:rsidR="004B76FE" w:rsidRDefault="004B76FE">
            <w:pPr>
              <w:pStyle w:val="a0"/>
              <w:snapToGrid w:val="0"/>
              <w:spacing w:after="0"/>
              <w:rPr>
                <w:lang w:val="en-US" w:eastAsia="zh-CN"/>
              </w:rPr>
            </w:pPr>
          </w:p>
          <w:p w14:paraId="0ADBB95D" w14:textId="77777777" w:rsidR="004B76FE" w:rsidRDefault="00000000">
            <w:pPr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本次交易前，</w:t>
            </w:r>
            <w:r>
              <w:rPr>
                <w:rFonts w:hint="eastAsia"/>
                <w:lang w:val="en-US"/>
              </w:rPr>
              <w:t>弗兰德</w:t>
            </w:r>
            <w:r>
              <w:rPr>
                <w:lang w:val="en-US"/>
              </w:rPr>
              <w:t>由凯雷全资持有并单独控制；</w:t>
            </w:r>
            <w:r>
              <w:rPr>
                <w:rFonts w:hint="eastAsia"/>
                <w:lang w:val="en-US"/>
              </w:rPr>
              <w:t>本次</w:t>
            </w:r>
            <w:r>
              <w:rPr>
                <w:lang w:val="en-US"/>
              </w:rPr>
              <w:t>交易后，</w:t>
            </w:r>
            <w:r>
              <w:rPr>
                <w:lang w:val="en-US"/>
              </w:rPr>
              <w:t>Triton Fund 6 GP</w:t>
            </w:r>
            <w:r>
              <w:rPr>
                <w:rFonts w:hint="eastAsia"/>
                <w:lang w:val="en-US"/>
              </w:rPr>
              <w:t>将</w:t>
            </w:r>
            <w:r>
              <w:rPr>
                <w:lang w:val="en-US"/>
              </w:rPr>
              <w:t>取得</w:t>
            </w:r>
            <w:r>
              <w:rPr>
                <w:rFonts w:hint="eastAsia"/>
                <w:lang w:val="en-US"/>
              </w:rPr>
              <w:t>弗兰德</w:t>
            </w:r>
            <w:r>
              <w:rPr>
                <w:lang w:val="en-US"/>
              </w:rPr>
              <w:t>的</w:t>
            </w:r>
            <w:r>
              <w:rPr>
                <w:rFonts w:hint="eastAsia"/>
                <w:lang w:val="en-US"/>
              </w:rPr>
              <w:t>间接单</w:t>
            </w:r>
            <w:r>
              <w:rPr>
                <w:lang w:val="en-US"/>
              </w:rPr>
              <w:t>独控制权。</w:t>
            </w:r>
          </w:p>
        </w:tc>
      </w:tr>
      <w:tr w:rsidR="004B76FE" w14:paraId="195920FC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DCD0B7A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83" w:type="dxa"/>
            <w:vAlign w:val="center"/>
          </w:tcPr>
          <w:p w14:paraId="2E3E1D44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</w:rPr>
              <w:t>Triton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Fund 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 xml:space="preserve"> GP</w:t>
            </w:r>
          </w:p>
        </w:tc>
        <w:tc>
          <w:tcPr>
            <w:tcW w:w="5917" w:type="dxa"/>
            <w:vAlign w:val="center"/>
          </w:tcPr>
          <w:p w14:paraId="1FF57A4B" w14:textId="77777777" w:rsidR="004B76FE" w:rsidRDefault="00000000">
            <w:pPr>
              <w:snapToGrid w:val="0"/>
              <w:spacing w:after="0"/>
            </w:pPr>
            <w:r>
              <w:rPr>
                <w:lang w:val="en-US"/>
              </w:rPr>
              <w:t xml:space="preserve">Triton Fund 6 GP </w:t>
            </w:r>
            <w:r>
              <w:t>于</w:t>
            </w:r>
            <w:r>
              <w:t>2022</w:t>
            </w:r>
            <w:r>
              <w:t>年</w:t>
            </w:r>
            <w:r>
              <w:t>6</w:t>
            </w:r>
            <w:r>
              <w:t>月</w:t>
            </w:r>
            <w:r>
              <w:t>27</w:t>
            </w:r>
            <w:r>
              <w:t>日在卢森堡</w:t>
            </w:r>
            <w:r>
              <w:rPr>
                <w:rFonts w:hint="eastAsia"/>
              </w:rPr>
              <w:t>成立</w:t>
            </w:r>
            <w:r>
              <w:t>，系</w:t>
            </w:r>
            <w:r>
              <w:rPr>
                <w:rFonts w:hint="eastAsia"/>
              </w:rPr>
              <w:t>德腾六号基金</w:t>
            </w:r>
            <w:r>
              <w:t>的普通合伙人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后者</w:t>
            </w:r>
            <w:r>
              <w:rPr>
                <w:rFonts w:hint="eastAsia"/>
                <w:lang w:val="en-US" w:bidi="ar"/>
              </w:rPr>
              <w:t>由</w:t>
            </w:r>
            <w:r>
              <w:rPr>
                <w:rFonts w:hint="eastAsia"/>
                <w:lang w:bidi="ar"/>
              </w:rPr>
              <w:t>德腾集团旗下实体</w:t>
            </w:r>
            <w:r>
              <w:rPr>
                <w:lang w:bidi="ar"/>
              </w:rPr>
              <w:t>管理并提供</w:t>
            </w:r>
            <w:r>
              <w:rPr>
                <w:rFonts w:hint="eastAsia"/>
                <w:lang w:bidi="ar"/>
              </w:rPr>
              <w:t>咨询</w:t>
            </w:r>
            <w:r>
              <w:t>。</w:t>
            </w:r>
            <w:r>
              <w:rPr>
                <w:rFonts w:hint="eastAsia"/>
              </w:rPr>
              <w:t>德腾</w:t>
            </w:r>
            <w:r>
              <w:rPr>
                <w:rFonts w:hint="eastAsia"/>
                <w:lang w:val="en-US"/>
              </w:rPr>
              <w:t>集团</w:t>
            </w:r>
            <w:r>
              <w:rPr>
                <w:rFonts w:ascii="宋体" w:hAnsi="宋体" w:cs="宋体" w:hint="eastAsia"/>
                <w:color w:val="000000" w:themeColor="text1"/>
              </w:rPr>
              <w:t>专注于投资总部位于中欧及北欧地区的中型企业，重点投资</w:t>
            </w:r>
            <w:r>
              <w:rPr>
                <w:rFonts w:hint="eastAsia"/>
                <w:lang w:val="en-US"/>
              </w:rPr>
              <w:t>商业服务、工业技术和医疗保健领域。</w:t>
            </w:r>
          </w:p>
          <w:p w14:paraId="276158C1" w14:textId="77777777" w:rsidR="004B76FE" w:rsidRDefault="004B76FE">
            <w:pPr>
              <w:pStyle w:val="a0"/>
              <w:snapToGrid w:val="0"/>
              <w:spacing w:after="0"/>
              <w:rPr>
                <w:lang w:eastAsia="zh-CN"/>
              </w:rPr>
            </w:pPr>
          </w:p>
          <w:p w14:paraId="5C969EDB" w14:textId="77777777" w:rsidR="004B76FE" w:rsidRDefault="00000000">
            <w:pPr>
              <w:snapToGrid w:val="0"/>
              <w:spacing w:after="0"/>
              <w:rPr>
                <w:color w:val="000000"/>
                <w:lang w:val="en-US"/>
              </w:rPr>
            </w:pPr>
            <w:r>
              <w:rPr>
                <w:lang w:val="en-US"/>
              </w:rPr>
              <w:t>Triton Fund 6 GP</w:t>
            </w:r>
            <w:r>
              <w:rPr>
                <w:rFonts w:hint="eastAsia"/>
                <w:lang w:val="en-US"/>
              </w:rPr>
              <w:t>无</w:t>
            </w:r>
            <w:r>
              <w:rPr>
                <w:lang w:val="en-US"/>
              </w:rPr>
              <w:t>最终控制人。</w:t>
            </w:r>
          </w:p>
        </w:tc>
      </w:tr>
      <w:tr w:rsidR="004B76FE" w14:paraId="5682BB55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0B532CD5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 w14:paraId="10EB8D39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弗兰德</w:t>
            </w:r>
          </w:p>
        </w:tc>
        <w:tc>
          <w:tcPr>
            <w:tcW w:w="5917" w:type="dxa"/>
            <w:vAlign w:val="center"/>
          </w:tcPr>
          <w:p w14:paraId="37956CC5" w14:textId="77777777" w:rsidR="004B76FE" w:rsidRDefault="00000000">
            <w:pPr>
              <w:snapToGrid w:val="0"/>
              <w:spacing w:after="0"/>
              <w:rPr>
                <w:color w:val="000000"/>
                <w:lang w:val="en-US" w:bidi="ar"/>
              </w:rPr>
            </w:pPr>
            <w:r>
              <w:rPr>
                <w:lang w:val="en-US"/>
              </w:rPr>
              <w:t>弗兰德</w:t>
            </w:r>
            <w:r>
              <w:rPr>
                <w:color w:val="000000"/>
                <w:lang w:val="en-US" w:bidi="ar"/>
              </w:rPr>
              <w:t>于</w:t>
            </w:r>
            <w:r>
              <w:rPr>
                <w:color w:val="000000"/>
                <w:lang w:val="en-US" w:bidi="ar"/>
              </w:rPr>
              <w:t>2020</w:t>
            </w:r>
            <w:r>
              <w:rPr>
                <w:color w:val="000000"/>
                <w:lang w:val="en-US" w:bidi="ar"/>
              </w:rPr>
              <w:t>年</w:t>
            </w:r>
            <w:r>
              <w:rPr>
                <w:rFonts w:hint="eastAsia"/>
                <w:color w:val="000000"/>
                <w:lang w:val="en-US" w:bidi="ar"/>
              </w:rPr>
              <w:t>8</w:t>
            </w:r>
            <w:r>
              <w:rPr>
                <w:color w:val="000000"/>
                <w:lang w:val="en-US" w:bidi="ar"/>
              </w:rPr>
              <w:t>月</w:t>
            </w:r>
            <w:r>
              <w:rPr>
                <w:rFonts w:hint="eastAsia"/>
                <w:color w:val="000000"/>
                <w:lang w:val="en-US" w:bidi="ar"/>
              </w:rPr>
              <w:t>17</w:t>
            </w:r>
            <w:r>
              <w:rPr>
                <w:color w:val="000000"/>
                <w:lang w:val="en-US" w:bidi="ar"/>
              </w:rPr>
              <w:t>日在德国</w:t>
            </w:r>
            <w:r>
              <w:rPr>
                <w:rFonts w:hint="eastAsia"/>
                <w:color w:val="000000"/>
                <w:lang w:val="en-US" w:bidi="ar"/>
              </w:rPr>
              <w:t>成立</w:t>
            </w:r>
            <w:r>
              <w:rPr>
                <w:color w:val="000000"/>
                <w:lang w:val="en-US" w:bidi="ar"/>
              </w:rPr>
              <w:t>，</w:t>
            </w:r>
            <w:r>
              <w:rPr>
                <w:lang w:val="en-US"/>
              </w:rPr>
              <w:t>是一家国际传动系统制造商，产品涵盖传动零部件、</w:t>
            </w:r>
            <w:r>
              <w:rPr>
                <w:rFonts w:hint="eastAsia"/>
                <w:lang w:val="en-US"/>
              </w:rPr>
              <w:t>齿轮装</w:t>
            </w:r>
            <w:r>
              <w:rPr>
                <w:lang w:val="en-US"/>
              </w:rPr>
              <w:t>置、齿轮箱、</w:t>
            </w:r>
            <w:r>
              <w:rPr>
                <w:rFonts w:hint="eastAsia"/>
                <w:lang w:val="en-US"/>
              </w:rPr>
              <w:t>联轴器、</w:t>
            </w:r>
            <w:r>
              <w:rPr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涡轮</w:t>
            </w:r>
            <w:r>
              <w:rPr>
                <w:lang w:val="en-US"/>
              </w:rPr>
              <w:t>发电机</w:t>
            </w:r>
            <w:r>
              <w:rPr>
                <w:rFonts w:hint="eastAsia"/>
                <w:lang w:val="en-US"/>
              </w:rPr>
              <w:t>以及相关服务</w:t>
            </w:r>
            <w:r>
              <w:rPr>
                <w:lang w:val="en-US"/>
              </w:rPr>
              <w:t>等。</w:t>
            </w:r>
          </w:p>
          <w:p w14:paraId="7A7A89B8" w14:textId="77777777" w:rsidR="004B76FE" w:rsidRDefault="004B76FE">
            <w:pPr>
              <w:pStyle w:val="a0"/>
              <w:snapToGrid w:val="0"/>
              <w:spacing w:after="0"/>
              <w:rPr>
                <w:lang w:val="en-US" w:eastAsia="zh-CN" w:bidi="ar"/>
              </w:rPr>
            </w:pPr>
          </w:p>
          <w:p w14:paraId="4A0254F9" w14:textId="77777777" w:rsidR="004B76FE" w:rsidRDefault="00000000">
            <w:pPr>
              <w:snapToGrid w:val="0"/>
              <w:spacing w:after="0"/>
              <w:rPr>
                <w:bCs/>
                <w:color w:val="000000"/>
              </w:rPr>
            </w:pPr>
            <w:r>
              <w:rPr>
                <w:lang w:val="en-US"/>
              </w:rPr>
              <w:t>弗兰德</w:t>
            </w:r>
            <w:r>
              <w:rPr>
                <w:rFonts w:hint="eastAsia"/>
                <w:lang w:val="en-US"/>
              </w:rPr>
              <w:t>由凯雷最终控制，凯雷是一家全球另类资产管理公司，旗下管理的基金在全球开展投资，主要涵盖三个投资领域：（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  <w:lang w:val="en-US"/>
              </w:rPr>
              <w:t>）全球私募股权业务（包括企业私募股权、房地产及自然资源基金）；（</w:t>
            </w:r>
            <w:r>
              <w:rPr>
                <w:rFonts w:hint="eastAsia"/>
                <w:lang w:val="en-US"/>
              </w:rPr>
              <w:t>2</w:t>
            </w:r>
            <w:r>
              <w:rPr>
                <w:rFonts w:hint="eastAsia"/>
                <w:lang w:val="en-US"/>
              </w:rPr>
              <w:t>）全球信贷业务（包括流动信贷、非流动信贷及实体资产信贷）；以及（</w:t>
            </w:r>
            <w:r>
              <w:rPr>
                <w:rFonts w:hint="eastAsia"/>
                <w:lang w:val="en-US"/>
              </w:rPr>
              <w:t>3</w:t>
            </w:r>
            <w:r>
              <w:rPr>
                <w:rFonts w:hint="eastAsia"/>
                <w:lang w:val="en-US"/>
              </w:rPr>
              <w:t>）投资解决方案（公司投资组合中的私募股权基金，包括一级基金投资、二级基金投资及相关共同投资活动）</w:t>
            </w:r>
            <w:r>
              <w:rPr>
                <w:color w:val="000000"/>
                <w:lang w:val="en-US" w:bidi="ar"/>
              </w:rPr>
              <w:t>。</w:t>
            </w:r>
          </w:p>
        </w:tc>
      </w:tr>
      <w:tr w:rsidR="004B76FE" w14:paraId="15688672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05994C7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7AD7B86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B76FE" w14:paraId="1516B8C0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5FA70D2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C704F9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B76FE" w14:paraId="00284AAA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3BA4DA2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D40F5F3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4B76FE" w14:paraId="20BF4294" w14:textId="77777777">
        <w:trPr>
          <w:trHeight w:val="732"/>
        </w:trPr>
        <w:tc>
          <w:tcPr>
            <w:tcW w:w="1940" w:type="dxa"/>
            <w:vMerge/>
            <w:shd w:val="clear" w:color="auto" w:fill="D9D9D9"/>
            <w:vAlign w:val="center"/>
          </w:tcPr>
          <w:p w14:paraId="24C51801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8369357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4B76FE" w14:paraId="45BBDA89" w14:textId="77777777">
        <w:trPr>
          <w:trHeight w:val="702"/>
        </w:trPr>
        <w:tc>
          <w:tcPr>
            <w:tcW w:w="1940" w:type="dxa"/>
            <w:vMerge/>
            <w:shd w:val="clear" w:color="auto" w:fill="D9D9D9"/>
            <w:vAlign w:val="center"/>
          </w:tcPr>
          <w:p w14:paraId="6469F6AA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28BBDD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4B76FE" w14:paraId="54B51D29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2BB9E06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AA275F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4B76FE" w14:paraId="57199F29" w14:textId="77777777">
        <w:trPr>
          <w:trHeight w:val="1290"/>
        </w:trPr>
        <w:tc>
          <w:tcPr>
            <w:tcW w:w="1940" w:type="dxa"/>
            <w:shd w:val="clear" w:color="auto" w:fill="D9D9D9"/>
            <w:vAlign w:val="center"/>
          </w:tcPr>
          <w:p w14:paraId="432C89D6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EB09C5A" w14:textId="77777777" w:rsidR="004B76F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val="en-US" w:eastAsia="zh-CN"/>
              </w:rPr>
            </w:pPr>
            <w:r>
              <w:rPr>
                <w:rFonts w:cs="Times New Roman" w:hint="eastAsia"/>
                <w:b/>
                <w:color w:val="000000"/>
                <w:lang w:val="en-US" w:eastAsia="zh-CN"/>
              </w:rPr>
              <w:t>混合集中：</w:t>
            </w:r>
          </w:p>
          <w:p w14:paraId="786AF8B7" w14:textId="77777777" w:rsidR="004B76FE" w:rsidRDefault="004B76FE">
            <w:pPr>
              <w:pStyle w:val="a0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val="en-US" w:eastAsia="zh-CN"/>
              </w:rPr>
            </w:pPr>
          </w:p>
          <w:tbl>
            <w:tblPr>
              <w:tblStyle w:val="afff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1"/>
              <w:gridCol w:w="1761"/>
              <w:gridCol w:w="2492"/>
            </w:tblGrid>
            <w:tr w:rsidR="004B76FE" w14:paraId="754EB418" w14:textId="77777777">
              <w:tc>
                <w:tcPr>
                  <w:tcW w:w="3221" w:type="dxa"/>
                </w:tcPr>
                <w:p w14:paraId="3AD48462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761" w:type="dxa"/>
                </w:tcPr>
                <w:p w14:paraId="05E77FD8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</w:tcPr>
                <w:p w14:paraId="1D202596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2025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年市场份额</w:t>
                  </w:r>
                </w:p>
              </w:tc>
            </w:tr>
            <w:tr w:rsidR="004B76FE" w14:paraId="6FA71D39" w14:textId="77777777">
              <w:tc>
                <w:tcPr>
                  <w:tcW w:w="3221" w:type="dxa"/>
                </w:tcPr>
                <w:p w14:paraId="675FFD4B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陆上风电齿轮箱市场</w:t>
                  </w:r>
                </w:p>
              </w:tc>
              <w:tc>
                <w:tcPr>
                  <w:tcW w:w="1761" w:type="dxa"/>
                </w:tcPr>
                <w:p w14:paraId="68851AC2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lang w:val="en-US"/>
                    </w:rPr>
                    <w:t>中国</w:t>
                  </w:r>
                  <w:r>
                    <w:rPr>
                      <w:rFonts w:hint="eastAsia"/>
                      <w:lang w:val="en-US"/>
                    </w:rPr>
                    <w:t>境内</w:t>
                  </w:r>
                  <w:proofErr w:type="spellEnd"/>
                </w:p>
              </w:tc>
              <w:tc>
                <w:tcPr>
                  <w:tcW w:w="2492" w:type="dxa"/>
                </w:tcPr>
                <w:p w14:paraId="55606F9F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hint="eastAsia"/>
                      <w:lang w:val="en-US"/>
                    </w:rPr>
                    <w:t>弗兰德</w:t>
                  </w:r>
                  <w:proofErr w:type="spellEnd"/>
                  <w:r>
                    <w:rPr>
                      <w:lang w:val="en-US"/>
                    </w:rPr>
                    <w:t>：</w:t>
                  </w:r>
                  <w:r>
                    <w:rPr>
                      <w:rFonts w:hint="eastAsia"/>
                      <w:lang w:val="en-US"/>
                    </w:rPr>
                    <w:t>5</w:t>
                  </w:r>
                  <w:r>
                    <w:rPr>
                      <w:rFonts w:hint="eastAsia"/>
                      <w:lang w:val="en-US" w:eastAsia="zh-CN"/>
                    </w:rPr>
                    <w:t>-</w:t>
                  </w:r>
                  <w:r>
                    <w:rPr>
                      <w:rFonts w:hint="eastAsia"/>
                      <w:lang w:val="en-US"/>
                    </w:rPr>
                    <w:t>10</w:t>
                  </w:r>
                  <w:r>
                    <w:rPr>
                      <w:lang w:val="en-US"/>
                    </w:rPr>
                    <w:t>%</w:t>
                  </w:r>
                </w:p>
              </w:tc>
            </w:tr>
            <w:tr w:rsidR="004B76FE" w14:paraId="2D2E0141" w14:textId="77777777">
              <w:tc>
                <w:tcPr>
                  <w:tcW w:w="3221" w:type="dxa"/>
                </w:tcPr>
                <w:p w14:paraId="7918F436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非风电用工业齿轮箱市场</w:t>
                  </w:r>
                </w:p>
              </w:tc>
              <w:tc>
                <w:tcPr>
                  <w:tcW w:w="1761" w:type="dxa"/>
                </w:tcPr>
                <w:p w14:paraId="4D5DBA05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lang w:val="en-US"/>
                    </w:rPr>
                    <w:t>中国</w:t>
                  </w:r>
                  <w:r>
                    <w:rPr>
                      <w:rFonts w:hint="eastAsia"/>
                      <w:lang w:val="en-US"/>
                    </w:rPr>
                    <w:t>境内</w:t>
                  </w:r>
                  <w:proofErr w:type="spellEnd"/>
                </w:p>
              </w:tc>
              <w:tc>
                <w:tcPr>
                  <w:tcW w:w="2492" w:type="dxa"/>
                </w:tcPr>
                <w:p w14:paraId="1FB63C24" w14:textId="77777777" w:rsidR="004B76FE" w:rsidRDefault="00000000">
                  <w:pPr>
                    <w:snapToGrid w:val="0"/>
                    <w:spacing w:after="0"/>
                    <w:jc w:val="left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弗兰德</w:t>
                  </w:r>
                  <w:r>
                    <w:rPr>
                      <w:lang w:val="en-US"/>
                    </w:rPr>
                    <w:t>：</w:t>
                  </w:r>
                  <w:r>
                    <w:rPr>
                      <w:lang w:val="en-US"/>
                    </w:rPr>
                    <w:t>0-5%</w:t>
                  </w:r>
                </w:p>
              </w:tc>
            </w:tr>
            <w:tr w:rsidR="004B76FE" w14:paraId="0D233F08" w14:textId="77777777">
              <w:tc>
                <w:tcPr>
                  <w:tcW w:w="3221" w:type="dxa"/>
                </w:tcPr>
                <w:p w14:paraId="58F2DBBA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陆上风力发电机</w:t>
                  </w:r>
                  <w:r>
                    <w:rPr>
                      <w:lang w:val="en-US" w:eastAsia="zh-CN"/>
                    </w:rPr>
                    <w:t>市场</w:t>
                  </w:r>
                </w:p>
              </w:tc>
              <w:tc>
                <w:tcPr>
                  <w:tcW w:w="1761" w:type="dxa"/>
                </w:tcPr>
                <w:p w14:paraId="77E4427D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lang w:val="en-US"/>
                    </w:rPr>
                    <w:t>中国</w:t>
                  </w:r>
                  <w:r>
                    <w:rPr>
                      <w:rFonts w:hint="eastAsia"/>
                      <w:lang w:val="en-US"/>
                    </w:rPr>
                    <w:t>境内</w:t>
                  </w:r>
                  <w:proofErr w:type="spellEnd"/>
                </w:p>
              </w:tc>
              <w:tc>
                <w:tcPr>
                  <w:tcW w:w="2492" w:type="dxa"/>
                </w:tcPr>
                <w:p w14:paraId="0AD7A009" w14:textId="77777777" w:rsidR="004B76F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hint="eastAsia"/>
                      <w:lang w:val="en-US"/>
                    </w:rPr>
                    <w:t>弗兰德</w:t>
                  </w:r>
                  <w:proofErr w:type="spellEnd"/>
                  <w:r>
                    <w:rPr>
                      <w:lang w:val="en-US"/>
                    </w:rPr>
                    <w:t>：</w:t>
                  </w:r>
                  <w:r>
                    <w:rPr>
                      <w:lang w:val="en-US"/>
                    </w:rPr>
                    <w:t>0-5%</w:t>
                  </w:r>
                </w:p>
              </w:tc>
            </w:tr>
          </w:tbl>
          <w:p w14:paraId="1C35CD81" w14:textId="77777777" w:rsidR="004B76FE" w:rsidRDefault="004B76FE">
            <w:pPr>
              <w:snapToGrid w:val="0"/>
              <w:spacing w:after="0"/>
              <w:jc w:val="left"/>
              <w:rPr>
                <w:bCs/>
                <w:color w:val="000000"/>
                <w:lang w:val="en-US"/>
              </w:rPr>
            </w:pPr>
          </w:p>
        </w:tc>
      </w:tr>
    </w:tbl>
    <w:p w14:paraId="0CFBC4CF" w14:textId="77777777" w:rsidR="004B76FE" w:rsidRDefault="004B76FE">
      <w:pPr>
        <w:pStyle w:val="a0"/>
        <w:adjustRightInd w:val="0"/>
        <w:snapToGrid w:val="0"/>
        <w:spacing w:after="0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p w14:paraId="31B9F5AB" w14:textId="77777777" w:rsidR="004B76FE" w:rsidRDefault="004B76FE"/>
    <w:p w14:paraId="46126B00" w14:textId="77777777" w:rsidR="004B76FE" w:rsidRDefault="00000000">
      <w:pPr>
        <w:tabs>
          <w:tab w:val="left" w:pos="5542"/>
        </w:tabs>
        <w:jc w:val="left"/>
        <w:rPr>
          <w:lang w:val="en-US"/>
        </w:rPr>
      </w:pPr>
      <w:r>
        <w:rPr>
          <w:lang w:val="en-US"/>
        </w:rPr>
        <w:tab/>
      </w:r>
    </w:p>
    <w:sectPr w:rsidR="004B76FE">
      <w:headerReference w:type="default" r:id="rId7"/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8F1E" w14:textId="77777777" w:rsidR="004A294A" w:rsidRDefault="004A294A">
      <w:pPr>
        <w:spacing w:after="0"/>
      </w:pPr>
      <w:r>
        <w:separator/>
      </w:r>
    </w:p>
  </w:endnote>
  <w:endnote w:type="continuationSeparator" w:id="0">
    <w:p w14:paraId="63F102D4" w14:textId="77777777" w:rsidR="004A294A" w:rsidRDefault="004A2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PINGFANG SC SEMIBOLD">
    <w:altName w:val="微软雅黑"/>
    <w:panose1 w:val="020B0604020202020204"/>
    <w:charset w:val="86"/>
    <w:family w:val="swiss"/>
    <w:pitch w:val="default"/>
    <w:sig w:usb0="A00002FF" w:usb1="7ACFFDFB" w:usb2="00000017" w:usb3="00000000" w:csb0="0004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ingFang SC">
    <w:altName w:val="微软雅黑"/>
    <w:panose1 w:val="020B0604020202020204"/>
    <w:charset w:val="86"/>
    <w:family w:val="auto"/>
    <w:pitch w:val="default"/>
    <w:sig w:usb0="A00002FF" w:usb1="7ACFFDFB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4B76FE" w14:paraId="1930CED8" w14:textId="77777777">
      <w:tc>
        <w:tcPr>
          <w:tcW w:w="3080" w:type="dxa"/>
        </w:tcPr>
        <w:p w14:paraId="1F7F714A" w14:textId="77777777" w:rsidR="004B76FE" w:rsidRDefault="004B76FE">
          <w:pPr>
            <w:pStyle w:val="aff4"/>
          </w:pPr>
        </w:p>
      </w:tc>
      <w:tc>
        <w:tcPr>
          <w:tcW w:w="3081" w:type="dxa"/>
        </w:tcPr>
        <w:p w14:paraId="7729F660" w14:textId="77777777" w:rsidR="004B76FE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1FDDC08E" w14:textId="77777777" w:rsidR="004B76FE" w:rsidRDefault="004B76FE">
          <w:pPr>
            <w:pStyle w:val="FooterRight"/>
          </w:pPr>
        </w:p>
      </w:tc>
    </w:tr>
  </w:tbl>
  <w:p w14:paraId="007C0459" w14:textId="77777777" w:rsidR="004B76FE" w:rsidRDefault="004B76FE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3B7D" w14:textId="77777777" w:rsidR="004A294A" w:rsidRDefault="004A294A">
      <w:pPr>
        <w:spacing w:after="0"/>
      </w:pPr>
      <w:r>
        <w:separator/>
      </w:r>
    </w:p>
  </w:footnote>
  <w:footnote w:type="continuationSeparator" w:id="0">
    <w:p w14:paraId="1C7B8C1F" w14:textId="77777777" w:rsidR="004A294A" w:rsidRDefault="004A2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2D6D" w14:textId="77777777" w:rsidR="004B76FE" w:rsidRDefault="004B76FE">
    <w:pPr>
      <w:pStyle w:val="aff7"/>
      <w:snapToGrid w:val="0"/>
      <w:ind w:right="105"/>
      <w:jc w:val="right"/>
      <w:rPr>
        <w:i/>
        <w:iCs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616403138">
    <w:abstractNumId w:val="2"/>
  </w:num>
  <w:num w:numId="2" w16cid:durableId="1800953261">
    <w:abstractNumId w:val="0"/>
  </w:num>
  <w:num w:numId="3" w16cid:durableId="87662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zYzcxMTc1MjU4MTQzNWM4OTE0MmQ1NGJmNTFiOWYifQ=="/>
  </w:docVars>
  <w:rsids>
    <w:rsidRoot w:val="00C51ECC"/>
    <w:rsid w:val="000024FF"/>
    <w:rsid w:val="000027BD"/>
    <w:rsid w:val="000150B7"/>
    <w:rsid w:val="000153D4"/>
    <w:rsid w:val="00021AB2"/>
    <w:rsid w:val="00023BB5"/>
    <w:rsid w:val="0002587B"/>
    <w:rsid w:val="000326C8"/>
    <w:rsid w:val="00041C40"/>
    <w:rsid w:val="0004292A"/>
    <w:rsid w:val="000467AA"/>
    <w:rsid w:val="00050C41"/>
    <w:rsid w:val="00062616"/>
    <w:rsid w:val="000735C2"/>
    <w:rsid w:val="00073E6B"/>
    <w:rsid w:val="0007723F"/>
    <w:rsid w:val="00077D60"/>
    <w:rsid w:val="00083590"/>
    <w:rsid w:val="00091C54"/>
    <w:rsid w:val="00092F4E"/>
    <w:rsid w:val="00093CFF"/>
    <w:rsid w:val="000B58E5"/>
    <w:rsid w:val="000B653C"/>
    <w:rsid w:val="000C3A50"/>
    <w:rsid w:val="000C6953"/>
    <w:rsid w:val="000D34CE"/>
    <w:rsid w:val="000E078F"/>
    <w:rsid w:val="000E29A9"/>
    <w:rsid w:val="000E3A81"/>
    <w:rsid w:val="000F3294"/>
    <w:rsid w:val="000F5955"/>
    <w:rsid w:val="00107D81"/>
    <w:rsid w:val="00107E19"/>
    <w:rsid w:val="00115F62"/>
    <w:rsid w:val="00123E26"/>
    <w:rsid w:val="00127941"/>
    <w:rsid w:val="00133AB5"/>
    <w:rsid w:val="00145B05"/>
    <w:rsid w:val="00146E1A"/>
    <w:rsid w:val="00147432"/>
    <w:rsid w:val="00161F1A"/>
    <w:rsid w:val="001639D8"/>
    <w:rsid w:val="001840A2"/>
    <w:rsid w:val="00186A05"/>
    <w:rsid w:val="001965E2"/>
    <w:rsid w:val="001A2DA2"/>
    <w:rsid w:val="001A6404"/>
    <w:rsid w:val="001B4588"/>
    <w:rsid w:val="001B4EA1"/>
    <w:rsid w:val="001C3A0F"/>
    <w:rsid w:val="001C5840"/>
    <w:rsid w:val="001D1555"/>
    <w:rsid w:val="001D6168"/>
    <w:rsid w:val="001E0C75"/>
    <w:rsid w:val="001E0F1F"/>
    <w:rsid w:val="001E7327"/>
    <w:rsid w:val="001F346E"/>
    <w:rsid w:val="001F35AA"/>
    <w:rsid w:val="001F367B"/>
    <w:rsid w:val="00203E55"/>
    <w:rsid w:val="00224A7C"/>
    <w:rsid w:val="00225D8D"/>
    <w:rsid w:val="002278D1"/>
    <w:rsid w:val="002307D4"/>
    <w:rsid w:val="00231665"/>
    <w:rsid w:val="00233737"/>
    <w:rsid w:val="00234229"/>
    <w:rsid w:val="002403B5"/>
    <w:rsid w:val="00244473"/>
    <w:rsid w:val="00245281"/>
    <w:rsid w:val="00245768"/>
    <w:rsid w:val="00250E61"/>
    <w:rsid w:val="00253837"/>
    <w:rsid w:val="002575A4"/>
    <w:rsid w:val="00261F94"/>
    <w:rsid w:val="00267941"/>
    <w:rsid w:val="00272AAF"/>
    <w:rsid w:val="00284577"/>
    <w:rsid w:val="002854E5"/>
    <w:rsid w:val="00287E91"/>
    <w:rsid w:val="00291652"/>
    <w:rsid w:val="002936C1"/>
    <w:rsid w:val="002964A1"/>
    <w:rsid w:val="002A25F2"/>
    <w:rsid w:val="002A3992"/>
    <w:rsid w:val="002A3D2D"/>
    <w:rsid w:val="002A7A65"/>
    <w:rsid w:val="002A7C26"/>
    <w:rsid w:val="002B0123"/>
    <w:rsid w:val="002E28BF"/>
    <w:rsid w:val="002E4883"/>
    <w:rsid w:val="002E608E"/>
    <w:rsid w:val="002E7058"/>
    <w:rsid w:val="002F09A7"/>
    <w:rsid w:val="002F5271"/>
    <w:rsid w:val="002F7F2D"/>
    <w:rsid w:val="00306B88"/>
    <w:rsid w:val="00310488"/>
    <w:rsid w:val="00311263"/>
    <w:rsid w:val="00321881"/>
    <w:rsid w:val="003263BC"/>
    <w:rsid w:val="003309C6"/>
    <w:rsid w:val="003324B2"/>
    <w:rsid w:val="0034107F"/>
    <w:rsid w:val="00343FE7"/>
    <w:rsid w:val="00344087"/>
    <w:rsid w:val="00344D27"/>
    <w:rsid w:val="00345D66"/>
    <w:rsid w:val="003527A6"/>
    <w:rsid w:val="00353FE6"/>
    <w:rsid w:val="003558BA"/>
    <w:rsid w:val="0035604C"/>
    <w:rsid w:val="00371332"/>
    <w:rsid w:val="003748F3"/>
    <w:rsid w:val="00376A82"/>
    <w:rsid w:val="003850D4"/>
    <w:rsid w:val="00385F00"/>
    <w:rsid w:val="003866EF"/>
    <w:rsid w:val="00386FBA"/>
    <w:rsid w:val="00394F33"/>
    <w:rsid w:val="003A4565"/>
    <w:rsid w:val="003A5064"/>
    <w:rsid w:val="003B27EC"/>
    <w:rsid w:val="003B2F86"/>
    <w:rsid w:val="003B3FB5"/>
    <w:rsid w:val="003B4439"/>
    <w:rsid w:val="003B4C9E"/>
    <w:rsid w:val="003B7CBC"/>
    <w:rsid w:val="003C13BA"/>
    <w:rsid w:val="003C3456"/>
    <w:rsid w:val="003C6DCD"/>
    <w:rsid w:val="003E19B6"/>
    <w:rsid w:val="003E2885"/>
    <w:rsid w:val="003E3B57"/>
    <w:rsid w:val="003E73DB"/>
    <w:rsid w:val="003F0765"/>
    <w:rsid w:val="00400DCA"/>
    <w:rsid w:val="00410914"/>
    <w:rsid w:val="004119F5"/>
    <w:rsid w:val="00415401"/>
    <w:rsid w:val="004166B2"/>
    <w:rsid w:val="004203EF"/>
    <w:rsid w:val="00422142"/>
    <w:rsid w:val="0042509F"/>
    <w:rsid w:val="00427E52"/>
    <w:rsid w:val="0043005E"/>
    <w:rsid w:val="00443275"/>
    <w:rsid w:val="00445168"/>
    <w:rsid w:val="00446353"/>
    <w:rsid w:val="0044739B"/>
    <w:rsid w:val="00465F9D"/>
    <w:rsid w:val="00466172"/>
    <w:rsid w:val="00467A6B"/>
    <w:rsid w:val="00474B4C"/>
    <w:rsid w:val="00490FDB"/>
    <w:rsid w:val="00494649"/>
    <w:rsid w:val="00496DDB"/>
    <w:rsid w:val="0049707A"/>
    <w:rsid w:val="004973DB"/>
    <w:rsid w:val="0049771A"/>
    <w:rsid w:val="004A294A"/>
    <w:rsid w:val="004A4BF1"/>
    <w:rsid w:val="004A5718"/>
    <w:rsid w:val="004B76FE"/>
    <w:rsid w:val="004C3420"/>
    <w:rsid w:val="004C4CC0"/>
    <w:rsid w:val="004D018B"/>
    <w:rsid w:val="004D124C"/>
    <w:rsid w:val="004D24C1"/>
    <w:rsid w:val="004D4435"/>
    <w:rsid w:val="004D47B3"/>
    <w:rsid w:val="004D7A4C"/>
    <w:rsid w:val="004D7C95"/>
    <w:rsid w:val="004E7713"/>
    <w:rsid w:val="004F6417"/>
    <w:rsid w:val="004F73FF"/>
    <w:rsid w:val="005038DC"/>
    <w:rsid w:val="00511C29"/>
    <w:rsid w:val="005123F0"/>
    <w:rsid w:val="00512A53"/>
    <w:rsid w:val="00514A62"/>
    <w:rsid w:val="00523905"/>
    <w:rsid w:val="005251B9"/>
    <w:rsid w:val="00526A80"/>
    <w:rsid w:val="005301B4"/>
    <w:rsid w:val="00530BB4"/>
    <w:rsid w:val="005326A4"/>
    <w:rsid w:val="00543A3D"/>
    <w:rsid w:val="00545A47"/>
    <w:rsid w:val="005671E1"/>
    <w:rsid w:val="0057200D"/>
    <w:rsid w:val="00574161"/>
    <w:rsid w:val="005872C5"/>
    <w:rsid w:val="0059088D"/>
    <w:rsid w:val="00591CEC"/>
    <w:rsid w:val="005951EA"/>
    <w:rsid w:val="005A30FE"/>
    <w:rsid w:val="005A3BB0"/>
    <w:rsid w:val="005B0CEB"/>
    <w:rsid w:val="005B18A3"/>
    <w:rsid w:val="005B3659"/>
    <w:rsid w:val="005C2284"/>
    <w:rsid w:val="005C66B2"/>
    <w:rsid w:val="005D277C"/>
    <w:rsid w:val="005D2FD2"/>
    <w:rsid w:val="005D4A8C"/>
    <w:rsid w:val="005D6D17"/>
    <w:rsid w:val="005E7B2F"/>
    <w:rsid w:val="005F1DD9"/>
    <w:rsid w:val="005F3712"/>
    <w:rsid w:val="005F5280"/>
    <w:rsid w:val="005F7223"/>
    <w:rsid w:val="00603BEA"/>
    <w:rsid w:val="0060413B"/>
    <w:rsid w:val="00605EE6"/>
    <w:rsid w:val="0060669E"/>
    <w:rsid w:val="00614EBB"/>
    <w:rsid w:val="0061583E"/>
    <w:rsid w:val="00617BCA"/>
    <w:rsid w:val="006244F8"/>
    <w:rsid w:val="00625C4E"/>
    <w:rsid w:val="00632159"/>
    <w:rsid w:val="006353E9"/>
    <w:rsid w:val="0064402A"/>
    <w:rsid w:val="00645B6A"/>
    <w:rsid w:val="00655225"/>
    <w:rsid w:val="00655727"/>
    <w:rsid w:val="00664174"/>
    <w:rsid w:val="006643EA"/>
    <w:rsid w:val="00666DDE"/>
    <w:rsid w:val="0067348D"/>
    <w:rsid w:val="006745A9"/>
    <w:rsid w:val="006807CD"/>
    <w:rsid w:val="00682729"/>
    <w:rsid w:val="00691EFC"/>
    <w:rsid w:val="006A0D75"/>
    <w:rsid w:val="006B1364"/>
    <w:rsid w:val="006B4541"/>
    <w:rsid w:val="006D1E2B"/>
    <w:rsid w:val="006D2E7A"/>
    <w:rsid w:val="006E0D98"/>
    <w:rsid w:val="006E3180"/>
    <w:rsid w:val="006E6E26"/>
    <w:rsid w:val="006E70AA"/>
    <w:rsid w:val="006F7A98"/>
    <w:rsid w:val="007003E7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44B10"/>
    <w:rsid w:val="007450AE"/>
    <w:rsid w:val="00751420"/>
    <w:rsid w:val="00760287"/>
    <w:rsid w:val="00763A78"/>
    <w:rsid w:val="007674D7"/>
    <w:rsid w:val="00772298"/>
    <w:rsid w:val="0078257D"/>
    <w:rsid w:val="007848DC"/>
    <w:rsid w:val="00785527"/>
    <w:rsid w:val="00792952"/>
    <w:rsid w:val="00794062"/>
    <w:rsid w:val="00797584"/>
    <w:rsid w:val="007A0C30"/>
    <w:rsid w:val="007A2D94"/>
    <w:rsid w:val="007B0547"/>
    <w:rsid w:val="007B651A"/>
    <w:rsid w:val="007B6ED8"/>
    <w:rsid w:val="007B75E4"/>
    <w:rsid w:val="007C12F0"/>
    <w:rsid w:val="007C6812"/>
    <w:rsid w:val="007C7B73"/>
    <w:rsid w:val="007E2608"/>
    <w:rsid w:val="007F1726"/>
    <w:rsid w:val="0080200E"/>
    <w:rsid w:val="00803A33"/>
    <w:rsid w:val="008051ED"/>
    <w:rsid w:val="00811775"/>
    <w:rsid w:val="00820149"/>
    <w:rsid w:val="008248B2"/>
    <w:rsid w:val="00832DB0"/>
    <w:rsid w:val="00834D88"/>
    <w:rsid w:val="00864085"/>
    <w:rsid w:val="008803D0"/>
    <w:rsid w:val="00880F24"/>
    <w:rsid w:val="008812D3"/>
    <w:rsid w:val="00882E17"/>
    <w:rsid w:val="008836AF"/>
    <w:rsid w:val="0088487F"/>
    <w:rsid w:val="00884E97"/>
    <w:rsid w:val="00885C9B"/>
    <w:rsid w:val="00893776"/>
    <w:rsid w:val="00893879"/>
    <w:rsid w:val="00895541"/>
    <w:rsid w:val="008B2172"/>
    <w:rsid w:val="008B55D5"/>
    <w:rsid w:val="008C6314"/>
    <w:rsid w:val="008C667B"/>
    <w:rsid w:val="008D4ED8"/>
    <w:rsid w:val="008D644E"/>
    <w:rsid w:val="008E48F9"/>
    <w:rsid w:val="008E4C93"/>
    <w:rsid w:val="008E591A"/>
    <w:rsid w:val="008E5BCA"/>
    <w:rsid w:val="009022B0"/>
    <w:rsid w:val="00903BAA"/>
    <w:rsid w:val="00905F4A"/>
    <w:rsid w:val="009145E4"/>
    <w:rsid w:val="00914D72"/>
    <w:rsid w:val="009164F1"/>
    <w:rsid w:val="009174C3"/>
    <w:rsid w:val="009301D9"/>
    <w:rsid w:val="0094073C"/>
    <w:rsid w:val="00941A4C"/>
    <w:rsid w:val="0094346F"/>
    <w:rsid w:val="009453A9"/>
    <w:rsid w:val="00951FCB"/>
    <w:rsid w:val="00953187"/>
    <w:rsid w:val="009551E9"/>
    <w:rsid w:val="0096333E"/>
    <w:rsid w:val="009668EC"/>
    <w:rsid w:val="00977C3B"/>
    <w:rsid w:val="00977CF2"/>
    <w:rsid w:val="00983CF7"/>
    <w:rsid w:val="00984969"/>
    <w:rsid w:val="00985E85"/>
    <w:rsid w:val="009901B5"/>
    <w:rsid w:val="0099053B"/>
    <w:rsid w:val="0099104E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C6A76"/>
    <w:rsid w:val="009D0999"/>
    <w:rsid w:val="009E5CC1"/>
    <w:rsid w:val="009F0698"/>
    <w:rsid w:val="009F08F1"/>
    <w:rsid w:val="009F25BD"/>
    <w:rsid w:val="00A05705"/>
    <w:rsid w:val="00A06AEA"/>
    <w:rsid w:val="00A16F03"/>
    <w:rsid w:val="00A21136"/>
    <w:rsid w:val="00A214A8"/>
    <w:rsid w:val="00A22BFA"/>
    <w:rsid w:val="00A3323A"/>
    <w:rsid w:val="00A3343A"/>
    <w:rsid w:val="00A34A98"/>
    <w:rsid w:val="00A3667A"/>
    <w:rsid w:val="00A46C66"/>
    <w:rsid w:val="00A46FAF"/>
    <w:rsid w:val="00A5674A"/>
    <w:rsid w:val="00A623EF"/>
    <w:rsid w:val="00A64F91"/>
    <w:rsid w:val="00A727D4"/>
    <w:rsid w:val="00A7438D"/>
    <w:rsid w:val="00A74797"/>
    <w:rsid w:val="00A7601D"/>
    <w:rsid w:val="00A7713A"/>
    <w:rsid w:val="00A81984"/>
    <w:rsid w:val="00A97462"/>
    <w:rsid w:val="00A97BDA"/>
    <w:rsid w:val="00AA0F23"/>
    <w:rsid w:val="00AA3E2F"/>
    <w:rsid w:val="00AA46CA"/>
    <w:rsid w:val="00AA535B"/>
    <w:rsid w:val="00AA720A"/>
    <w:rsid w:val="00AC3273"/>
    <w:rsid w:val="00AC68C4"/>
    <w:rsid w:val="00AD08A6"/>
    <w:rsid w:val="00AD310D"/>
    <w:rsid w:val="00AD3D4D"/>
    <w:rsid w:val="00AD60AE"/>
    <w:rsid w:val="00AE4069"/>
    <w:rsid w:val="00AE61C3"/>
    <w:rsid w:val="00AE7916"/>
    <w:rsid w:val="00AF09EA"/>
    <w:rsid w:val="00AF1D6D"/>
    <w:rsid w:val="00AF27DD"/>
    <w:rsid w:val="00AF3BBA"/>
    <w:rsid w:val="00AF4630"/>
    <w:rsid w:val="00AF5632"/>
    <w:rsid w:val="00AF7710"/>
    <w:rsid w:val="00B002E8"/>
    <w:rsid w:val="00B01B74"/>
    <w:rsid w:val="00B04913"/>
    <w:rsid w:val="00B10DC4"/>
    <w:rsid w:val="00B1785E"/>
    <w:rsid w:val="00B2169A"/>
    <w:rsid w:val="00B25764"/>
    <w:rsid w:val="00B31D4D"/>
    <w:rsid w:val="00B3616B"/>
    <w:rsid w:val="00B37633"/>
    <w:rsid w:val="00B45E54"/>
    <w:rsid w:val="00B518C9"/>
    <w:rsid w:val="00B52EAC"/>
    <w:rsid w:val="00B54969"/>
    <w:rsid w:val="00B577FB"/>
    <w:rsid w:val="00B63D19"/>
    <w:rsid w:val="00B80B9E"/>
    <w:rsid w:val="00B838DA"/>
    <w:rsid w:val="00B86E3A"/>
    <w:rsid w:val="00B949A9"/>
    <w:rsid w:val="00BA017F"/>
    <w:rsid w:val="00BA6B91"/>
    <w:rsid w:val="00BB1230"/>
    <w:rsid w:val="00BD535F"/>
    <w:rsid w:val="00BD60B5"/>
    <w:rsid w:val="00BE6E64"/>
    <w:rsid w:val="00BF0C09"/>
    <w:rsid w:val="00BF31B7"/>
    <w:rsid w:val="00BF4F99"/>
    <w:rsid w:val="00C10048"/>
    <w:rsid w:val="00C21E28"/>
    <w:rsid w:val="00C23DDE"/>
    <w:rsid w:val="00C30E9B"/>
    <w:rsid w:val="00C424FC"/>
    <w:rsid w:val="00C51ECC"/>
    <w:rsid w:val="00C51FA6"/>
    <w:rsid w:val="00C53D95"/>
    <w:rsid w:val="00C54608"/>
    <w:rsid w:val="00C600D9"/>
    <w:rsid w:val="00C60862"/>
    <w:rsid w:val="00C653F3"/>
    <w:rsid w:val="00C67ADA"/>
    <w:rsid w:val="00C740CC"/>
    <w:rsid w:val="00C810E8"/>
    <w:rsid w:val="00C847C2"/>
    <w:rsid w:val="00C910F6"/>
    <w:rsid w:val="00C947F6"/>
    <w:rsid w:val="00CA009F"/>
    <w:rsid w:val="00CA04D0"/>
    <w:rsid w:val="00CA4A7A"/>
    <w:rsid w:val="00CA6613"/>
    <w:rsid w:val="00CA6633"/>
    <w:rsid w:val="00CB16D1"/>
    <w:rsid w:val="00CC69AD"/>
    <w:rsid w:val="00CC6AA2"/>
    <w:rsid w:val="00CE73A6"/>
    <w:rsid w:val="00CF1664"/>
    <w:rsid w:val="00CF40CB"/>
    <w:rsid w:val="00CF5A8A"/>
    <w:rsid w:val="00D01278"/>
    <w:rsid w:val="00D12AB1"/>
    <w:rsid w:val="00D173B0"/>
    <w:rsid w:val="00D21BC6"/>
    <w:rsid w:val="00D23B36"/>
    <w:rsid w:val="00D24FD3"/>
    <w:rsid w:val="00D27AEB"/>
    <w:rsid w:val="00D526D0"/>
    <w:rsid w:val="00D53BAE"/>
    <w:rsid w:val="00D57DBA"/>
    <w:rsid w:val="00D57EBC"/>
    <w:rsid w:val="00D71F76"/>
    <w:rsid w:val="00D73C46"/>
    <w:rsid w:val="00D77095"/>
    <w:rsid w:val="00D772AF"/>
    <w:rsid w:val="00D77855"/>
    <w:rsid w:val="00D80573"/>
    <w:rsid w:val="00D91668"/>
    <w:rsid w:val="00D94BB1"/>
    <w:rsid w:val="00D961C9"/>
    <w:rsid w:val="00D96A44"/>
    <w:rsid w:val="00D97B80"/>
    <w:rsid w:val="00DA0FB0"/>
    <w:rsid w:val="00DA1D73"/>
    <w:rsid w:val="00DB2761"/>
    <w:rsid w:val="00DB2FF6"/>
    <w:rsid w:val="00DB3A50"/>
    <w:rsid w:val="00DD0E0C"/>
    <w:rsid w:val="00DD626F"/>
    <w:rsid w:val="00DD7765"/>
    <w:rsid w:val="00DE4133"/>
    <w:rsid w:val="00DE522D"/>
    <w:rsid w:val="00DF3746"/>
    <w:rsid w:val="00E16707"/>
    <w:rsid w:val="00E23955"/>
    <w:rsid w:val="00E311F1"/>
    <w:rsid w:val="00E417DF"/>
    <w:rsid w:val="00E47327"/>
    <w:rsid w:val="00E532EC"/>
    <w:rsid w:val="00E6063F"/>
    <w:rsid w:val="00E7385D"/>
    <w:rsid w:val="00E86579"/>
    <w:rsid w:val="00E90A19"/>
    <w:rsid w:val="00E90FCD"/>
    <w:rsid w:val="00E92568"/>
    <w:rsid w:val="00E974F8"/>
    <w:rsid w:val="00EA08B7"/>
    <w:rsid w:val="00EA79DA"/>
    <w:rsid w:val="00EB6A85"/>
    <w:rsid w:val="00EC1326"/>
    <w:rsid w:val="00EC1D64"/>
    <w:rsid w:val="00EC4E8B"/>
    <w:rsid w:val="00EC636E"/>
    <w:rsid w:val="00EC7E55"/>
    <w:rsid w:val="00ED6F93"/>
    <w:rsid w:val="00EE300A"/>
    <w:rsid w:val="00EE7CB8"/>
    <w:rsid w:val="00EF16FB"/>
    <w:rsid w:val="00EF3538"/>
    <w:rsid w:val="00EF4BAE"/>
    <w:rsid w:val="00F02216"/>
    <w:rsid w:val="00F0291C"/>
    <w:rsid w:val="00F05AEE"/>
    <w:rsid w:val="00F101DD"/>
    <w:rsid w:val="00F14193"/>
    <w:rsid w:val="00F14D59"/>
    <w:rsid w:val="00F20CCE"/>
    <w:rsid w:val="00F21FCF"/>
    <w:rsid w:val="00F238A2"/>
    <w:rsid w:val="00F3614E"/>
    <w:rsid w:val="00F376EE"/>
    <w:rsid w:val="00F52B94"/>
    <w:rsid w:val="00F56870"/>
    <w:rsid w:val="00F56CCE"/>
    <w:rsid w:val="00F57276"/>
    <w:rsid w:val="00F576E0"/>
    <w:rsid w:val="00F63542"/>
    <w:rsid w:val="00F6440C"/>
    <w:rsid w:val="00F74512"/>
    <w:rsid w:val="00F776EF"/>
    <w:rsid w:val="00F8216A"/>
    <w:rsid w:val="00F901CF"/>
    <w:rsid w:val="00F906EF"/>
    <w:rsid w:val="00F934C7"/>
    <w:rsid w:val="00FA2B7D"/>
    <w:rsid w:val="00FA592D"/>
    <w:rsid w:val="00FB33FD"/>
    <w:rsid w:val="00FB645E"/>
    <w:rsid w:val="00FC35ED"/>
    <w:rsid w:val="00FC7AED"/>
    <w:rsid w:val="00FD6CD9"/>
    <w:rsid w:val="00FE20D9"/>
    <w:rsid w:val="00FF7804"/>
    <w:rsid w:val="01D91658"/>
    <w:rsid w:val="02EE3A69"/>
    <w:rsid w:val="02F34DDD"/>
    <w:rsid w:val="03FDA2BC"/>
    <w:rsid w:val="04904FA4"/>
    <w:rsid w:val="049B3B35"/>
    <w:rsid w:val="05BF65B9"/>
    <w:rsid w:val="072D4D2F"/>
    <w:rsid w:val="07E140EC"/>
    <w:rsid w:val="097FB9B0"/>
    <w:rsid w:val="0BBD7568"/>
    <w:rsid w:val="0C7A1979"/>
    <w:rsid w:val="0D8DC5E1"/>
    <w:rsid w:val="0D9F6625"/>
    <w:rsid w:val="0E043ECC"/>
    <w:rsid w:val="0EF8859F"/>
    <w:rsid w:val="0F643142"/>
    <w:rsid w:val="0FBD0BFA"/>
    <w:rsid w:val="0FF750C3"/>
    <w:rsid w:val="0FFACC31"/>
    <w:rsid w:val="10FA6C45"/>
    <w:rsid w:val="12324A1C"/>
    <w:rsid w:val="12F640FA"/>
    <w:rsid w:val="13F7A263"/>
    <w:rsid w:val="15D2125B"/>
    <w:rsid w:val="17395E35"/>
    <w:rsid w:val="17AFEFC6"/>
    <w:rsid w:val="17EE000C"/>
    <w:rsid w:val="18A856F5"/>
    <w:rsid w:val="1954439D"/>
    <w:rsid w:val="19DFB821"/>
    <w:rsid w:val="1AFFC1CF"/>
    <w:rsid w:val="1BDF5A24"/>
    <w:rsid w:val="1BE7A6FD"/>
    <w:rsid w:val="1C02173D"/>
    <w:rsid w:val="1CC932F4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221772E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8643ED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DED6716"/>
    <w:rsid w:val="2E0E6385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6FE544B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80C27CA"/>
    <w:rsid w:val="3A540229"/>
    <w:rsid w:val="3ABDA3FE"/>
    <w:rsid w:val="3AEFDBD4"/>
    <w:rsid w:val="3AF9B493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2DFE48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9F87506"/>
    <w:rsid w:val="4B0076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4FF40D59"/>
    <w:rsid w:val="51C02E6D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CFDAEF4"/>
    <w:rsid w:val="5DAD3D62"/>
    <w:rsid w:val="5DDB5B2C"/>
    <w:rsid w:val="5DDD5EAB"/>
    <w:rsid w:val="5DDD7D50"/>
    <w:rsid w:val="5DEEAABD"/>
    <w:rsid w:val="5DFEBFA4"/>
    <w:rsid w:val="5E1350D1"/>
    <w:rsid w:val="5E202936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CE2813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694A84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467A28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6EB1CA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44516F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3EC60C"/>
    <w:rsid w:val="7B519901"/>
    <w:rsid w:val="7B6D5E84"/>
    <w:rsid w:val="7B7D519C"/>
    <w:rsid w:val="7B7FC139"/>
    <w:rsid w:val="7B8F93C0"/>
    <w:rsid w:val="7BB2D9BE"/>
    <w:rsid w:val="7BB6F0A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B0038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2F6FF5"/>
    <w:rsid w:val="7F337B9A"/>
    <w:rsid w:val="7F3CC867"/>
    <w:rsid w:val="7F3FFC68"/>
    <w:rsid w:val="7F5AEE4C"/>
    <w:rsid w:val="7F5B6D97"/>
    <w:rsid w:val="7F645BBB"/>
    <w:rsid w:val="7F6B5163"/>
    <w:rsid w:val="7F6E265F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9F671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7674F1"/>
    <w:rsid w:val="B6DBE1F8"/>
    <w:rsid w:val="B6FEEB89"/>
    <w:rsid w:val="B6FF5108"/>
    <w:rsid w:val="B6FF9F6B"/>
    <w:rsid w:val="B737B11B"/>
    <w:rsid w:val="B7737C5C"/>
    <w:rsid w:val="B77F5DE1"/>
    <w:rsid w:val="B7876DAB"/>
    <w:rsid w:val="B7D9BBD9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EFF947D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EFF196"/>
    <w:rsid w:val="BFFE0B01"/>
    <w:rsid w:val="BFFF0BA1"/>
    <w:rsid w:val="C335F688"/>
    <w:rsid w:val="C37EDC1F"/>
    <w:rsid w:val="C3D4FB9A"/>
    <w:rsid w:val="C42FBEB5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B75C7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A35E8C4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D7F089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7F701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2FDC5FB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E6D235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5FED3A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E2E50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E71E4D"/>
  <w15:docId w15:val="{442F8CB7-0CD8-9446-88C5-86A359E6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next w:val="a0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cs="Simplified Arabic"/>
      <w:lang w:eastAsia="en-GB"/>
    </w:rPr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6">
    <w:name w:val="宏文本 字符"/>
    <w:link w:val="a5"/>
    <w:qFormat/>
    <w:rPr>
      <w:rFonts w:ascii="Courier New" w:hAnsi="Courier New" w:cs="Courier New"/>
      <w:lang w:val="en-GB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4">
    <w:name w:val="正文文本 字符"/>
    <w:link w:val="a0"/>
    <w:qFormat/>
    <w:rPr>
      <w:rFonts w:cs="Simplified Arabic"/>
      <w:sz w:val="24"/>
      <w:szCs w:val="24"/>
      <w:lang w:val="en-GB"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rFonts w:cs="Simplified Arabic"/>
      <w:sz w:val="24"/>
      <w:szCs w:val="24"/>
      <w:lang w:val="en-GB" w:bidi="ar-AE"/>
    </w:rPr>
  </w:style>
  <w:style w:type="character" w:customStyle="1" w:styleId="ab">
    <w:name w:val="电子邮件签名 字符"/>
    <w:link w:val="aa"/>
    <w:qFormat/>
    <w:rPr>
      <w:rFonts w:cs="Simplified Arabic"/>
      <w:sz w:val="24"/>
      <w:szCs w:val="24"/>
      <w:lang w:val="en-GB"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val="en-GB" w:bidi="ar-AE"/>
    </w:rPr>
  </w:style>
  <w:style w:type="character" w:customStyle="1" w:styleId="af3">
    <w:name w:val="批注文字 字符"/>
    <w:link w:val="af2"/>
    <w:qFormat/>
    <w:rPr>
      <w:rFonts w:cs="Simplified Arabic"/>
      <w:lang w:val="en-GB" w:bidi="ar-AE"/>
    </w:rPr>
  </w:style>
  <w:style w:type="character" w:customStyle="1" w:styleId="af5">
    <w:name w:val="称呼 字符"/>
    <w:link w:val="af4"/>
    <w:qFormat/>
    <w:rPr>
      <w:rFonts w:cs="Simplified Arabic"/>
      <w:sz w:val="24"/>
      <w:szCs w:val="24"/>
      <w:lang w:val="en-GB" w:bidi="ar-AE"/>
    </w:rPr>
  </w:style>
  <w:style w:type="character" w:customStyle="1" w:styleId="33">
    <w:name w:val="正文文本 3 字符"/>
    <w:link w:val="32"/>
    <w:qFormat/>
    <w:rPr>
      <w:rFonts w:cs="Simplified Arabic"/>
      <w:sz w:val="24"/>
      <w:szCs w:val="24"/>
      <w:lang w:val="en-GB" w:eastAsia="en-GB" w:bidi="ar-AE"/>
    </w:rPr>
  </w:style>
  <w:style w:type="character" w:customStyle="1" w:styleId="af7">
    <w:name w:val="结束语 字符"/>
    <w:link w:val="af6"/>
    <w:qFormat/>
    <w:rPr>
      <w:rFonts w:cs="Simplified Arabic"/>
      <w:sz w:val="24"/>
      <w:szCs w:val="24"/>
      <w:lang w:val="en-GB" w:bidi="ar-AE"/>
    </w:rPr>
  </w:style>
  <w:style w:type="character" w:customStyle="1" w:styleId="af9">
    <w:name w:val="正文文本缩进 字符"/>
    <w:link w:val="af8"/>
    <w:qFormat/>
    <w:rPr>
      <w:rFonts w:cs="Simplified Arabic"/>
      <w:sz w:val="24"/>
      <w:szCs w:val="24"/>
      <w:lang w:val="en-GB" w:bidi="ar-AE"/>
    </w:rPr>
  </w:style>
  <w:style w:type="character" w:customStyle="1" w:styleId="HTML0">
    <w:name w:val="HTML 地址 字符"/>
    <w:link w:val="HTML"/>
    <w:qFormat/>
    <w:rPr>
      <w:rFonts w:cs="Simplified Arabic"/>
      <w:i/>
      <w:iCs/>
      <w:sz w:val="24"/>
      <w:szCs w:val="24"/>
      <w:lang w:val="en-GB"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val="en-GB" w:bidi="ar-AE"/>
    </w:rPr>
  </w:style>
  <w:style w:type="character" w:customStyle="1" w:styleId="aff">
    <w:name w:val="日期 字符"/>
    <w:link w:val="afe"/>
    <w:qFormat/>
    <w:rPr>
      <w:rFonts w:cs="Simplified Arabic"/>
      <w:sz w:val="24"/>
      <w:szCs w:val="24"/>
      <w:lang w:val="en-GB" w:bidi="ar-AE"/>
    </w:rPr>
  </w:style>
  <w:style w:type="character" w:customStyle="1" w:styleId="23">
    <w:name w:val="正文文本缩进 2 字符"/>
    <w:link w:val="22"/>
    <w:qFormat/>
    <w:rPr>
      <w:rFonts w:cs="Simplified Arabic"/>
      <w:sz w:val="24"/>
      <w:szCs w:val="24"/>
      <w:lang w:val="en-GB" w:bidi="ar-AE"/>
    </w:rPr>
  </w:style>
  <w:style w:type="character" w:customStyle="1" w:styleId="aff1">
    <w:name w:val="尾注文本 字符"/>
    <w:link w:val="aff0"/>
    <w:qFormat/>
    <w:rPr>
      <w:rFonts w:cs="Simplified Arabic"/>
      <w:lang w:val="en-GB" w:bidi="ar-AE"/>
    </w:rPr>
  </w:style>
  <w:style w:type="character" w:customStyle="1" w:styleId="aff3">
    <w:name w:val="批注框文本 字符"/>
    <w:link w:val="aff2"/>
    <w:uiPriority w:val="99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rFonts w:cs="Simplified Arabic"/>
      <w:sz w:val="16"/>
      <w:szCs w:val="16"/>
      <w:lang w:val="en-GB" w:bidi="ar-AE"/>
    </w:rPr>
  </w:style>
  <w:style w:type="character" w:customStyle="1" w:styleId="25">
    <w:name w:val="正文文本 2 字符"/>
    <w:link w:val="24"/>
    <w:qFormat/>
    <w:rPr>
      <w:rFonts w:cs="Simplified Arabic"/>
      <w:sz w:val="24"/>
      <w:szCs w:val="24"/>
      <w:lang w:val="en-GB" w:eastAsia="en-GB" w:bidi="ar-AE"/>
    </w:rPr>
  </w:style>
  <w:style w:type="character" w:customStyle="1" w:styleId="afff3">
    <w:name w:val="信息标题 字符"/>
    <w:link w:val="afff2"/>
    <w:qFormat/>
    <w:rPr>
      <w:rFonts w:cs="Simplified Arabic"/>
      <w:sz w:val="24"/>
      <w:szCs w:val="24"/>
      <w:shd w:val="pct20" w:color="auto" w:fill="auto"/>
      <w:lang w:val="en-GB"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val="en-GB"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rFonts w:cs="Simplified Arabic"/>
      <w:b/>
      <w:bCs/>
      <w:lang w:val="en-GB" w:bidi="ar-AE"/>
    </w:rPr>
  </w:style>
  <w:style w:type="character" w:customStyle="1" w:styleId="afffa">
    <w:name w:val="正文文本首行缩进 字符"/>
    <w:link w:val="afff9"/>
    <w:qFormat/>
    <w:rPr>
      <w:rFonts w:cs="Simplified Arabic"/>
      <w:sz w:val="24"/>
      <w:szCs w:val="24"/>
      <w:lang w:val="en-GB" w:eastAsia="en-GB" w:bidi="ar-AE"/>
    </w:rPr>
  </w:style>
  <w:style w:type="character" w:customStyle="1" w:styleId="29">
    <w:name w:val="正文文本首行缩进 2 字符"/>
    <w:link w:val="28"/>
    <w:qFormat/>
    <w:rPr>
      <w:rFonts w:cs="Simplified Arabic"/>
      <w:sz w:val="24"/>
      <w:szCs w:val="24"/>
      <w:lang w:val="en-GB"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uiPriority w:val="99"/>
    <w:unhideWhenUsed/>
    <w:qFormat/>
    <w:rPr>
      <w:sz w:val="24"/>
      <w:szCs w:val="24"/>
      <w:lang w:val="en-GB" w:bidi="ar-AE"/>
    </w:rPr>
  </w:style>
  <w:style w:type="paragraph" w:customStyle="1" w:styleId="p2">
    <w:name w:val="p2"/>
    <w:basedOn w:val="a"/>
    <w:qFormat/>
    <w:pPr>
      <w:spacing w:after="0"/>
      <w:jc w:val="left"/>
    </w:pPr>
    <w:rPr>
      <w:rFonts w:ascii="PINGFANG SC SEMIBOLD" w:eastAsia="PINGFANG SC SEMIBOLD" w:hAnsi="PINGFANG SC SEMIBOLD"/>
      <w:sz w:val="40"/>
      <w:szCs w:val="40"/>
      <w:lang w:val="en-US" w:bidi="ar-SA"/>
    </w:rPr>
  </w:style>
  <w:style w:type="paragraph" w:customStyle="1" w:styleId="p1">
    <w:name w:val="p1"/>
    <w:basedOn w:val="a"/>
    <w:qFormat/>
    <w:pPr>
      <w:spacing w:after="0"/>
      <w:jc w:val="left"/>
    </w:pPr>
    <w:rPr>
      <w:rFonts w:ascii="Helvetica Neue" w:eastAsia="Helvetica Neue" w:hAnsi="Helvetica Neue"/>
      <w:sz w:val="40"/>
      <w:szCs w:val="40"/>
      <w:lang w:val="en-US" w:bidi="ar-SA"/>
    </w:rPr>
  </w:style>
  <w:style w:type="character" w:customStyle="1" w:styleId="s1">
    <w:name w:val="s1"/>
    <w:qFormat/>
    <w:rPr>
      <w:rFonts w:ascii="Helvetica Neue" w:eastAsia="Helvetica Neue" w:hAnsi="Helvetica Neue" w:cs="Helvetica Neue" w:hint="default"/>
      <w:sz w:val="40"/>
      <w:szCs w:val="40"/>
    </w:rPr>
  </w:style>
  <w:style w:type="character" w:customStyle="1" w:styleId="s2">
    <w:name w:val="s2"/>
    <w:qFormat/>
    <w:rPr>
      <w:rFonts w:ascii="PingFang SC" w:eastAsia="PingFang SC" w:hAnsi="PingFang SC" w:cs="PingFang SC"/>
      <w:sz w:val="40"/>
      <w:szCs w:val="40"/>
    </w:rPr>
  </w:style>
  <w:style w:type="paragraph" w:customStyle="1" w:styleId="2f3">
    <w:name w:val="修订2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TOC20">
    <w:name w:val="TOC 标题2"/>
    <w:basedOn w:val="a"/>
    <w:next w:val="a"/>
    <w:qFormat/>
    <w:pPr>
      <w:jc w:val="center"/>
    </w:pPr>
    <w:rPr>
      <w:b/>
      <w:bCs/>
      <w:caps/>
    </w:rPr>
  </w:style>
  <w:style w:type="paragraph" w:customStyle="1" w:styleId="2f4">
    <w:name w:val="书目2"/>
    <w:basedOn w:val="a"/>
    <w:next w:val="a"/>
    <w:qFormat/>
  </w:style>
  <w:style w:type="paragraph" w:customStyle="1" w:styleId="3f0">
    <w:name w:val="修订3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48">
    <w:name w:val="修订4"/>
    <w:hidden/>
    <w:uiPriority w:val="99"/>
    <w:unhideWhenUsed/>
    <w:rPr>
      <w:sz w:val="24"/>
      <w:szCs w:val="24"/>
      <w:lang w:val="en-GB" w:bidi="ar-AE"/>
    </w:rPr>
  </w:style>
  <w:style w:type="paragraph" w:customStyle="1" w:styleId="57">
    <w:name w:val="修订5"/>
    <w:hidden/>
    <w:uiPriority w:val="99"/>
    <w:unhideWhenUsed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uchen0813/Library/Containers/com.kingsoft.wpsoffice.mac/Data/D:\Users\chuchen0813\Library\Containers\com.kingsoft.wpsoffice.mac\Data\C:\Program%2520Files%2520(x86)\Microsoft%25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D:\Users\chuchen0813\Library\Containers\com.kingsoft.wpsoffice.mac\Data\C:\Program%20Files%20(x86)\Microsoft%20Office\Templates\KWM\blank.dot</Template>
  <TotalTime>11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Sunland</cp:lastModifiedBy>
  <cp:revision>3</cp:revision>
  <cp:lastPrinted>2022-03-22T05:18:00Z</cp:lastPrinted>
  <dcterms:created xsi:type="dcterms:W3CDTF">2026-07-20T20:37:00Z</dcterms:created>
  <dcterms:modified xsi:type="dcterms:W3CDTF">2026-07-22T04:20:00Z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CEF5D54830067D106619606A7AA2E410_43</vt:lpwstr>
  </property>
  <property fmtid="{D5CDD505-2E9C-101B-9397-08002B2CF9AE}" pid="4" name="KSOTemplateDocerSaveRecord">
    <vt:lpwstr>eyJoZGlkIjoiMmU0NzRkODViMjI0ZmY1OTY2NzgwMjcxMTQ4MjNhOTIiLCJ1c2VySWQiOiI3MTI1Njg5MDgifQ==</vt:lpwstr>
  </property>
</Properties>
</file>