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BAB5C2">
      <w:pPr>
        <w:pStyle w:val="24"/>
        <w:rPr>
          <w:rFonts w:eastAsia="宋体"/>
          <w:strike/>
          <w:sz w:val="24"/>
          <w:szCs w:val="24"/>
          <w:lang w:val="en-US" w:eastAsia="zh-CN"/>
        </w:rPr>
      </w:pPr>
      <w:bookmarkStart w:id="0" w:name="_cp_change_0"/>
    </w:p>
    <w:bookmarkEnd w:id="0"/>
    <w:p w14:paraId="22DBB6AF">
      <w:pPr>
        <w:snapToGrid w:val="0"/>
        <w:jc w:val="center"/>
        <w:rPr>
          <w:rFonts w:eastAsia="黑体"/>
          <w:bCs/>
          <w:sz w:val="36"/>
          <w:szCs w:val="36"/>
        </w:rPr>
      </w:pPr>
      <w:r>
        <w:rPr>
          <w:rFonts w:eastAsia="黑体"/>
          <w:bCs/>
          <w:sz w:val="36"/>
          <w:szCs w:val="36"/>
        </w:rPr>
        <w:t>经营者集中简易案件公示表</w:t>
      </w:r>
    </w:p>
    <w:p w14:paraId="61FC1DEE">
      <w:pPr>
        <w:snapToGrid w:val="0"/>
        <w:rPr>
          <w:rFonts w:eastAsia="宋体"/>
          <w:b/>
          <w:sz w:val="24"/>
          <w:szCs w:val="24"/>
        </w:rPr>
      </w:pP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8"/>
        <w:gridCol w:w="1595"/>
        <w:gridCol w:w="5739"/>
      </w:tblGrid>
      <w:tr w14:paraId="1F918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trPr>
        <w:tc>
          <w:tcPr>
            <w:tcW w:w="1861" w:type="dxa"/>
            <w:shd w:val="clear" w:color="auto" w:fill="D9D9D9"/>
            <w:vAlign w:val="center"/>
          </w:tcPr>
          <w:p w14:paraId="201522CF">
            <w:pPr>
              <w:snapToGrid w:val="0"/>
              <w:rPr>
                <w:rFonts w:eastAsia="宋体"/>
                <w:b/>
                <w:sz w:val="24"/>
                <w:szCs w:val="24"/>
              </w:rPr>
            </w:pPr>
            <w:r>
              <w:rPr>
                <w:rFonts w:eastAsia="宋体"/>
                <w:b/>
                <w:sz w:val="24"/>
                <w:szCs w:val="24"/>
              </w:rPr>
              <w:t>案件名称</w:t>
            </w:r>
          </w:p>
        </w:tc>
        <w:tc>
          <w:tcPr>
            <w:tcW w:w="3968" w:type="pct"/>
            <w:gridSpan w:val="2"/>
            <w:vAlign w:val="center"/>
          </w:tcPr>
          <w:p w14:paraId="65E50F87">
            <w:pPr>
              <w:widowControl/>
              <w:snapToGrid w:val="0"/>
              <w:rPr>
                <w:rFonts w:eastAsia="宋体"/>
                <w:sz w:val="24"/>
                <w:szCs w:val="24"/>
              </w:rPr>
            </w:pPr>
            <w:r>
              <w:rPr>
                <w:rFonts w:eastAsia="宋体"/>
                <w:sz w:val="24"/>
                <w:szCs w:val="24"/>
              </w:rPr>
              <w:t>熙维资本合伙有限公司收购国际香精香料公司部分业务案</w:t>
            </w:r>
          </w:p>
        </w:tc>
      </w:tr>
      <w:tr w14:paraId="1CD7E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8" w:hRule="atLeast"/>
        </w:trPr>
        <w:tc>
          <w:tcPr>
            <w:tcW w:w="1861" w:type="dxa"/>
            <w:shd w:val="clear" w:color="auto" w:fill="D9D9D9"/>
            <w:vAlign w:val="center"/>
          </w:tcPr>
          <w:p w14:paraId="2DFF904D">
            <w:pPr>
              <w:snapToGrid w:val="0"/>
              <w:rPr>
                <w:rFonts w:eastAsia="宋体"/>
                <w:kern w:val="0"/>
                <w:sz w:val="24"/>
                <w:szCs w:val="24"/>
              </w:rPr>
            </w:pPr>
            <w:r>
              <w:rPr>
                <w:rFonts w:eastAsia="宋体"/>
                <w:b/>
                <w:bCs/>
                <w:kern w:val="0"/>
                <w:sz w:val="24"/>
                <w:szCs w:val="24"/>
              </w:rPr>
              <w:t>交易概况（限200字内）</w:t>
            </w:r>
          </w:p>
        </w:tc>
        <w:tc>
          <w:tcPr>
            <w:tcW w:w="3968" w:type="pct"/>
            <w:gridSpan w:val="2"/>
          </w:tcPr>
          <w:p w14:paraId="404F9877">
            <w:pPr>
              <w:snapToGrid w:val="0"/>
              <w:rPr>
                <w:rFonts w:eastAsia="宋体"/>
                <w:kern w:val="0"/>
                <w:sz w:val="24"/>
                <w:szCs w:val="24"/>
              </w:rPr>
            </w:pPr>
            <w:r>
              <w:rPr>
                <w:rFonts w:eastAsia="宋体"/>
                <w:kern w:val="0"/>
                <w:sz w:val="24"/>
                <w:szCs w:val="24"/>
              </w:rPr>
              <w:t>熙维资本合伙有限公司（</w:t>
            </w:r>
            <w:r>
              <w:rPr>
                <w:rFonts w:hint="eastAsia" w:eastAsia="宋体"/>
                <w:b/>
                <w:bCs/>
                <w:kern w:val="0"/>
                <w:sz w:val="24"/>
                <w:szCs w:val="24"/>
              </w:rPr>
              <w:t>“</w:t>
            </w:r>
            <w:r>
              <w:rPr>
                <w:rFonts w:eastAsia="宋体"/>
                <w:b/>
                <w:bCs/>
                <w:kern w:val="0"/>
                <w:sz w:val="24"/>
                <w:szCs w:val="24"/>
              </w:rPr>
              <w:t>熙维资本</w:t>
            </w:r>
            <w:r>
              <w:rPr>
                <w:rFonts w:hint="eastAsia" w:eastAsia="宋体"/>
                <w:b/>
                <w:bCs/>
                <w:kern w:val="0"/>
                <w:sz w:val="24"/>
                <w:szCs w:val="24"/>
              </w:rPr>
              <w:t>”</w:t>
            </w:r>
            <w:r>
              <w:rPr>
                <w:rFonts w:eastAsia="宋体"/>
                <w:kern w:val="0"/>
                <w:sz w:val="24"/>
                <w:szCs w:val="24"/>
              </w:rPr>
              <w:t>）通过其关联实体，与国际香精香料公司（</w:t>
            </w:r>
            <w:r>
              <w:rPr>
                <w:rFonts w:hint="eastAsia" w:eastAsia="宋体"/>
                <w:b/>
                <w:bCs/>
                <w:kern w:val="0"/>
                <w:sz w:val="24"/>
                <w:szCs w:val="24"/>
              </w:rPr>
              <w:t>“</w:t>
            </w:r>
            <w:r>
              <w:rPr>
                <w:rFonts w:eastAsia="宋体"/>
                <w:b/>
                <w:bCs/>
                <w:kern w:val="0"/>
                <w:sz w:val="24"/>
                <w:szCs w:val="24"/>
              </w:rPr>
              <w:t>IFF</w:t>
            </w:r>
            <w:r>
              <w:rPr>
                <w:rFonts w:hint="eastAsia" w:eastAsia="宋体"/>
                <w:b/>
                <w:bCs/>
                <w:kern w:val="0"/>
                <w:sz w:val="24"/>
                <w:szCs w:val="24"/>
              </w:rPr>
              <w:t>”</w:t>
            </w:r>
            <w:r>
              <w:rPr>
                <w:rFonts w:eastAsia="宋体"/>
                <w:kern w:val="0"/>
                <w:sz w:val="24"/>
                <w:szCs w:val="24"/>
              </w:rPr>
              <w:t>，与其直接及间接关联实体合称</w:t>
            </w:r>
            <w:r>
              <w:rPr>
                <w:rFonts w:hint="eastAsia" w:eastAsia="宋体"/>
                <w:b/>
                <w:bCs/>
                <w:kern w:val="0"/>
                <w:sz w:val="24"/>
                <w:szCs w:val="24"/>
              </w:rPr>
              <w:t>“</w:t>
            </w:r>
            <w:r>
              <w:rPr>
                <w:rFonts w:eastAsia="宋体"/>
                <w:b/>
                <w:bCs/>
                <w:kern w:val="0"/>
                <w:sz w:val="24"/>
                <w:szCs w:val="24"/>
              </w:rPr>
              <w:t>IFF集团</w:t>
            </w:r>
            <w:r>
              <w:rPr>
                <w:rFonts w:hint="eastAsia" w:eastAsia="宋体"/>
                <w:b/>
                <w:bCs/>
                <w:kern w:val="0"/>
                <w:sz w:val="24"/>
                <w:szCs w:val="24"/>
              </w:rPr>
              <w:t>”</w:t>
            </w:r>
            <w:r>
              <w:rPr>
                <w:rFonts w:eastAsia="宋体"/>
                <w:kern w:val="0"/>
                <w:sz w:val="24"/>
                <w:szCs w:val="24"/>
              </w:rPr>
              <w:t>）签署交易协议，收购IFF食品配料业务的大部分业务（</w:t>
            </w:r>
            <w:r>
              <w:rPr>
                <w:rFonts w:hint="eastAsia" w:eastAsia="宋体"/>
                <w:b/>
                <w:bCs/>
                <w:kern w:val="0"/>
                <w:sz w:val="24"/>
                <w:szCs w:val="24"/>
              </w:rPr>
              <w:t>“</w:t>
            </w:r>
            <w:r>
              <w:rPr>
                <w:rFonts w:eastAsia="宋体"/>
                <w:b/>
                <w:bCs/>
                <w:kern w:val="0"/>
                <w:sz w:val="24"/>
                <w:szCs w:val="24"/>
              </w:rPr>
              <w:t>目标业务</w:t>
            </w:r>
            <w:r>
              <w:rPr>
                <w:rFonts w:hint="eastAsia" w:eastAsia="宋体"/>
                <w:b/>
                <w:bCs/>
                <w:kern w:val="0"/>
                <w:sz w:val="24"/>
                <w:szCs w:val="24"/>
              </w:rPr>
              <w:t>”</w:t>
            </w:r>
            <w:r>
              <w:rPr>
                <w:rFonts w:eastAsia="宋体"/>
                <w:kern w:val="0"/>
                <w:sz w:val="24"/>
                <w:szCs w:val="24"/>
              </w:rPr>
              <w:t>）约90.1%的股权。目标业务主要涵盖七大产品线：（1） 复配剂，（2）蛋白质解决方案，（3）乳化剂，（4）质构剂，（5）食品内容物，（6）甜味剂、膳食纤维及生物聚合物，以及 （7）食品保鲜剂。</w:t>
            </w:r>
          </w:p>
          <w:p w14:paraId="4898D370">
            <w:pPr>
              <w:snapToGrid w:val="0"/>
              <w:rPr>
                <w:rFonts w:eastAsia="宋体"/>
                <w:kern w:val="0"/>
                <w:sz w:val="24"/>
                <w:szCs w:val="24"/>
              </w:rPr>
            </w:pPr>
          </w:p>
          <w:p w14:paraId="29F45119">
            <w:pPr>
              <w:snapToGrid w:val="0"/>
              <w:rPr>
                <w:rFonts w:eastAsia="宋体"/>
                <w:kern w:val="0"/>
                <w:sz w:val="24"/>
                <w:szCs w:val="24"/>
              </w:rPr>
            </w:pPr>
            <w:r>
              <w:rPr>
                <w:rFonts w:hint="eastAsia" w:eastAsia="宋体"/>
                <w:kern w:val="0"/>
                <w:sz w:val="24"/>
                <w:szCs w:val="24"/>
              </w:rPr>
              <w:t>交易前，目标业务由IFF集团全资持有。交易后，</w:t>
            </w:r>
            <w:r>
              <w:rPr>
                <w:rFonts w:eastAsia="宋体"/>
                <w:kern w:val="0"/>
                <w:sz w:val="24"/>
                <w:szCs w:val="24"/>
              </w:rPr>
              <w:t>熙维资本</w:t>
            </w:r>
            <w:r>
              <w:rPr>
                <w:rFonts w:hint="eastAsia" w:eastAsia="宋体"/>
                <w:kern w:val="0"/>
                <w:sz w:val="24"/>
                <w:szCs w:val="24"/>
              </w:rPr>
              <w:t>将间接取得目标业务约90.1%的股权并单独控制目标业务。</w:t>
            </w:r>
          </w:p>
        </w:tc>
      </w:tr>
      <w:tr w14:paraId="2D5A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861" w:type="dxa"/>
            <w:vMerge w:val="restart"/>
            <w:shd w:val="clear" w:color="auto" w:fill="D9D9D9"/>
            <w:vAlign w:val="center"/>
          </w:tcPr>
          <w:p w14:paraId="216BB9D4">
            <w:pPr>
              <w:snapToGrid w:val="0"/>
              <w:rPr>
                <w:rFonts w:eastAsia="宋体"/>
                <w:b/>
                <w:sz w:val="24"/>
                <w:szCs w:val="24"/>
              </w:rPr>
            </w:pPr>
            <w:r>
              <w:rPr>
                <w:rFonts w:eastAsia="宋体"/>
                <w:b/>
                <w:sz w:val="24"/>
                <w:szCs w:val="24"/>
              </w:rPr>
              <w:t>参与集中的经营者简介（每个限100字以内）</w:t>
            </w:r>
          </w:p>
        </w:tc>
        <w:tc>
          <w:tcPr>
            <w:tcW w:w="863" w:type="pct"/>
          </w:tcPr>
          <w:p w14:paraId="3CC4C7B7">
            <w:pPr>
              <w:snapToGrid w:val="0"/>
              <w:rPr>
                <w:rFonts w:eastAsia="宋体"/>
                <w:kern w:val="0"/>
                <w:sz w:val="24"/>
                <w:szCs w:val="24"/>
              </w:rPr>
            </w:pPr>
            <w:r>
              <w:rPr>
                <w:rFonts w:eastAsia="宋体"/>
                <w:kern w:val="0"/>
                <w:sz w:val="24"/>
                <w:szCs w:val="24"/>
              </w:rPr>
              <w:t>熙维资本</w:t>
            </w:r>
          </w:p>
        </w:tc>
        <w:tc>
          <w:tcPr>
            <w:tcW w:w="3105" w:type="pct"/>
          </w:tcPr>
          <w:p w14:paraId="642E9F2E">
            <w:pPr>
              <w:snapToGrid w:val="0"/>
              <w:rPr>
                <w:rFonts w:eastAsia="宋体"/>
                <w:sz w:val="24"/>
                <w:szCs w:val="24"/>
              </w:rPr>
            </w:pPr>
            <w:r>
              <w:rPr>
                <w:rFonts w:eastAsia="宋体"/>
                <w:kern w:val="0"/>
                <w:sz w:val="24"/>
                <w:szCs w:val="24"/>
              </w:rPr>
              <w:t>熙维资本于</w:t>
            </w:r>
            <w:r>
              <w:rPr>
                <w:rFonts w:eastAsia="宋体"/>
                <w:sz w:val="24"/>
                <w:szCs w:val="24"/>
              </w:rPr>
              <w:t>2021年12月21日成立于泽西岛，为阿姆斯特丹泛欧证券交易所上市公司，熙维资本及其各时期特定子公司的主要业务为向特定基金和投资工具提供投资建议和/或代表其管理投资，熙维基金持有全球多个行业的多家公司的股权，领域涉及金融服务、化工、公共事业、制造业、零售和分销。</w:t>
            </w:r>
          </w:p>
          <w:p w14:paraId="6B9D9089">
            <w:pPr>
              <w:snapToGrid w:val="0"/>
              <w:rPr>
                <w:rFonts w:eastAsia="宋体"/>
                <w:sz w:val="24"/>
                <w:szCs w:val="24"/>
              </w:rPr>
            </w:pPr>
          </w:p>
          <w:p w14:paraId="16BEB608">
            <w:pPr>
              <w:snapToGrid w:val="0"/>
              <w:rPr>
                <w:rFonts w:eastAsia="宋体"/>
                <w:i/>
                <w:sz w:val="24"/>
                <w:szCs w:val="24"/>
              </w:rPr>
            </w:pPr>
            <w:r>
              <w:rPr>
                <w:rFonts w:eastAsia="宋体"/>
                <w:sz w:val="24"/>
                <w:szCs w:val="24"/>
              </w:rPr>
              <w:t>熙维资本无最终控制人。</w:t>
            </w:r>
          </w:p>
        </w:tc>
      </w:tr>
      <w:tr w14:paraId="20768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032" w:type="pct"/>
            <w:vMerge w:val="continue"/>
            <w:shd w:val="clear" w:color="auto" w:fill="D9D9D9"/>
            <w:vAlign w:val="center"/>
          </w:tcPr>
          <w:p w14:paraId="745253A5">
            <w:pPr>
              <w:snapToGrid w:val="0"/>
              <w:rPr>
                <w:rFonts w:eastAsia="宋体"/>
                <w:b/>
                <w:sz w:val="24"/>
                <w:szCs w:val="24"/>
              </w:rPr>
            </w:pPr>
          </w:p>
        </w:tc>
        <w:tc>
          <w:tcPr>
            <w:tcW w:w="863" w:type="pct"/>
          </w:tcPr>
          <w:p w14:paraId="155FE365">
            <w:pPr>
              <w:snapToGrid w:val="0"/>
              <w:rPr>
                <w:rFonts w:eastAsia="宋体"/>
                <w:kern w:val="0"/>
                <w:sz w:val="24"/>
                <w:szCs w:val="24"/>
              </w:rPr>
            </w:pPr>
            <w:r>
              <w:rPr>
                <w:rFonts w:eastAsia="宋体"/>
                <w:kern w:val="0"/>
                <w:sz w:val="24"/>
                <w:szCs w:val="24"/>
              </w:rPr>
              <w:t>目标业务</w:t>
            </w:r>
          </w:p>
        </w:tc>
        <w:tc>
          <w:tcPr>
            <w:tcW w:w="3105" w:type="pct"/>
          </w:tcPr>
          <w:p w14:paraId="1AA35650">
            <w:pPr>
              <w:snapToGrid w:val="0"/>
              <w:rPr>
                <w:rFonts w:eastAsia="宋体"/>
                <w:sz w:val="24"/>
                <w:szCs w:val="24"/>
              </w:rPr>
            </w:pPr>
            <w:r>
              <w:rPr>
                <w:rFonts w:eastAsia="宋体"/>
                <w:sz w:val="24"/>
                <w:szCs w:val="24"/>
              </w:rPr>
              <w:t>目标业务主要涵盖七大产品线：（1）复配剂，（2）蛋白质解决方案，（3）乳化剂，（4）质构剂，（5）食品内容物，（6）甜味剂、膳食纤维及生物聚合物，以及（7）食品保鲜剂。</w:t>
            </w:r>
          </w:p>
          <w:p w14:paraId="0732EC85">
            <w:pPr>
              <w:snapToGrid w:val="0"/>
              <w:rPr>
                <w:rFonts w:eastAsia="宋体"/>
                <w:sz w:val="24"/>
                <w:szCs w:val="24"/>
              </w:rPr>
            </w:pPr>
          </w:p>
          <w:p w14:paraId="47A8594C">
            <w:pPr>
              <w:snapToGrid w:val="0"/>
              <w:rPr>
                <w:rFonts w:eastAsia="宋体"/>
                <w:sz w:val="24"/>
                <w:szCs w:val="24"/>
              </w:rPr>
            </w:pPr>
            <w:r>
              <w:rPr>
                <w:rFonts w:eastAsia="宋体"/>
                <w:sz w:val="24"/>
                <w:szCs w:val="24"/>
              </w:rPr>
              <w:t>目标业务由IFF最终控制。2025年，IFF的主营业务主要包括以下五个板块：风味、食品配料、健康与生物科学、香氛，以及（在2025年5月完成制药解决方案和硝化纤维素业务剥离之前的）制药解决方案。</w:t>
            </w:r>
          </w:p>
        </w:tc>
      </w:tr>
      <w:tr w14:paraId="1D131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1" w:type="dxa"/>
            <w:vMerge w:val="restart"/>
            <w:shd w:val="clear" w:color="auto" w:fill="D9D9D9"/>
            <w:vAlign w:val="center"/>
          </w:tcPr>
          <w:p w14:paraId="7F393ED1">
            <w:pPr>
              <w:snapToGrid w:val="0"/>
              <w:rPr>
                <w:rFonts w:eastAsia="宋体"/>
                <w:b/>
                <w:sz w:val="24"/>
                <w:szCs w:val="24"/>
              </w:rPr>
            </w:pPr>
            <w:r>
              <w:rPr>
                <w:rFonts w:eastAsia="宋体"/>
                <w:b/>
                <w:sz w:val="24"/>
                <w:szCs w:val="24"/>
              </w:rPr>
              <w:t>简易案件理由</w:t>
            </w:r>
          </w:p>
          <w:p w14:paraId="522BDC66">
            <w:pPr>
              <w:snapToGrid w:val="0"/>
              <w:rPr>
                <w:rFonts w:eastAsia="宋体"/>
                <w:b/>
                <w:sz w:val="24"/>
                <w:szCs w:val="24"/>
              </w:rPr>
            </w:pPr>
            <w:r>
              <w:rPr>
                <w:rFonts w:eastAsia="宋体"/>
                <w:b/>
                <w:sz w:val="24"/>
                <w:szCs w:val="24"/>
              </w:rPr>
              <w:t>（可以单选，也</w:t>
            </w:r>
          </w:p>
          <w:p w14:paraId="77B31449">
            <w:pPr>
              <w:snapToGrid w:val="0"/>
              <w:rPr>
                <w:rFonts w:eastAsia="宋体"/>
                <w:b/>
                <w:sz w:val="24"/>
                <w:szCs w:val="24"/>
              </w:rPr>
            </w:pPr>
            <w:r>
              <w:rPr>
                <w:rFonts w:eastAsia="宋体"/>
                <w:b/>
                <w:sz w:val="24"/>
                <w:szCs w:val="24"/>
              </w:rPr>
              <w:t>可以多选）</w:t>
            </w:r>
          </w:p>
        </w:tc>
        <w:tc>
          <w:tcPr>
            <w:tcW w:w="7155" w:type="dxa"/>
            <w:gridSpan w:val="2"/>
          </w:tcPr>
          <w:p w14:paraId="2C1E2F8E">
            <w:pPr>
              <w:tabs>
                <w:tab w:val="left" w:pos="269"/>
              </w:tabs>
              <w:snapToGrid w:val="0"/>
              <w:rPr>
                <w:rFonts w:eastAsia="宋体"/>
                <w:sz w:val="24"/>
                <w:szCs w:val="24"/>
              </w:rPr>
            </w:pPr>
            <w:r>
              <w:rPr>
                <w:rFonts w:eastAsia="宋体"/>
                <w:sz w:val="24"/>
                <w:szCs w:val="24"/>
                <w:lang w:val="en-GB"/>
              </w:rPr>
              <w:sym w:font="Wingdings" w:char="F0A8"/>
            </w:r>
            <w:r>
              <w:rPr>
                <w:rFonts w:eastAsia="宋体"/>
                <w:sz w:val="24"/>
                <w:szCs w:val="24"/>
              </w:rPr>
              <w:t>1.在同一相关市场，参与集中的经营者所占的市场份额之和小于15%。</w:t>
            </w:r>
          </w:p>
        </w:tc>
      </w:tr>
      <w:tr w14:paraId="55125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2" w:type="pct"/>
            <w:vMerge w:val="continue"/>
            <w:shd w:val="clear" w:color="auto" w:fill="D9D9D9"/>
            <w:vAlign w:val="center"/>
          </w:tcPr>
          <w:p w14:paraId="008ABC6B">
            <w:pPr>
              <w:snapToGrid w:val="0"/>
              <w:rPr>
                <w:rFonts w:eastAsia="宋体"/>
                <w:b/>
                <w:sz w:val="24"/>
                <w:szCs w:val="24"/>
              </w:rPr>
            </w:pPr>
          </w:p>
        </w:tc>
        <w:tc>
          <w:tcPr>
            <w:tcW w:w="7155" w:type="dxa"/>
            <w:gridSpan w:val="2"/>
          </w:tcPr>
          <w:p w14:paraId="656B0100">
            <w:pPr>
              <w:tabs>
                <w:tab w:val="left" w:pos="269"/>
              </w:tabs>
              <w:snapToGrid w:val="0"/>
              <w:rPr>
                <w:rFonts w:eastAsia="宋体"/>
                <w:sz w:val="24"/>
                <w:szCs w:val="24"/>
              </w:rPr>
            </w:pPr>
            <w:r>
              <w:rPr>
                <w:rFonts w:eastAsia="宋体"/>
                <w:sz w:val="24"/>
                <w:szCs w:val="24"/>
                <w:lang w:val="en-GB"/>
              </w:rPr>
              <w:sym w:font="Wingdings" w:char="F0A8"/>
            </w:r>
            <w:r>
              <w:rPr>
                <w:rFonts w:eastAsia="宋体"/>
                <w:sz w:val="24"/>
                <w:szCs w:val="24"/>
              </w:rPr>
              <w:t>2.在上下游市场，参与集中的经营者所占的市场份额均小于25%。</w:t>
            </w:r>
          </w:p>
        </w:tc>
      </w:tr>
      <w:tr w14:paraId="6B34C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2" w:type="pct"/>
            <w:vMerge w:val="continue"/>
            <w:shd w:val="clear" w:color="auto" w:fill="D9D9D9"/>
            <w:vAlign w:val="center"/>
          </w:tcPr>
          <w:p w14:paraId="3C7A51EF">
            <w:pPr>
              <w:snapToGrid w:val="0"/>
              <w:rPr>
                <w:rFonts w:eastAsia="宋体"/>
                <w:b/>
                <w:sz w:val="24"/>
                <w:szCs w:val="24"/>
              </w:rPr>
            </w:pPr>
          </w:p>
        </w:tc>
        <w:tc>
          <w:tcPr>
            <w:tcW w:w="7155" w:type="dxa"/>
            <w:gridSpan w:val="2"/>
          </w:tcPr>
          <w:p w14:paraId="3BA605AE">
            <w:pPr>
              <w:tabs>
                <w:tab w:val="left" w:pos="269"/>
              </w:tabs>
              <w:snapToGrid w:val="0"/>
              <w:rPr>
                <w:rFonts w:eastAsia="宋体"/>
                <w:sz w:val="24"/>
                <w:szCs w:val="24"/>
              </w:rPr>
            </w:pPr>
            <w:r>
              <w:rPr>
                <w:rFonts w:eastAsia="宋体"/>
                <w:sz w:val="24"/>
                <w:szCs w:val="24"/>
              </w:rPr>
              <w:sym w:font="Wingdings" w:char="F0FE"/>
            </w:r>
            <w:r>
              <w:rPr>
                <w:rFonts w:eastAsia="宋体"/>
                <w:sz w:val="24"/>
                <w:szCs w:val="24"/>
              </w:rPr>
              <w:t>3.不在同一相关市场也不存在上下游关系的参与集中的经营者，在与交易有关的每个市场所占的市场份额均小于25%。</w:t>
            </w:r>
          </w:p>
        </w:tc>
      </w:tr>
      <w:tr w14:paraId="29EBF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32" w:type="pct"/>
            <w:vMerge w:val="continue"/>
            <w:shd w:val="clear" w:color="auto" w:fill="D9D9D9"/>
            <w:vAlign w:val="center"/>
          </w:tcPr>
          <w:p w14:paraId="62885D97">
            <w:pPr>
              <w:snapToGrid w:val="0"/>
              <w:rPr>
                <w:rFonts w:eastAsia="宋体"/>
                <w:b/>
                <w:sz w:val="24"/>
                <w:szCs w:val="24"/>
              </w:rPr>
            </w:pPr>
          </w:p>
        </w:tc>
        <w:tc>
          <w:tcPr>
            <w:tcW w:w="7155" w:type="dxa"/>
            <w:gridSpan w:val="2"/>
          </w:tcPr>
          <w:p w14:paraId="247B5155">
            <w:pPr>
              <w:snapToGrid w:val="0"/>
              <w:rPr>
                <w:rFonts w:eastAsia="宋体"/>
                <w:sz w:val="24"/>
                <w:szCs w:val="24"/>
              </w:rPr>
            </w:pPr>
            <w:r>
              <w:rPr>
                <w:rFonts w:eastAsia="宋体"/>
                <w:sz w:val="24"/>
                <w:szCs w:val="24"/>
                <w:lang w:val="en-GB"/>
              </w:rPr>
              <w:sym w:font="Wingdings" w:char="F0A8"/>
            </w:r>
            <w:r>
              <w:rPr>
                <w:rFonts w:eastAsia="宋体"/>
                <w:sz w:val="24"/>
                <w:szCs w:val="24"/>
              </w:rPr>
              <w:t>4.参与集中的经营者在中国境外设立合营企业，合营企业不在中国境内从事经济活动。</w:t>
            </w:r>
          </w:p>
        </w:tc>
      </w:tr>
      <w:tr w14:paraId="36CC4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2" w:type="pct"/>
            <w:vMerge w:val="continue"/>
            <w:shd w:val="clear" w:color="auto" w:fill="D9D9D9"/>
            <w:vAlign w:val="center"/>
          </w:tcPr>
          <w:p w14:paraId="5D7465BB">
            <w:pPr>
              <w:snapToGrid w:val="0"/>
              <w:rPr>
                <w:rFonts w:eastAsia="宋体"/>
                <w:b/>
                <w:sz w:val="24"/>
                <w:szCs w:val="24"/>
              </w:rPr>
            </w:pPr>
          </w:p>
        </w:tc>
        <w:tc>
          <w:tcPr>
            <w:tcW w:w="7155" w:type="dxa"/>
            <w:gridSpan w:val="2"/>
          </w:tcPr>
          <w:p w14:paraId="556FA2FB">
            <w:pPr>
              <w:snapToGrid w:val="0"/>
              <w:rPr>
                <w:rFonts w:eastAsia="宋体"/>
                <w:sz w:val="24"/>
                <w:szCs w:val="24"/>
              </w:rPr>
            </w:pPr>
            <w:r>
              <w:rPr>
                <w:rFonts w:eastAsia="宋体"/>
                <w:sz w:val="24"/>
                <w:szCs w:val="24"/>
                <w:lang w:val="en-GB"/>
              </w:rPr>
              <w:sym w:font="Wingdings" w:char="F0A8"/>
            </w:r>
            <w:r>
              <w:rPr>
                <w:rFonts w:eastAsia="宋体"/>
                <w:sz w:val="24"/>
                <w:szCs w:val="24"/>
              </w:rPr>
              <w:t>5.参与集中的经营者收购境外企业股权或资产的，该境外企业不在中国境内从事经济活动。</w:t>
            </w:r>
          </w:p>
        </w:tc>
      </w:tr>
      <w:tr w14:paraId="1A159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2" w:type="pct"/>
            <w:vMerge w:val="continue"/>
            <w:shd w:val="clear" w:color="auto" w:fill="D9D9D9"/>
            <w:vAlign w:val="center"/>
          </w:tcPr>
          <w:p w14:paraId="56DFE9C4">
            <w:pPr>
              <w:snapToGrid w:val="0"/>
              <w:rPr>
                <w:rFonts w:eastAsia="宋体"/>
                <w:b/>
                <w:sz w:val="24"/>
                <w:szCs w:val="24"/>
              </w:rPr>
            </w:pPr>
          </w:p>
        </w:tc>
        <w:tc>
          <w:tcPr>
            <w:tcW w:w="7155" w:type="dxa"/>
            <w:gridSpan w:val="2"/>
          </w:tcPr>
          <w:p w14:paraId="6717E0BD">
            <w:pPr>
              <w:snapToGrid w:val="0"/>
              <w:rPr>
                <w:rFonts w:eastAsia="宋体"/>
                <w:sz w:val="24"/>
                <w:szCs w:val="24"/>
              </w:rPr>
            </w:pPr>
            <w:r>
              <w:rPr>
                <w:rFonts w:eastAsia="宋体"/>
                <w:sz w:val="24"/>
                <w:szCs w:val="24"/>
                <w:lang w:val="en-GB"/>
              </w:rPr>
              <w:sym w:font="Wingdings" w:char="F0A8"/>
            </w:r>
            <w:r>
              <w:rPr>
                <w:rFonts w:eastAsia="宋体"/>
                <w:sz w:val="24"/>
                <w:szCs w:val="24"/>
              </w:rPr>
              <w:t>6.由两个以上的经营者共同控制的合营企业，通过集中被其中一个或一个以上经营者控制。</w:t>
            </w:r>
          </w:p>
        </w:tc>
      </w:tr>
      <w:tr w14:paraId="2B48A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1861" w:type="dxa"/>
            <w:shd w:val="clear" w:color="auto" w:fill="D9D9D9"/>
            <w:vAlign w:val="center"/>
          </w:tcPr>
          <w:p w14:paraId="499BE693">
            <w:pPr>
              <w:snapToGrid w:val="0"/>
              <w:rPr>
                <w:rFonts w:eastAsia="宋体"/>
                <w:b/>
                <w:sz w:val="24"/>
                <w:szCs w:val="24"/>
              </w:rPr>
            </w:pPr>
            <w:r>
              <w:rPr>
                <w:rFonts w:eastAsia="宋体"/>
                <w:b/>
                <w:sz w:val="24"/>
                <w:szCs w:val="24"/>
              </w:rPr>
              <w:t>备注</w:t>
            </w:r>
          </w:p>
        </w:tc>
        <w:tc>
          <w:tcPr>
            <w:tcW w:w="3968" w:type="pct"/>
            <w:gridSpan w:val="2"/>
          </w:tcPr>
          <w:p w14:paraId="7CE9711C">
            <w:pPr>
              <w:snapToGrid w:val="0"/>
              <w:rPr>
                <w:rFonts w:eastAsia="宋体"/>
                <w:i/>
                <w:iCs/>
                <w:sz w:val="24"/>
                <w:szCs w:val="24"/>
              </w:rPr>
            </w:pPr>
            <w:r>
              <w:rPr>
                <w:rFonts w:eastAsia="宋体"/>
                <w:b/>
                <w:bCs/>
                <w:sz w:val="24"/>
                <w:szCs w:val="24"/>
              </w:rPr>
              <w:t xml:space="preserve">混合集中： </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7"/>
              <w:gridCol w:w="1842"/>
              <w:gridCol w:w="2110"/>
            </w:tblGrid>
            <w:tr w14:paraId="71658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2977" w:type="dxa"/>
                </w:tcPr>
                <w:p w14:paraId="22A54BF7">
                  <w:pPr>
                    <w:snapToGrid w:val="0"/>
                    <w:jc w:val="center"/>
                    <w:rPr>
                      <w:rFonts w:ascii="Times New Roman" w:hAnsi="Times New Roman" w:eastAsia="宋体"/>
                      <w:sz w:val="24"/>
                      <w:szCs w:val="24"/>
                    </w:rPr>
                  </w:pPr>
                  <w:r>
                    <w:rPr>
                      <w:rFonts w:ascii="Times New Roman" w:hAnsi="Times New Roman" w:eastAsia="宋体"/>
                      <w:sz w:val="24"/>
                      <w:szCs w:val="24"/>
                    </w:rPr>
                    <w:t>相关商品市场</w:t>
                  </w:r>
                </w:p>
              </w:tc>
              <w:tc>
                <w:tcPr>
                  <w:tcW w:w="1842" w:type="dxa"/>
                </w:tcPr>
                <w:p w14:paraId="3A6001E5">
                  <w:pPr>
                    <w:snapToGrid w:val="0"/>
                    <w:jc w:val="center"/>
                    <w:rPr>
                      <w:rFonts w:ascii="Times New Roman" w:hAnsi="Times New Roman" w:eastAsia="宋体"/>
                      <w:sz w:val="24"/>
                      <w:szCs w:val="24"/>
                    </w:rPr>
                  </w:pPr>
                  <w:r>
                    <w:rPr>
                      <w:rFonts w:ascii="Times New Roman" w:hAnsi="Times New Roman" w:eastAsia="宋体"/>
                      <w:sz w:val="24"/>
                      <w:szCs w:val="24"/>
                    </w:rPr>
                    <w:t>相关地域市场</w:t>
                  </w:r>
                </w:p>
              </w:tc>
              <w:tc>
                <w:tcPr>
                  <w:tcW w:w="2110" w:type="dxa"/>
                </w:tcPr>
                <w:p w14:paraId="10358CC1">
                  <w:pPr>
                    <w:snapToGrid w:val="0"/>
                    <w:jc w:val="center"/>
                    <w:rPr>
                      <w:rFonts w:ascii="Times New Roman" w:hAnsi="Times New Roman" w:eastAsia="宋体"/>
                      <w:sz w:val="24"/>
                      <w:szCs w:val="24"/>
                    </w:rPr>
                  </w:pPr>
                  <w:r>
                    <w:rPr>
                      <w:rFonts w:ascii="Times New Roman" w:hAnsi="Times New Roman" w:eastAsia="宋体"/>
                      <w:sz w:val="24"/>
                      <w:szCs w:val="24"/>
                    </w:rPr>
                    <w:t>2025年市场份额</w:t>
                  </w:r>
                </w:p>
              </w:tc>
            </w:tr>
            <w:tr w14:paraId="782A5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2977" w:type="dxa"/>
                  <w:vAlign w:val="center"/>
                </w:tcPr>
                <w:p w14:paraId="5E965244">
                  <w:pPr>
                    <w:rPr>
                      <w:rFonts w:ascii="Times New Roman" w:hAnsi="Times New Roman" w:eastAsia="宋体"/>
                      <w:sz w:val="24"/>
                      <w:szCs w:val="24"/>
                    </w:rPr>
                  </w:pPr>
                  <w:r>
                    <w:rPr>
                      <w:rFonts w:ascii="Times New Roman" w:hAnsi="Times New Roman" w:eastAsia="宋体"/>
                      <w:sz w:val="24"/>
                      <w:szCs w:val="24"/>
                    </w:rPr>
                    <w:t>食品用复配剂</w:t>
                  </w:r>
                </w:p>
              </w:tc>
              <w:tc>
                <w:tcPr>
                  <w:tcW w:w="1842" w:type="dxa"/>
                  <w:vAlign w:val="center"/>
                </w:tcPr>
                <w:p w14:paraId="4C58957A">
                  <w:pPr>
                    <w:snapToGrid w:val="0"/>
                    <w:rPr>
                      <w:rFonts w:ascii="Times New Roman" w:hAnsi="Times New Roman" w:eastAsia="宋体"/>
                      <w:sz w:val="24"/>
                      <w:szCs w:val="24"/>
                    </w:rPr>
                  </w:pPr>
                  <w:r>
                    <w:rPr>
                      <w:rFonts w:ascii="Times New Roman" w:hAnsi="Times New Roman" w:eastAsia="宋体"/>
                      <w:iCs/>
                      <w:sz w:val="24"/>
                      <w:szCs w:val="24"/>
                    </w:rPr>
                    <w:t>中国境内</w:t>
                  </w:r>
                </w:p>
              </w:tc>
              <w:tc>
                <w:tcPr>
                  <w:tcW w:w="2110" w:type="dxa"/>
                  <w:vAlign w:val="center"/>
                </w:tcPr>
                <w:p w14:paraId="15D71AC3">
                  <w:pPr>
                    <w:rPr>
                      <w:rFonts w:ascii="Times New Roman" w:hAnsi="Times New Roman" w:eastAsia="宋体"/>
                      <w:sz w:val="24"/>
                      <w:szCs w:val="24"/>
                    </w:rPr>
                  </w:pPr>
                  <w:r>
                    <w:rPr>
                      <w:rFonts w:eastAsia="宋体"/>
                      <w:kern w:val="0"/>
                      <w:sz w:val="24"/>
                      <w:szCs w:val="24"/>
                    </w:rPr>
                    <w:t>目</w:t>
                  </w:r>
                  <w:bookmarkStart w:id="1" w:name="_GoBack"/>
                  <w:r>
                    <w:rPr>
                      <w:rFonts w:eastAsia="宋体"/>
                      <w:kern w:val="0"/>
                      <w:sz w:val="24"/>
                      <w:szCs w:val="24"/>
                    </w:rPr>
                    <w:t>标业</w:t>
                  </w:r>
                  <w:bookmarkEnd w:id="1"/>
                  <w:r>
                    <w:rPr>
                      <w:rFonts w:eastAsia="宋体"/>
                      <w:kern w:val="0"/>
                      <w:sz w:val="24"/>
                      <w:szCs w:val="24"/>
                    </w:rPr>
                    <w:t>务</w:t>
                  </w:r>
                  <w:r>
                    <w:rPr>
                      <w:rFonts w:hint="eastAsia" w:eastAsia="宋体"/>
                      <w:kern w:val="0"/>
                      <w:sz w:val="24"/>
                      <w:szCs w:val="24"/>
                      <w:lang w:eastAsia="zh-CN"/>
                    </w:rPr>
                    <w:t>：</w:t>
                  </w:r>
                  <w:r>
                    <w:rPr>
                      <w:rFonts w:ascii="Times New Roman" w:hAnsi="Times New Roman" w:eastAsia="宋体"/>
                      <w:sz w:val="24"/>
                      <w:szCs w:val="24"/>
                    </w:rPr>
                    <w:t>[5-10]%</w:t>
                  </w:r>
                </w:p>
              </w:tc>
            </w:tr>
            <w:tr w14:paraId="74732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2977" w:type="dxa"/>
                  <w:vAlign w:val="center"/>
                </w:tcPr>
                <w:p w14:paraId="0C209EB9">
                  <w:pPr>
                    <w:rPr>
                      <w:rFonts w:ascii="Times New Roman" w:hAnsi="Times New Roman" w:eastAsia="宋体"/>
                      <w:sz w:val="24"/>
                      <w:szCs w:val="24"/>
                    </w:rPr>
                  </w:pPr>
                  <w:r>
                    <w:rPr>
                      <w:rFonts w:ascii="Times New Roman" w:hAnsi="Times New Roman" w:eastAsia="宋体"/>
                      <w:sz w:val="24"/>
                      <w:szCs w:val="24"/>
                    </w:rPr>
                    <w:t>食品用乳化剂</w:t>
                  </w:r>
                </w:p>
              </w:tc>
              <w:tc>
                <w:tcPr>
                  <w:tcW w:w="1842" w:type="dxa"/>
                  <w:vAlign w:val="center"/>
                </w:tcPr>
                <w:p w14:paraId="5A75D2AE">
                  <w:pPr>
                    <w:widowControl/>
                    <w:snapToGrid w:val="0"/>
                    <w:rPr>
                      <w:rFonts w:ascii="Times New Roman" w:hAnsi="Times New Roman" w:eastAsia="宋体"/>
                      <w:sz w:val="24"/>
                      <w:szCs w:val="24"/>
                    </w:rPr>
                  </w:pPr>
                  <w:r>
                    <w:rPr>
                      <w:rFonts w:ascii="Times New Roman" w:hAnsi="Times New Roman" w:eastAsia="宋体"/>
                      <w:iCs/>
                      <w:sz w:val="24"/>
                      <w:szCs w:val="24"/>
                    </w:rPr>
                    <w:t>中国境内</w:t>
                  </w:r>
                </w:p>
              </w:tc>
              <w:tc>
                <w:tcPr>
                  <w:tcW w:w="2110" w:type="dxa"/>
                  <w:vAlign w:val="center"/>
                </w:tcPr>
                <w:p w14:paraId="7520553E">
                  <w:pPr>
                    <w:rPr>
                      <w:rFonts w:ascii="Times New Roman" w:hAnsi="Times New Roman" w:eastAsia="宋体"/>
                      <w:sz w:val="24"/>
                      <w:szCs w:val="24"/>
                    </w:rPr>
                  </w:pPr>
                  <w:r>
                    <w:rPr>
                      <w:rFonts w:eastAsia="宋体"/>
                      <w:kern w:val="0"/>
                      <w:sz w:val="24"/>
                      <w:szCs w:val="24"/>
                    </w:rPr>
                    <w:t>目标业务</w:t>
                  </w:r>
                  <w:r>
                    <w:rPr>
                      <w:rFonts w:hint="eastAsia" w:eastAsia="宋体"/>
                      <w:kern w:val="0"/>
                      <w:sz w:val="24"/>
                      <w:szCs w:val="24"/>
                      <w:lang w:eastAsia="zh-CN"/>
                    </w:rPr>
                    <w:t>：</w:t>
                  </w:r>
                  <w:r>
                    <w:rPr>
                      <w:rFonts w:ascii="Times New Roman" w:hAnsi="Times New Roman" w:eastAsia="宋体"/>
                      <w:sz w:val="24"/>
                      <w:szCs w:val="24"/>
                    </w:rPr>
                    <w:t>[5-10]%</w:t>
                  </w:r>
                </w:p>
              </w:tc>
            </w:tr>
            <w:tr w14:paraId="5121B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2977" w:type="dxa"/>
                  <w:vAlign w:val="center"/>
                </w:tcPr>
                <w:p w14:paraId="01501119">
                  <w:pPr>
                    <w:rPr>
                      <w:rFonts w:ascii="Times New Roman" w:hAnsi="Times New Roman" w:eastAsia="宋体"/>
                      <w:sz w:val="24"/>
                      <w:szCs w:val="24"/>
                    </w:rPr>
                  </w:pPr>
                  <w:r>
                    <w:rPr>
                      <w:rFonts w:ascii="Times New Roman" w:hAnsi="Times New Roman" w:eastAsia="宋体"/>
                      <w:sz w:val="24"/>
                      <w:szCs w:val="24"/>
                    </w:rPr>
                    <w:t>植物蛋白</w:t>
                  </w:r>
                </w:p>
              </w:tc>
              <w:tc>
                <w:tcPr>
                  <w:tcW w:w="1842" w:type="dxa"/>
                  <w:vAlign w:val="center"/>
                </w:tcPr>
                <w:p w14:paraId="3363CEC8">
                  <w:pPr>
                    <w:snapToGrid w:val="0"/>
                    <w:rPr>
                      <w:rFonts w:ascii="Times New Roman" w:hAnsi="Times New Roman" w:eastAsia="宋体"/>
                      <w:sz w:val="24"/>
                      <w:szCs w:val="24"/>
                    </w:rPr>
                  </w:pPr>
                  <w:r>
                    <w:rPr>
                      <w:rFonts w:ascii="Times New Roman" w:hAnsi="Times New Roman" w:eastAsia="宋体"/>
                      <w:iCs/>
                      <w:sz w:val="24"/>
                      <w:szCs w:val="24"/>
                    </w:rPr>
                    <w:t>中国境内</w:t>
                  </w:r>
                </w:p>
              </w:tc>
              <w:tc>
                <w:tcPr>
                  <w:tcW w:w="2110" w:type="dxa"/>
                  <w:vAlign w:val="center"/>
                </w:tcPr>
                <w:p w14:paraId="0BC64A6C">
                  <w:pPr>
                    <w:rPr>
                      <w:rFonts w:ascii="Times New Roman" w:hAnsi="Times New Roman" w:eastAsia="宋体"/>
                      <w:kern w:val="0"/>
                      <w:sz w:val="24"/>
                      <w:szCs w:val="24"/>
                    </w:rPr>
                  </w:pPr>
                  <w:r>
                    <w:rPr>
                      <w:rFonts w:eastAsia="宋体"/>
                      <w:kern w:val="0"/>
                      <w:sz w:val="24"/>
                      <w:szCs w:val="24"/>
                    </w:rPr>
                    <w:t>目标业务</w:t>
                  </w:r>
                  <w:r>
                    <w:rPr>
                      <w:rFonts w:hint="eastAsia" w:eastAsia="宋体"/>
                      <w:kern w:val="0"/>
                      <w:sz w:val="24"/>
                      <w:szCs w:val="24"/>
                      <w:lang w:eastAsia="zh-CN"/>
                    </w:rPr>
                    <w:t>：</w:t>
                  </w:r>
                  <w:r>
                    <w:rPr>
                      <w:rFonts w:ascii="Times New Roman" w:hAnsi="Times New Roman" w:eastAsia="宋体"/>
                      <w:sz w:val="24"/>
                      <w:szCs w:val="24"/>
                    </w:rPr>
                    <w:t>[0-5]%</w:t>
                  </w:r>
                </w:p>
              </w:tc>
            </w:tr>
            <w:tr w14:paraId="06D50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2977" w:type="dxa"/>
                  <w:vAlign w:val="center"/>
                </w:tcPr>
                <w:p w14:paraId="15E65E6A">
                  <w:pPr>
                    <w:rPr>
                      <w:rFonts w:ascii="Times New Roman" w:hAnsi="Times New Roman" w:eastAsia="宋体"/>
                      <w:sz w:val="24"/>
                      <w:szCs w:val="24"/>
                    </w:rPr>
                  </w:pPr>
                  <w:r>
                    <w:rPr>
                      <w:rFonts w:ascii="Times New Roman" w:hAnsi="Times New Roman" w:eastAsia="宋体"/>
                      <w:sz w:val="24"/>
                      <w:szCs w:val="24"/>
                    </w:rPr>
                    <w:t>食品用质构剂</w:t>
                  </w:r>
                </w:p>
              </w:tc>
              <w:tc>
                <w:tcPr>
                  <w:tcW w:w="1842" w:type="dxa"/>
                  <w:vAlign w:val="center"/>
                </w:tcPr>
                <w:p w14:paraId="1C9925F5">
                  <w:pPr>
                    <w:snapToGrid w:val="0"/>
                    <w:rPr>
                      <w:rFonts w:ascii="Times New Roman" w:hAnsi="Times New Roman" w:eastAsia="宋体"/>
                      <w:sz w:val="24"/>
                      <w:szCs w:val="24"/>
                    </w:rPr>
                  </w:pPr>
                  <w:r>
                    <w:rPr>
                      <w:rFonts w:ascii="Times New Roman" w:hAnsi="Times New Roman" w:eastAsia="宋体"/>
                      <w:iCs/>
                      <w:sz w:val="24"/>
                      <w:szCs w:val="24"/>
                    </w:rPr>
                    <w:t>中国境内</w:t>
                  </w:r>
                </w:p>
              </w:tc>
              <w:tc>
                <w:tcPr>
                  <w:tcW w:w="2110" w:type="dxa"/>
                  <w:vAlign w:val="center"/>
                </w:tcPr>
                <w:p w14:paraId="764316F7">
                  <w:pPr>
                    <w:rPr>
                      <w:rFonts w:ascii="Times New Roman" w:hAnsi="Times New Roman" w:eastAsia="宋体"/>
                      <w:kern w:val="0"/>
                      <w:sz w:val="24"/>
                      <w:szCs w:val="24"/>
                    </w:rPr>
                  </w:pPr>
                  <w:r>
                    <w:rPr>
                      <w:rFonts w:eastAsia="宋体"/>
                      <w:kern w:val="0"/>
                      <w:sz w:val="24"/>
                      <w:szCs w:val="24"/>
                    </w:rPr>
                    <w:t>目标业务</w:t>
                  </w:r>
                  <w:r>
                    <w:rPr>
                      <w:rFonts w:hint="eastAsia" w:eastAsia="宋体"/>
                      <w:kern w:val="0"/>
                      <w:sz w:val="24"/>
                      <w:szCs w:val="24"/>
                      <w:lang w:eastAsia="zh-CN"/>
                    </w:rPr>
                    <w:t>：</w:t>
                  </w:r>
                  <w:r>
                    <w:rPr>
                      <w:rFonts w:ascii="Times New Roman" w:hAnsi="Times New Roman" w:eastAsia="宋体"/>
                      <w:sz w:val="24"/>
                      <w:szCs w:val="24"/>
                    </w:rPr>
                    <w:t>[0-5]%</w:t>
                  </w:r>
                </w:p>
              </w:tc>
            </w:tr>
          </w:tbl>
          <w:p w14:paraId="3598357C">
            <w:pPr>
              <w:snapToGrid w:val="0"/>
              <w:rPr>
                <w:rFonts w:eastAsia="宋体"/>
                <w:sz w:val="24"/>
                <w:szCs w:val="24"/>
              </w:rPr>
            </w:pPr>
          </w:p>
        </w:tc>
      </w:tr>
    </w:tbl>
    <w:p w14:paraId="1D5CD6FA">
      <w:pPr>
        <w:rPr>
          <w:rFonts w:eastAsia="宋体"/>
        </w:rPr>
      </w:pPr>
    </w:p>
    <w:sectPr>
      <w:pgSz w:w="11906" w:h="16838"/>
      <w:pgMar w:top="1440" w:right="1440" w:bottom="1440" w:left="1440" w:header="720" w:footer="72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Consolas">
    <w:altName w:val="Noto Sans Mono"/>
    <w:panose1 w:val="020B0609020204030204"/>
    <w:charset w:val="00"/>
    <w:family w:val="modern"/>
    <w:pitch w:val="default"/>
    <w:sig w:usb0="00000000" w:usb1="00000000" w:usb2="00000001" w:usb3="00000000" w:csb0="0000019F" w:csb1="00000000"/>
  </w:font>
  <w:font w:name="Noto Sans Mono">
    <w:panose1 w:val="020B0509040504020204"/>
    <w:charset w:val="00"/>
    <w:family w:val="auto"/>
    <w:pitch w:val="default"/>
    <w:sig w:usb0="E00002FF" w:usb1="4200FCFF" w:usb2="08000039" w:usb3="00100000" w:csb0="0000019F" w:csb1="DFD70000"/>
  </w:font>
  <w:font w:name="Segoe UI">
    <w:altName w:val="Noto Naskh Arabic"/>
    <w:panose1 w:val="020B0502040204020203"/>
    <w:charset w:val="00"/>
    <w:family w:val="swiss"/>
    <w:pitch w:val="default"/>
    <w:sig w:usb0="00000000" w:usb1="00000000" w:usb2="00000009" w:usb3="00000000" w:csb0="000001FF" w:csb1="00000000"/>
  </w:font>
  <w:font w:name="Noto Naskh Arabic">
    <w:panose1 w:val="020B0502040504020204"/>
    <w:charset w:val="00"/>
    <w:family w:val="auto"/>
    <w:pitch w:val="default"/>
    <w:sig w:usb0="80002003" w:usb1="80002000" w:usb2="00000008" w:usb3="00000000" w:csb0="00000041" w:csb1="00080000"/>
  </w:font>
  <w:font w:name="Arial">
    <w:altName w:val="Times New Roman"/>
    <w:panose1 w:val="020B0604020202020204"/>
    <w:charset w:val="00"/>
    <w:family w:val="swiss"/>
    <w:pitch w:val="default"/>
    <w:sig w:usb0="00000000" w:usb1="00000000" w:usb2="00000009" w:usb3="00000000" w:csb0="000001FF" w:csb1="00000000"/>
  </w:font>
  <w:font w:name="等线">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displayBackgroundShape w:val="1"/>
  <w:bordersDoNotSurroundHeader w:val="1"/>
  <w:bordersDoNotSurroundFooter w:val="1"/>
  <w:doNotTrackFormatting/>
  <w:documentProtection w:enforcement="0"/>
  <w:styleLockQFSet/>
  <w:defaultTabStop w:val="420"/>
  <w:drawingGridVerticalSpacing w:val="156"/>
  <w:noPunctuationKerning w:val="1"/>
  <w:characterSpacingControl w:val="compressPunctuation"/>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heckedForWebBugs" w:val="True"/>
    <w:docVar w:name="TrlrDateFlag" w:val="0"/>
    <w:docVar w:name="TrlrDocTitleFlag" w:val="0"/>
    <w:docVar w:name="TrlrDOSFlag" w:val="0"/>
    <w:docVar w:name="TrlrDOSPathFlag" w:val="0"/>
    <w:docVar w:name="TrlrDraftFlag" w:val="0"/>
    <w:docVar w:name="TrlrFirstPageFlag" w:val="0"/>
    <w:docVar w:name="TrlrMatter" w:val="057462-0116"/>
    <w:docVar w:name="TrlrMatterFlag" w:val="0"/>
    <w:docVar w:name="TrlrRedlineFlag" w:val="0"/>
    <w:docVar w:name="TrlrTimeFlag" w:val="0"/>
    <w:docVar w:name="TrlrTypeFlag" w:val="1"/>
  </w:docVars>
  <w:rsids>
    <w:rsidRoot w:val="00EB3BC3"/>
    <w:rsid w:val="00011991"/>
    <w:rsid w:val="000123FD"/>
    <w:rsid w:val="00012FF4"/>
    <w:rsid w:val="000133D7"/>
    <w:rsid w:val="00013FE8"/>
    <w:rsid w:val="0001540F"/>
    <w:rsid w:val="00015E2D"/>
    <w:rsid w:val="0001621C"/>
    <w:rsid w:val="00020474"/>
    <w:rsid w:val="0002055B"/>
    <w:rsid w:val="00021ED0"/>
    <w:rsid w:val="00024B82"/>
    <w:rsid w:val="000256A4"/>
    <w:rsid w:val="00025F3A"/>
    <w:rsid w:val="000277FB"/>
    <w:rsid w:val="00031360"/>
    <w:rsid w:val="00031F8D"/>
    <w:rsid w:val="000331BB"/>
    <w:rsid w:val="000345BD"/>
    <w:rsid w:val="00040801"/>
    <w:rsid w:val="00040AF1"/>
    <w:rsid w:val="0004182E"/>
    <w:rsid w:val="00042BCF"/>
    <w:rsid w:val="000454E1"/>
    <w:rsid w:val="0005084F"/>
    <w:rsid w:val="00051E22"/>
    <w:rsid w:val="00052D1E"/>
    <w:rsid w:val="00056701"/>
    <w:rsid w:val="0006304F"/>
    <w:rsid w:val="000748BD"/>
    <w:rsid w:val="00077320"/>
    <w:rsid w:val="000775DF"/>
    <w:rsid w:val="0008008E"/>
    <w:rsid w:val="00090D0D"/>
    <w:rsid w:val="00091952"/>
    <w:rsid w:val="000922ED"/>
    <w:rsid w:val="00093163"/>
    <w:rsid w:val="0009325A"/>
    <w:rsid w:val="00094894"/>
    <w:rsid w:val="000A019F"/>
    <w:rsid w:val="000A061D"/>
    <w:rsid w:val="000A0C1D"/>
    <w:rsid w:val="000A4414"/>
    <w:rsid w:val="000A6B3B"/>
    <w:rsid w:val="000A7911"/>
    <w:rsid w:val="000B1815"/>
    <w:rsid w:val="000B2521"/>
    <w:rsid w:val="000B498C"/>
    <w:rsid w:val="000B4BED"/>
    <w:rsid w:val="000B6F06"/>
    <w:rsid w:val="000C0B23"/>
    <w:rsid w:val="000C0D62"/>
    <w:rsid w:val="000C1CE9"/>
    <w:rsid w:val="000C20A7"/>
    <w:rsid w:val="000C2C95"/>
    <w:rsid w:val="000C6755"/>
    <w:rsid w:val="000D1CBD"/>
    <w:rsid w:val="000D3204"/>
    <w:rsid w:val="000D36E4"/>
    <w:rsid w:val="000D48DD"/>
    <w:rsid w:val="000D4FC8"/>
    <w:rsid w:val="000D72FC"/>
    <w:rsid w:val="000E3A3E"/>
    <w:rsid w:val="000E5380"/>
    <w:rsid w:val="000E5506"/>
    <w:rsid w:val="000F21A6"/>
    <w:rsid w:val="000F2934"/>
    <w:rsid w:val="00101C32"/>
    <w:rsid w:val="00102B3A"/>
    <w:rsid w:val="0010430E"/>
    <w:rsid w:val="00106E98"/>
    <w:rsid w:val="00112820"/>
    <w:rsid w:val="00132D56"/>
    <w:rsid w:val="00134AC9"/>
    <w:rsid w:val="00137F80"/>
    <w:rsid w:val="00143235"/>
    <w:rsid w:val="0014336A"/>
    <w:rsid w:val="00147B1E"/>
    <w:rsid w:val="00153942"/>
    <w:rsid w:val="00155343"/>
    <w:rsid w:val="00157F39"/>
    <w:rsid w:val="00163E67"/>
    <w:rsid w:val="00171FEC"/>
    <w:rsid w:val="00172953"/>
    <w:rsid w:val="00172E40"/>
    <w:rsid w:val="001734DC"/>
    <w:rsid w:val="00174A85"/>
    <w:rsid w:val="0017522C"/>
    <w:rsid w:val="001757FD"/>
    <w:rsid w:val="00181079"/>
    <w:rsid w:val="00187F6B"/>
    <w:rsid w:val="00190A78"/>
    <w:rsid w:val="0019477B"/>
    <w:rsid w:val="001A0BEA"/>
    <w:rsid w:val="001A236C"/>
    <w:rsid w:val="001A3673"/>
    <w:rsid w:val="001A533A"/>
    <w:rsid w:val="001A6FB2"/>
    <w:rsid w:val="001B1F07"/>
    <w:rsid w:val="001B287A"/>
    <w:rsid w:val="001B4363"/>
    <w:rsid w:val="001B47C9"/>
    <w:rsid w:val="001B6A64"/>
    <w:rsid w:val="001C38DF"/>
    <w:rsid w:val="001D08D9"/>
    <w:rsid w:val="001D3D42"/>
    <w:rsid w:val="001D505B"/>
    <w:rsid w:val="001E2E2A"/>
    <w:rsid w:val="001E4748"/>
    <w:rsid w:val="001E5511"/>
    <w:rsid w:val="001E5784"/>
    <w:rsid w:val="001E6489"/>
    <w:rsid w:val="001F0E3B"/>
    <w:rsid w:val="001F5031"/>
    <w:rsid w:val="001F73A2"/>
    <w:rsid w:val="002014F8"/>
    <w:rsid w:val="00203E1E"/>
    <w:rsid w:val="002134D4"/>
    <w:rsid w:val="00213D90"/>
    <w:rsid w:val="00214E55"/>
    <w:rsid w:val="00221552"/>
    <w:rsid w:val="002311F1"/>
    <w:rsid w:val="00231BF0"/>
    <w:rsid w:val="00234CAD"/>
    <w:rsid w:val="00240CA9"/>
    <w:rsid w:val="002431DD"/>
    <w:rsid w:val="00243DDA"/>
    <w:rsid w:val="00250E5D"/>
    <w:rsid w:val="00251F05"/>
    <w:rsid w:val="00252838"/>
    <w:rsid w:val="002551AE"/>
    <w:rsid w:val="002571C0"/>
    <w:rsid w:val="00257804"/>
    <w:rsid w:val="00257A26"/>
    <w:rsid w:val="002601C4"/>
    <w:rsid w:val="00260F92"/>
    <w:rsid w:val="00271087"/>
    <w:rsid w:val="0027210D"/>
    <w:rsid w:val="00275A81"/>
    <w:rsid w:val="002900E3"/>
    <w:rsid w:val="00290303"/>
    <w:rsid w:val="002963BE"/>
    <w:rsid w:val="00296F4D"/>
    <w:rsid w:val="002A06D9"/>
    <w:rsid w:val="002A45EF"/>
    <w:rsid w:val="002A4F19"/>
    <w:rsid w:val="002A5BF1"/>
    <w:rsid w:val="002A6816"/>
    <w:rsid w:val="002B14E3"/>
    <w:rsid w:val="002B76D5"/>
    <w:rsid w:val="002B7CC9"/>
    <w:rsid w:val="002C26FF"/>
    <w:rsid w:val="002C4839"/>
    <w:rsid w:val="002C7412"/>
    <w:rsid w:val="002D2C04"/>
    <w:rsid w:val="002D3E5D"/>
    <w:rsid w:val="002D599A"/>
    <w:rsid w:val="002E3DFD"/>
    <w:rsid w:val="002E5F54"/>
    <w:rsid w:val="002F0472"/>
    <w:rsid w:val="002F0867"/>
    <w:rsid w:val="002F3A8D"/>
    <w:rsid w:val="00302E23"/>
    <w:rsid w:val="00312866"/>
    <w:rsid w:val="0032380E"/>
    <w:rsid w:val="00323EDC"/>
    <w:rsid w:val="003260D2"/>
    <w:rsid w:val="00327A80"/>
    <w:rsid w:val="003315F9"/>
    <w:rsid w:val="00331719"/>
    <w:rsid w:val="00333427"/>
    <w:rsid w:val="003403BD"/>
    <w:rsid w:val="003404D3"/>
    <w:rsid w:val="003407A1"/>
    <w:rsid w:val="003416F0"/>
    <w:rsid w:val="00342D92"/>
    <w:rsid w:val="003452BA"/>
    <w:rsid w:val="00345BD7"/>
    <w:rsid w:val="00354691"/>
    <w:rsid w:val="003566CC"/>
    <w:rsid w:val="00360001"/>
    <w:rsid w:val="0036311F"/>
    <w:rsid w:val="00367F59"/>
    <w:rsid w:val="00372271"/>
    <w:rsid w:val="00376B14"/>
    <w:rsid w:val="00384E32"/>
    <w:rsid w:val="0038699A"/>
    <w:rsid w:val="003902BA"/>
    <w:rsid w:val="0039094B"/>
    <w:rsid w:val="0039722A"/>
    <w:rsid w:val="0039777C"/>
    <w:rsid w:val="003A0210"/>
    <w:rsid w:val="003A5149"/>
    <w:rsid w:val="003A5F14"/>
    <w:rsid w:val="003B2A85"/>
    <w:rsid w:val="003B738B"/>
    <w:rsid w:val="003B73DE"/>
    <w:rsid w:val="003D103B"/>
    <w:rsid w:val="003D382B"/>
    <w:rsid w:val="003E0777"/>
    <w:rsid w:val="003E0F7E"/>
    <w:rsid w:val="003E70EF"/>
    <w:rsid w:val="003F1A02"/>
    <w:rsid w:val="0040301F"/>
    <w:rsid w:val="0040445B"/>
    <w:rsid w:val="0040449B"/>
    <w:rsid w:val="004047CA"/>
    <w:rsid w:val="00407437"/>
    <w:rsid w:val="00411633"/>
    <w:rsid w:val="00411869"/>
    <w:rsid w:val="00411B39"/>
    <w:rsid w:val="0041359A"/>
    <w:rsid w:val="0041447A"/>
    <w:rsid w:val="00422086"/>
    <w:rsid w:val="00422FD4"/>
    <w:rsid w:val="0042630C"/>
    <w:rsid w:val="00427160"/>
    <w:rsid w:val="004418C2"/>
    <w:rsid w:val="00446345"/>
    <w:rsid w:val="00447076"/>
    <w:rsid w:val="00450F6F"/>
    <w:rsid w:val="00451B18"/>
    <w:rsid w:val="00460D0C"/>
    <w:rsid w:val="00462249"/>
    <w:rsid w:val="00472898"/>
    <w:rsid w:val="00474571"/>
    <w:rsid w:val="0047537C"/>
    <w:rsid w:val="00480997"/>
    <w:rsid w:val="004847EE"/>
    <w:rsid w:val="00486088"/>
    <w:rsid w:val="004A4750"/>
    <w:rsid w:val="004A6A60"/>
    <w:rsid w:val="004B09F6"/>
    <w:rsid w:val="004B768B"/>
    <w:rsid w:val="004B7D73"/>
    <w:rsid w:val="004C0DAF"/>
    <w:rsid w:val="004C22E6"/>
    <w:rsid w:val="004D013E"/>
    <w:rsid w:val="004D1C36"/>
    <w:rsid w:val="004D2085"/>
    <w:rsid w:val="004D3181"/>
    <w:rsid w:val="004E0089"/>
    <w:rsid w:val="004E1B98"/>
    <w:rsid w:val="004E2CBA"/>
    <w:rsid w:val="004E5F85"/>
    <w:rsid w:val="004F319B"/>
    <w:rsid w:val="004F429E"/>
    <w:rsid w:val="004F677E"/>
    <w:rsid w:val="00500026"/>
    <w:rsid w:val="00500F81"/>
    <w:rsid w:val="00501C44"/>
    <w:rsid w:val="00503B96"/>
    <w:rsid w:val="00504A06"/>
    <w:rsid w:val="00504A60"/>
    <w:rsid w:val="005070FE"/>
    <w:rsid w:val="005103B6"/>
    <w:rsid w:val="00510F08"/>
    <w:rsid w:val="005127B8"/>
    <w:rsid w:val="005135A4"/>
    <w:rsid w:val="0051784F"/>
    <w:rsid w:val="005216E6"/>
    <w:rsid w:val="0052404D"/>
    <w:rsid w:val="00530A75"/>
    <w:rsid w:val="00533749"/>
    <w:rsid w:val="00537D01"/>
    <w:rsid w:val="00544AF9"/>
    <w:rsid w:val="00544B00"/>
    <w:rsid w:val="00551B23"/>
    <w:rsid w:val="005548EB"/>
    <w:rsid w:val="00555277"/>
    <w:rsid w:val="005569EF"/>
    <w:rsid w:val="00560944"/>
    <w:rsid w:val="00561548"/>
    <w:rsid w:val="00561DC1"/>
    <w:rsid w:val="00562EDA"/>
    <w:rsid w:val="005641F2"/>
    <w:rsid w:val="005643CC"/>
    <w:rsid w:val="005661B9"/>
    <w:rsid w:val="00566A3D"/>
    <w:rsid w:val="00570597"/>
    <w:rsid w:val="00571FFD"/>
    <w:rsid w:val="00573E84"/>
    <w:rsid w:val="0057568C"/>
    <w:rsid w:val="00582049"/>
    <w:rsid w:val="00582C76"/>
    <w:rsid w:val="005845D9"/>
    <w:rsid w:val="005857A4"/>
    <w:rsid w:val="00593C9B"/>
    <w:rsid w:val="005950A0"/>
    <w:rsid w:val="005A07CA"/>
    <w:rsid w:val="005A452D"/>
    <w:rsid w:val="005A7CF2"/>
    <w:rsid w:val="005B1239"/>
    <w:rsid w:val="005B4351"/>
    <w:rsid w:val="005B4E0A"/>
    <w:rsid w:val="005B7DFD"/>
    <w:rsid w:val="005C2F69"/>
    <w:rsid w:val="005C69AD"/>
    <w:rsid w:val="005D3163"/>
    <w:rsid w:val="005D320E"/>
    <w:rsid w:val="005D3804"/>
    <w:rsid w:val="005D4965"/>
    <w:rsid w:val="005D59F4"/>
    <w:rsid w:val="005D7EA4"/>
    <w:rsid w:val="005E1CC4"/>
    <w:rsid w:val="005E692A"/>
    <w:rsid w:val="005F40C9"/>
    <w:rsid w:val="005F5144"/>
    <w:rsid w:val="00600EA5"/>
    <w:rsid w:val="00601650"/>
    <w:rsid w:val="006021DF"/>
    <w:rsid w:val="00613CF3"/>
    <w:rsid w:val="006158C4"/>
    <w:rsid w:val="0062076A"/>
    <w:rsid w:val="0062126D"/>
    <w:rsid w:val="00623181"/>
    <w:rsid w:val="00625EE9"/>
    <w:rsid w:val="006371A8"/>
    <w:rsid w:val="006407DB"/>
    <w:rsid w:val="006445A6"/>
    <w:rsid w:val="0064532F"/>
    <w:rsid w:val="00646793"/>
    <w:rsid w:val="006526A1"/>
    <w:rsid w:val="0065303F"/>
    <w:rsid w:val="0065323C"/>
    <w:rsid w:val="00654651"/>
    <w:rsid w:val="00655E6A"/>
    <w:rsid w:val="00657B88"/>
    <w:rsid w:val="00661BA4"/>
    <w:rsid w:val="006666EF"/>
    <w:rsid w:val="00666EA0"/>
    <w:rsid w:val="00685D17"/>
    <w:rsid w:val="00690C26"/>
    <w:rsid w:val="00691E10"/>
    <w:rsid w:val="006959AE"/>
    <w:rsid w:val="006A111B"/>
    <w:rsid w:val="006A12A1"/>
    <w:rsid w:val="006A3239"/>
    <w:rsid w:val="006A35DD"/>
    <w:rsid w:val="006A6B22"/>
    <w:rsid w:val="006B3EA5"/>
    <w:rsid w:val="006B5F55"/>
    <w:rsid w:val="006C1E65"/>
    <w:rsid w:val="006C5ECC"/>
    <w:rsid w:val="006C7A25"/>
    <w:rsid w:val="006D3D3F"/>
    <w:rsid w:val="006D7932"/>
    <w:rsid w:val="006E395D"/>
    <w:rsid w:val="006F0757"/>
    <w:rsid w:val="006F26CF"/>
    <w:rsid w:val="006F3656"/>
    <w:rsid w:val="00702E66"/>
    <w:rsid w:val="00713EE9"/>
    <w:rsid w:val="0071691E"/>
    <w:rsid w:val="007208DC"/>
    <w:rsid w:val="00720CE3"/>
    <w:rsid w:val="00724337"/>
    <w:rsid w:val="0072566A"/>
    <w:rsid w:val="00730364"/>
    <w:rsid w:val="007333ED"/>
    <w:rsid w:val="007360D0"/>
    <w:rsid w:val="007405F7"/>
    <w:rsid w:val="00740B80"/>
    <w:rsid w:val="00741E05"/>
    <w:rsid w:val="00745741"/>
    <w:rsid w:val="007459C8"/>
    <w:rsid w:val="00746D62"/>
    <w:rsid w:val="00750D30"/>
    <w:rsid w:val="00751CAA"/>
    <w:rsid w:val="00753048"/>
    <w:rsid w:val="00756EE8"/>
    <w:rsid w:val="007578DF"/>
    <w:rsid w:val="00761065"/>
    <w:rsid w:val="00761945"/>
    <w:rsid w:val="00763042"/>
    <w:rsid w:val="00775DDC"/>
    <w:rsid w:val="00776EC8"/>
    <w:rsid w:val="00780CF4"/>
    <w:rsid w:val="00783E1A"/>
    <w:rsid w:val="00785F8D"/>
    <w:rsid w:val="00791E6C"/>
    <w:rsid w:val="00794DAC"/>
    <w:rsid w:val="007A7998"/>
    <w:rsid w:val="007B0011"/>
    <w:rsid w:val="007B10AE"/>
    <w:rsid w:val="007B15C1"/>
    <w:rsid w:val="007B3873"/>
    <w:rsid w:val="007B4018"/>
    <w:rsid w:val="007B7B7A"/>
    <w:rsid w:val="007C1235"/>
    <w:rsid w:val="007C1899"/>
    <w:rsid w:val="007C3BB9"/>
    <w:rsid w:val="007C3EA3"/>
    <w:rsid w:val="007C6097"/>
    <w:rsid w:val="007D40A6"/>
    <w:rsid w:val="007D5797"/>
    <w:rsid w:val="007E032B"/>
    <w:rsid w:val="007E390A"/>
    <w:rsid w:val="007E3E68"/>
    <w:rsid w:val="007E404B"/>
    <w:rsid w:val="007F1CFC"/>
    <w:rsid w:val="007F405D"/>
    <w:rsid w:val="007F5DB2"/>
    <w:rsid w:val="00800F6D"/>
    <w:rsid w:val="00801234"/>
    <w:rsid w:val="008042D9"/>
    <w:rsid w:val="0080437E"/>
    <w:rsid w:val="00811002"/>
    <w:rsid w:val="00814A4F"/>
    <w:rsid w:val="00824020"/>
    <w:rsid w:val="00824531"/>
    <w:rsid w:val="00824EAD"/>
    <w:rsid w:val="00836377"/>
    <w:rsid w:val="008457C5"/>
    <w:rsid w:val="00853D4D"/>
    <w:rsid w:val="0085515C"/>
    <w:rsid w:val="00860CD3"/>
    <w:rsid w:val="00861CDD"/>
    <w:rsid w:val="0086414F"/>
    <w:rsid w:val="00864F32"/>
    <w:rsid w:val="008675D3"/>
    <w:rsid w:val="00872934"/>
    <w:rsid w:val="00874391"/>
    <w:rsid w:val="0087439C"/>
    <w:rsid w:val="00885EA3"/>
    <w:rsid w:val="008871D6"/>
    <w:rsid w:val="00887378"/>
    <w:rsid w:val="008873EB"/>
    <w:rsid w:val="008925AD"/>
    <w:rsid w:val="00894AF4"/>
    <w:rsid w:val="00895041"/>
    <w:rsid w:val="008964A4"/>
    <w:rsid w:val="008A3FE9"/>
    <w:rsid w:val="008A648A"/>
    <w:rsid w:val="008B2D45"/>
    <w:rsid w:val="008B5D9B"/>
    <w:rsid w:val="008C21C4"/>
    <w:rsid w:val="008C3C1A"/>
    <w:rsid w:val="008D00F0"/>
    <w:rsid w:val="008D1DD4"/>
    <w:rsid w:val="008D2A14"/>
    <w:rsid w:val="008D42CB"/>
    <w:rsid w:val="008D431E"/>
    <w:rsid w:val="008E0BC0"/>
    <w:rsid w:val="008E0FDA"/>
    <w:rsid w:val="008E3BD5"/>
    <w:rsid w:val="008F0609"/>
    <w:rsid w:val="008F1B36"/>
    <w:rsid w:val="008F2C9D"/>
    <w:rsid w:val="00903B58"/>
    <w:rsid w:val="009054CE"/>
    <w:rsid w:val="00906774"/>
    <w:rsid w:val="00913BCE"/>
    <w:rsid w:val="009141DC"/>
    <w:rsid w:val="00917AF8"/>
    <w:rsid w:val="00923F93"/>
    <w:rsid w:val="00924609"/>
    <w:rsid w:val="009269FF"/>
    <w:rsid w:val="00930699"/>
    <w:rsid w:val="00930867"/>
    <w:rsid w:val="00933ABF"/>
    <w:rsid w:val="00936BD8"/>
    <w:rsid w:val="0093726B"/>
    <w:rsid w:val="00943CD4"/>
    <w:rsid w:val="009440C8"/>
    <w:rsid w:val="0095401F"/>
    <w:rsid w:val="0095527D"/>
    <w:rsid w:val="0095613F"/>
    <w:rsid w:val="00960760"/>
    <w:rsid w:val="00961B6C"/>
    <w:rsid w:val="00971DF4"/>
    <w:rsid w:val="00973CDD"/>
    <w:rsid w:val="0097567F"/>
    <w:rsid w:val="009816D0"/>
    <w:rsid w:val="00982928"/>
    <w:rsid w:val="00985E47"/>
    <w:rsid w:val="009866BB"/>
    <w:rsid w:val="009867A3"/>
    <w:rsid w:val="00996CD9"/>
    <w:rsid w:val="009A0D1F"/>
    <w:rsid w:val="009A5AC7"/>
    <w:rsid w:val="009A6142"/>
    <w:rsid w:val="009B5E92"/>
    <w:rsid w:val="009C0BD2"/>
    <w:rsid w:val="009C1F74"/>
    <w:rsid w:val="009D08F4"/>
    <w:rsid w:val="009D5052"/>
    <w:rsid w:val="009D79F6"/>
    <w:rsid w:val="009E1EA2"/>
    <w:rsid w:val="009E2B6C"/>
    <w:rsid w:val="009E461E"/>
    <w:rsid w:val="00A04476"/>
    <w:rsid w:val="00A0540B"/>
    <w:rsid w:val="00A0544D"/>
    <w:rsid w:val="00A11794"/>
    <w:rsid w:val="00A126A8"/>
    <w:rsid w:val="00A206DF"/>
    <w:rsid w:val="00A2193F"/>
    <w:rsid w:val="00A2485B"/>
    <w:rsid w:val="00A248B3"/>
    <w:rsid w:val="00A24E13"/>
    <w:rsid w:val="00A2669C"/>
    <w:rsid w:val="00A311EB"/>
    <w:rsid w:val="00A335D5"/>
    <w:rsid w:val="00A36031"/>
    <w:rsid w:val="00A362AC"/>
    <w:rsid w:val="00A40229"/>
    <w:rsid w:val="00A452C7"/>
    <w:rsid w:val="00A45BBF"/>
    <w:rsid w:val="00A46178"/>
    <w:rsid w:val="00A57D1B"/>
    <w:rsid w:val="00A607D0"/>
    <w:rsid w:val="00A60A8D"/>
    <w:rsid w:val="00A61B0F"/>
    <w:rsid w:val="00A658C0"/>
    <w:rsid w:val="00A66F9A"/>
    <w:rsid w:val="00A677B7"/>
    <w:rsid w:val="00A708E1"/>
    <w:rsid w:val="00A762FF"/>
    <w:rsid w:val="00A8017F"/>
    <w:rsid w:val="00A81CBA"/>
    <w:rsid w:val="00A840CA"/>
    <w:rsid w:val="00A873D5"/>
    <w:rsid w:val="00A91729"/>
    <w:rsid w:val="00A934A3"/>
    <w:rsid w:val="00A94261"/>
    <w:rsid w:val="00A9510F"/>
    <w:rsid w:val="00A96B09"/>
    <w:rsid w:val="00A9786E"/>
    <w:rsid w:val="00AA3563"/>
    <w:rsid w:val="00AA5031"/>
    <w:rsid w:val="00AA5549"/>
    <w:rsid w:val="00AB1550"/>
    <w:rsid w:val="00AB357D"/>
    <w:rsid w:val="00AC0EB6"/>
    <w:rsid w:val="00AC2F9C"/>
    <w:rsid w:val="00AC5510"/>
    <w:rsid w:val="00AD18A4"/>
    <w:rsid w:val="00AD18B5"/>
    <w:rsid w:val="00AD1DDB"/>
    <w:rsid w:val="00AD3C84"/>
    <w:rsid w:val="00AE26E1"/>
    <w:rsid w:val="00AE2DAB"/>
    <w:rsid w:val="00AE7B6D"/>
    <w:rsid w:val="00AF2B84"/>
    <w:rsid w:val="00AF3597"/>
    <w:rsid w:val="00AF60B6"/>
    <w:rsid w:val="00B03923"/>
    <w:rsid w:val="00B06033"/>
    <w:rsid w:val="00B12D43"/>
    <w:rsid w:val="00B1387A"/>
    <w:rsid w:val="00B165BD"/>
    <w:rsid w:val="00B25A1F"/>
    <w:rsid w:val="00B30BFC"/>
    <w:rsid w:val="00B34EE6"/>
    <w:rsid w:val="00B42BD1"/>
    <w:rsid w:val="00B4448F"/>
    <w:rsid w:val="00B459EF"/>
    <w:rsid w:val="00B4626C"/>
    <w:rsid w:val="00B46AFE"/>
    <w:rsid w:val="00B550B0"/>
    <w:rsid w:val="00B56E1D"/>
    <w:rsid w:val="00B5720A"/>
    <w:rsid w:val="00B60D8F"/>
    <w:rsid w:val="00B6554B"/>
    <w:rsid w:val="00B65C01"/>
    <w:rsid w:val="00B714DE"/>
    <w:rsid w:val="00B75A9A"/>
    <w:rsid w:val="00B80298"/>
    <w:rsid w:val="00B8042E"/>
    <w:rsid w:val="00B808B9"/>
    <w:rsid w:val="00B808CB"/>
    <w:rsid w:val="00B85611"/>
    <w:rsid w:val="00B9124B"/>
    <w:rsid w:val="00B91288"/>
    <w:rsid w:val="00B9747E"/>
    <w:rsid w:val="00BB7584"/>
    <w:rsid w:val="00BC304A"/>
    <w:rsid w:val="00BC638D"/>
    <w:rsid w:val="00BE1077"/>
    <w:rsid w:val="00BE4F2D"/>
    <w:rsid w:val="00BE55F3"/>
    <w:rsid w:val="00BF35DF"/>
    <w:rsid w:val="00C00B80"/>
    <w:rsid w:val="00C010C3"/>
    <w:rsid w:val="00C01A71"/>
    <w:rsid w:val="00C039A8"/>
    <w:rsid w:val="00C042FB"/>
    <w:rsid w:val="00C0762B"/>
    <w:rsid w:val="00C076FF"/>
    <w:rsid w:val="00C10A5A"/>
    <w:rsid w:val="00C10FA1"/>
    <w:rsid w:val="00C111AD"/>
    <w:rsid w:val="00C1493D"/>
    <w:rsid w:val="00C23245"/>
    <w:rsid w:val="00C23F7B"/>
    <w:rsid w:val="00C24A78"/>
    <w:rsid w:val="00C2524E"/>
    <w:rsid w:val="00C272A6"/>
    <w:rsid w:val="00C337CE"/>
    <w:rsid w:val="00C3453E"/>
    <w:rsid w:val="00C40AD8"/>
    <w:rsid w:val="00C453D9"/>
    <w:rsid w:val="00C45510"/>
    <w:rsid w:val="00C47028"/>
    <w:rsid w:val="00C540BD"/>
    <w:rsid w:val="00C54253"/>
    <w:rsid w:val="00C54A48"/>
    <w:rsid w:val="00C55BD8"/>
    <w:rsid w:val="00C645D5"/>
    <w:rsid w:val="00C65379"/>
    <w:rsid w:val="00C7426C"/>
    <w:rsid w:val="00C764D0"/>
    <w:rsid w:val="00C80876"/>
    <w:rsid w:val="00C84CDA"/>
    <w:rsid w:val="00C85D86"/>
    <w:rsid w:val="00C90377"/>
    <w:rsid w:val="00CA0511"/>
    <w:rsid w:val="00CA37F4"/>
    <w:rsid w:val="00CA461D"/>
    <w:rsid w:val="00CA6397"/>
    <w:rsid w:val="00CA74C0"/>
    <w:rsid w:val="00CA7847"/>
    <w:rsid w:val="00CB7138"/>
    <w:rsid w:val="00CC0272"/>
    <w:rsid w:val="00CC7360"/>
    <w:rsid w:val="00CD03C3"/>
    <w:rsid w:val="00CD4CA1"/>
    <w:rsid w:val="00CE1079"/>
    <w:rsid w:val="00CE1B8B"/>
    <w:rsid w:val="00CE71AD"/>
    <w:rsid w:val="00CF104A"/>
    <w:rsid w:val="00CF11A0"/>
    <w:rsid w:val="00CF1CEF"/>
    <w:rsid w:val="00CF3C96"/>
    <w:rsid w:val="00CF7D01"/>
    <w:rsid w:val="00D0048C"/>
    <w:rsid w:val="00D033BC"/>
    <w:rsid w:val="00D0374F"/>
    <w:rsid w:val="00D0590D"/>
    <w:rsid w:val="00D1164E"/>
    <w:rsid w:val="00D120C5"/>
    <w:rsid w:val="00D1321C"/>
    <w:rsid w:val="00D13C82"/>
    <w:rsid w:val="00D14320"/>
    <w:rsid w:val="00D20C3A"/>
    <w:rsid w:val="00D304BC"/>
    <w:rsid w:val="00D31EB5"/>
    <w:rsid w:val="00D373EB"/>
    <w:rsid w:val="00D44041"/>
    <w:rsid w:val="00D4636A"/>
    <w:rsid w:val="00D474B0"/>
    <w:rsid w:val="00D519CB"/>
    <w:rsid w:val="00D55577"/>
    <w:rsid w:val="00D611BB"/>
    <w:rsid w:val="00D61ACF"/>
    <w:rsid w:val="00D62AC5"/>
    <w:rsid w:val="00D66535"/>
    <w:rsid w:val="00D706ED"/>
    <w:rsid w:val="00D74A93"/>
    <w:rsid w:val="00D83131"/>
    <w:rsid w:val="00D867EA"/>
    <w:rsid w:val="00D87548"/>
    <w:rsid w:val="00D958B0"/>
    <w:rsid w:val="00DA0E8F"/>
    <w:rsid w:val="00DA1B24"/>
    <w:rsid w:val="00DA6E88"/>
    <w:rsid w:val="00DB17AF"/>
    <w:rsid w:val="00DB342D"/>
    <w:rsid w:val="00DB50AC"/>
    <w:rsid w:val="00DB6B4B"/>
    <w:rsid w:val="00DC1FCD"/>
    <w:rsid w:val="00DC6F8E"/>
    <w:rsid w:val="00DD1424"/>
    <w:rsid w:val="00DD20C6"/>
    <w:rsid w:val="00DD2453"/>
    <w:rsid w:val="00DD2AE1"/>
    <w:rsid w:val="00DD33D0"/>
    <w:rsid w:val="00DD4279"/>
    <w:rsid w:val="00DE1ACF"/>
    <w:rsid w:val="00DE26C1"/>
    <w:rsid w:val="00DE4169"/>
    <w:rsid w:val="00DF0179"/>
    <w:rsid w:val="00E031FC"/>
    <w:rsid w:val="00E047F6"/>
    <w:rsid w:val="00E10D27"/>
    <w:rsid w:val="00E11598"/>
    <w:rsid w:val="00E13811"/>
    <w:rsid w:val="00E14C27"/>
    <w:rsid w:val="00E165CE"/>
    <w:rsid w:val="00E305A1"/>
    <w:rsid w:val="00E32BC0"/>
    <w:rsid w:val="00E33EAB"/>
    <w:rsid w:val="00E34EC7"/>
    <w:rsid w:val="00E37DB9"/>
    <w:rsid w:val="00E42E7A"/>
    <w:rsid w:val="00E435D3"/>
    <w:rsid w:val="00E46D0F"/>
    <w:rsid w:val="00E56375"/>
    <w:rsid w:val="00E62632"/>
    <w:rsid w:val="00E629A5"/>
    <w:rsid w:val="00E7457F"/>
    <w:rsid w:val="00E74C87"/>
    <w:rsid w:val="00E74E27"/>
    <w:rsid w:val="00E827D9"/>
    <w:rsid w:val="00E82AEC"/>
    <w:rsid w:val="00E86CB2"/>
    <w:rsid w:val="00E871F3"/>
    <w:rsid w:val="00E87BAB"/>
    <w:rsid w:val="00E9579C"/>
    <w:rsid w:val="00E97DF7"/>
    <w:rsid w:val="00EA0138"/>
    <w:rsid w:val="00EA78D4"/>
    <w:rsid w:val="00EB1508"/>
    <w:rsid w:val="00EB172E"/>
    <w:rsid w:val="00EB3500"/>
    <w:rsid w:val="00EB3BC3"/>
    <w:rsid w:val="00EB607B"/>
    <w:rsid w:val="00EB62E7"/>
    <w:rsid w:val="00EC43D6"/>
    <w:rsid w:val="00ED1E54"/>
    <w:rsid w:val="00ED2590"/>
    <w:rsid w:val="00ED3E21"/>
    <w:rsid w:val="00ED725A"/>
    <w:rsid w:val="00EE1988"/>
    <w:rsid w:val="00EE2B8F"/>
    <w:rsid w:val="00EE6032"/>
    <w:rsid w:val="00EE6227"/>
    <w:rsid w:val="00EF03F0"/>
    <w:rsid w:val="00EF04AF"/>
    <w:rsid w:val="00EF109B"/>
    <w:rsid w:val="00EF5B3F"/>
    <w:rsid w:val="00F02537"/>
    <w:rsid w:val="00F07180"/>
    <w:rsid w:val="00F077F3"/>
    <w:rsid w:val="00F10EF7"/>
    <w:rsid w:val="00F111AC"/>
    <w:rsid w:val="00F12184"/>
    <w:rsid w:val="00F14824"/>
    <w:rsid w:val="00F14C67"/>
    <w:rsid w:val="00F14FBB"/>
    <w:rsid w:val="00F158D7"/>
    <w:rsid w:val="00F170C9"/>
    <w:rsid w:val="00F17A24"/>
    <w:rsid w:val="00F22CF7"/>
    <w:rsid w:val="00F2565A"/>
    <w:rsid w:val="00F25785"/>
    <w:rsid w:val="00F2743A"/>
    <w:rsid w:val="00F3212E"/>
    <w:rsid w:val="00F37DA9"/>
    <w:rsid w:val="00F40E8A"/>
    <w:rsid w:val="00F449D6"/>
    <w:rsid w:val="00F52F72"/>
    <w:rsid w:val="00F53AA6"/>
    <w:rsid w:val="00F63159"/>
    <w:rsid w:val="00F639CE"/>
    <w:rsid w:val="00F7182E"/>
    <w:rsid w:val="00F77EC1"/>
    <w:rsid w:val="00F81275"/>
    <w:rsid w:val="00F845E4"/>
    <w:rsid w:val="00F913FE"/>
    <w:rsid w:val="00F95A16"/>
    <w:rsid w:val="00FA1109"/>
    <w:rsid w:val="00FA3C0B"/>
    <w:rsid w:val="00FB0ECE"/>
    <w:rsid w:val="00FB6392"/>
    <w:rsid w:val="00FC2899"/>
    <w:rsid w:val="00FC4AF2"/>
    <w:rsid w:val="00FC5E9C"/>
    <w:rsid w:val="00FD09E3"/>
    <w:rsid w:val="00FD4646"/>
    <w:rsid w:val="00FD4974"/>
    <w:rsid w:val="00FD643D"/>
    <w:rsid w:val="00FD7784"/>
    <w:rsid w:val="00FE04FE"/>
    <w:rsid w:val="00FE18D3"/>
    <w:rsid w:val="00FE53BF"/>
    <w:rsid w:val="00FF2096"/>
    <w:rsid w:val="00FF25C5"/>
    <w:rsid w:val="00FF2FA8"/>
    <w:rsid w:val="00FF3A47"/>
    <w:rsid w:val="00FF5F44"/>
    <w:rsid w:val="00FF67A7"/>
    <w:rsid w:val="1B8DE2A6"/>
    <w:rsid w:val="254F5042"/>
    <w:rsid w:val="37146E0D"/>
    <w:rsid w:val="39ED148D"/>
    <w:rsid w:val="425E5ED3"/>
    <w:rsid w:val="57DD7EBE"/>
    <w:rsid w:val="612F0A31"/>
    <w:rsid w:val="66A927C6"/>
    <w:rsid w:val="6FFECA28"/>
    <w:rsid w:val="79CFC4D0"/>
    <w:rsid w:val="7CC80845"/>
    <w:rsid w:val="7CFD3176"/>
    <w:rsid w:val="7FF92BEE"/>
    <w:rsid w:val="8FEB891C"/>
    <w:rsid w:val="93FD0664"/>
    <w:rsid w:val="9DEFFA40"/>
    <w:rsid w:val="ADFF10E3"/>
    <w:rsid w:val="AFE7FB92"/>
    <w:rsid w:val="D47F432B"/>
    <w:rsid w:val="D7FE07DB"/>
    <w:rsid w:val="F46B83EB"/>
    <w:rsid w:val="F7FD22F7"/>
    <w:rsid w:val="FDB7F2D5"/>
    <w:rsid w:val="FEE9996F"/>
    <w:rsid w:val="FF9E0AE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semiHidden="0" w:name="annotation text"/>
    <w:lsdException w:qFormat="1" w:unhideWhenUsed="0" w:uiPriority="99" w:name="header"/>
    <w:lsdException w:qFormat="1" w:unhideWhenUsed="0"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cs="Times New Roman" w:eastAsiaTheme="minorEastAsia"/>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macro"/>
    <w:link w:val="15"/>
    <w:semiHidden/>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Times New Roman" w:eastAsiaTheme="minorEastAsia"/>
      <w:kern w:val="2"/>
      <w:lang w:val="en-US" w:eastAsia="zh-CN" w:bidi="ar-SA"/>
    </w:rPr>
  </w:style>
  <w:style w:type="paragraph" w:styleId="3">
    <w:name w:val="annotation text"/>
    <w:basedOn w:val="1"/>
    <w:link w:val="21"/>
    <w:unhideWhenUsed/>
    <w:qFormat/>
    <w:uiPriority w:val="99"/>
    <w:pPr>
      <w:jc w:val="left"/>
    </w:pPr>
  </w:style>
  <w:style w:type="paragraph" w:styleId="4">
    <w:name w:val="Balloon Text"/>
    <w:basedOn w:val="1"/>
    <w:link w:val="23"/>
    <w:semiHidden/>
    <w:unhideWhenUsed/>
    <w:qFormat/>
    <w:uiPriority w:val="99"/>
    <w:rPr>
      <w:rFonts w:ascii="Segoe UI" w:hAnsi="Segoe UI" w:cs="Segoe UI"/>
      <w:sz w:val="18"/>
      <w:szCs w:val="18"/>
    </w:rPr>
  </w:style>
  <w:style w:type="paragraph" w:styleId="5">
    <w:name w:val="footer"/>
    <w:basedOn w:val="1"/>
    <w:link w:val="18"/>
    <w:semiHidden/>
    <w:qFormat/>
    <w:uiPriority w:val="99"/>
    <w:pPr>
      <w:tabs>
        <w:tab w:val="center" w:pos="4153"/>
        <w:tab w:val="right" w:pos="8306"/>
      </w:tabs>
      <w:snapToGrid w:val="0"/>
      <w:jc w:val="left"/>
    </w:pPr>
    <w:rPr>
      <w:sz w:val="18"/>
      <w:szCs w:val="18"/>
    </w:rPr>
  </w:style>
  <w:style w:type="paragraph" w:styleId="6">
    <w:name w:val="header"/>
    <w:basedOn w:val="1"/>
    <w:link w:val="16"/>
    <w:semiHidden/>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link w:val="31"/>
    <w:semiHidden/>
    <w:unhideWhenUsed/>
    <w:qFormat/>
    <w:uiPriority w:val="99"/>
    <w:pPr>
      <w:snapToGrid w:val="0"/>
      <w:jc w:val="left"/>
    </w:pPr>
    <w:rPr>
      <w:rFonts w:eastAsia="宋体"/>
      <w:sz w:val="18"/>
      <w:szCs w:val="18"/>
    </w:rPr>
  </w:style>
  <w:style w:type="paragraph" w:styleId="8">
    <w:name w:val="annotation subject"/>
    <w:basedOn w:val="3"/>
    <w:next w:val="3"/>
    <w:link w:val="22"/>
    <w:semiHidden/>
    <w:unhideWhenUsed/>
    <w:qFormat/>
    <w:uiPriority w:val="99"/>
    <w:rPr>
      <w:b/>
      <w:bCs/>
    </w:rPr>
  </w:style>
  <w:style w:type="table" w:styleId="10">
    <w:name w:val="Table Grid"/>
    <w:basedOn w:val="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unhideWhenUsed/>
    <w:qFormat/>
    <w:uiPriority w:val="0"/>
    <w:rPr>
      <w:color w:val="0563C1" w:themeColor="hyperlink"/>
      <w:u w:val="single"/>
      <w14:textFill>
        <w14:solidFill>
          <w14:schemeClr w14:val="hlink"/>
        </w14:solidFill>
      </w14:textFill>
    </w:rPr>
  </w:style>
  <w:style w:type="character" w:styleId="13">
    <w:name w:val="annotation reference"/>
    <w:basedOn w:val="11"/>
    <w:semiHidden/>
    <w:unhideWhenUsed/>
    <w:qFormat/>
    <w:uiPriority w:val="0"/>
    <w:rPr>
      <w:sz w:val="21"/>
      <w:szCs w:val="21"/>
    </w:rPr>
  </w:style>
  <w:style w:type="character" w:styleId="14">
    <w:name w:val="footnote reference"/>
    <w:basedOn w:val="11"/>
    <w:unhideWhenUsed/>
    <w:qFormat/>
    <w:uiPriority w:val="99"/>
    <w:rPr>
      <w:vertAlign w:val="superscript"/>
    </w:rPr>
  </w:style>
  <w:style w:type="character" w:customStyle="1" w:styleId="15">
    <w:name w:val="宏文本 字符"/>
    <w:basedOn w:val="11"/>
    <w:link w:val="2"/>
    <w:semiHidden/>
    <w:qFormat/>
    <w:uiPriority w:val="99"/>
    <w:rPr>
      <w:rFonts w:ascii="Consolas" w:hAnsi="Consolas" w:cs="Times New Roman"/>
      <w:sz w:val="20"/>
      <w:szCs w:val="20"/>
    </w:rPr>
  </w:style>
  <w:style w:type="character" w:customStyle="1" w:styleId="16">
    <w:name w:val="页眉 字符"/>
    <w:basedOn w:val="11"/>
    <w:link w:val="6"/>
    <w:semiHidden/>
    <w:qFormat/>
    <w:uiPriority w:val="99"/>
    <w:rPr>
      <w:rFonts w:ascii="Times New Roman" w:hAnsi="Times New Roman" w:cs="Times New Roman"/>
      <w:sz w:val="18"/>
      <w:szCs w:val="18"/>
    </w:rPr>
  </w:style>
  <w:style w:type="paragraph" w:customStyle="1" w:styleId="17">
    <w:name w:val="DocId"/>
    <w:basedOn w:val="5"/>
    <w:qFormat/>
    <w:uiPriority w:val="0"/>
    <w:pPr>
      <w:widowControl/>
      <w:tabs>
        <w:tab w:val="center" w:pos="4680"/>
        <w:tab w:val="right" w:pos="9360"/>
        <w:tab w:val="clear" w:pos="4153"/>
        <w:tab w:val="clear" w:pos="8306"/>
      </w:tabs>
      <w:snapToGrid/>
    </w:pPr>
    <w:rPr>
      <w:rFonts w:cstheme="minorBidi"/>
      <w:kern w:val="0"/>
      <w:sz w:val="16"/>
      <w:szCs w:val="16"/>
      <w:lang w:eastAsia="en-US"/>
    </w:rPr>
  </w:style>
  <w:style w:type="character" w:customStyle="1" w:styleId="18">
    <w:name w:val="页脚 字符"/>
    <w:basedOn w:val="11"/>
    <w:link w:val="5"/>
    <w:semiHidden/>
    <w:qFormat/>
    <w:uiPriority w:val="99"/>
    <w:rPr>
      <w:rFonts w:ascii="Times New Roman" w:hAnsi="Times New Roman" w:cs="Times New Roman"/>
      <w:sz w:val="18"/>
      <w:szCs w:val="18"/>
    </w:rPr>
  </w:style>
  <w:style w:type="paragraph" w:styleId="19">
    <w:name w:val="List Paragraph"/>
    <w:basedOn w:val="1"/>
    <w:qFormat/>
    <w:uiPriority w:val="34"/>
    <w:pPr>
      <w:ind w:firstLine="420" w:firstLineChars="200"/>
    </w:pPr>
  </w:style>
  <w:style w:type="paragraph" w:customStyle="1" w:styleId="20">
    <w:name w:val="Revision1"/>
    <w:hidden/>
    <w:semiHidden/>
    <w:qFormat/>
    <w:uiPriority w:val="99"/>
    <w:rPr>
      <w:rFonts w:ascii="Times New Roman" w:hAnsi="Times New Roman" w:cs="Times New Roman" w:eastAsiaTheme="minorEastAsia"/>
      <w:kern w:val="2"/>
      <w:sz w:val="21"/>
      <w:szCs w:val="22"/>
      <w:lang w:val="en-US" w:eastAsia="zh-CN" w:bidi="ar-SA"/>
    </w:rPr>
  </w:style>
  <w:style w:type="character" w:customStyle="1" w:styleId="21">
    <w:name w:val="批注文字 字符"/>
    <w:basedOn w:val="11"/>
    <w:link w:val="3"/>
    <w:qFormat/>
    <w:uiPriority w:val="99"/>
    <w:rPr>
      <w:rFonts w:ascii="Times New Roman" w:hAnsi="Times New Roman" w:cs="Times New Roman"/>
      <w:szCs w:val="22"/>
    </w:rPr>
  </w:style>
  <w:style w:type="character" w:customStyle="1" w:styleId="22">
    <w:name w:val="批注主题 字符"/>
    <w:basedOn w:val="21"/>
    <w:link w:val="8"/>
    <w:semiHidden/>
    <w:qFormat/>
    <w:uiPriority w:val="99"/>
    <w:rPr>
      <w:rFonts w:ascii="Times New Roman" w:hAnsi="Times New Roman" w:cs="Times New Roman"/>
      <w:b/>
      <w:bCs/>
      <w:szCs w:val="22"/>
    </w:rPr>
  </w:style>
  <w:style w:type="character" w:customStyle="1" w:styleId="23">
    <w:name w:val="批注框文本 字符"/>
    <w:basedOn w:val="11"/>
    <w:link w:val="4"/>
    <w:semiHidden/>
    <w:qFormat/>
    <w:uiPriority w:val="99"/>
    <w:rPr>
      <w:rFonts w:ascii="Segoe UI" w:hAnsi="Segoe UI" w:cs="Segoe UI"/>
      <w:sz w:val="18"/>
      <w:szCs w:val="18"/>
    </w:rPr>
  </w:style>
  <w:style w:type="paragraph" w:customStyle="1" w:styleId="24">
    <w:name w:val="MacPacTrailer"/>
    <w:qFormat/>
    <w:uiPriority w:val="0"/>
    <w:pPr>
      <w:widowControl w:val="0"/>
      <w:spacing w:line="170" w:lineRule="exact"/>
    </w:pPr>
    <w:rPr>
      <w:rFonts w:ascii="Times New Roman" w:hAnsi="Times New Roman" w:cs="Times New Roman" w:eastAsiaTheme="minorEastAsia"/>
      <w:kern w:val="2"/>
      <w:sz w:val="14"/>
      <w:szCs w:val="22"/>
      <w:lang w:val="en-GB" w:eastAsia="en-GB" w:bidi="ar-SA"/>
    </w:rPr>
  </w:style>
  <w:style w:type="paragraph" w:customStyle="1" w:styleId="25">
    <w:name w:val="Revision2"/>
    <w:hidden/>
    <w:unhideWhenUsed/>
    <w:qFormat/>
    <w:uiPriority w:val="99"/>
    <w:rPr>
      <w:rFonts w:ascii="Times New Roman" w:hAnsi="Times New Roman" w:cs="Times New Roman" w:eastAsiaTheme="minorEastAsia"/>
      <w:kern w:val="2"/>
      <w:sz w:val="21"/>
      <w:szCs w:val="22"/>
      <w:lang w:val="en-US" w:eastAsia="zh-CN" w:bidi="ar-SA"/>
    </w:rPr>
  </w:style>
  <w:style w:type="paragraph" w:customStyle="1" w:styleId="26">
    <w:name w:val="修订1"/>
    <w:hidden/>
    <w:unhideWhenUsed/>
    <w:qFormat/>
    <w:uiPriority w:val="99"/>
    <w:rPr>
      <w:rFonts w:ascii="Times New Roman" w:hAnsi="Times New Roman" w:cs="Times New Roman" w:eastAsiaTheme="minorEastAsia"/>
      <w:kern w:val="2"/>
      <w:sz w:val="21"/>
      <w:szCs w:val="22"/>
      <w:lang w:val="en-US" w:eastAsia="zh-CN" w:bidi="ar-SA"/>
    </w:rPr>
  </w:style>
  <w:style w:type="paragraph" w:customStyle="1" w:styleId="27">
    <w:name w:val="Footer_1"/>
    <w:semiHidden/>
    <w:qFormat/>
    <w:uiPriority w:val="99"/>
    <w:pPr>
      <w:widowControl w:val="0"/>
      <w:tabs>
        <w:tab w:val="center" w:pos="4153"/>
        <w:tab w:val="right" w:pos="8306"/>
      </w:tabs>
      <w:snapToGrid w:val="0"/>
    </w:pPr>
    <w:rPr>
      <w:rFonts w:ascii="Times New Roman" w:hAnsi="Times New Roman" w:cs="Times New Roman" w:eastAsiaTheme="minorEastAsia"/>
      <w:kern w:val="2"/>
      <w:sz w:val="18"/>
      <w:szCs w:val="18"/>
      <w:lang w:val="en-GB" w:eastAsia="en-GB" w:bidi="ar-SA"/>
    </w:rPr>
  </w:style>
  <w:style w:type="paragraph" w:customStyle="1" w:styleId="28">
    <w:name w:val="Revision3"/>
    <w:hidden/>
    <w:unhideWhenUsed/>
    <w:qFormat/>
    <w:uiPriority w:val="99"/>
    <w:rPr>
      <w:rFonts w:ascii="Times New Roman" w:hAnsi="Times New Roman" w:cs="Times New Roman" w:eastAsiaTheme="minorEastAsia"/>
      <w:kern w:val="2"/>
      <w:sz w:val="21"/>
      <w:szCs w:val="22"/>
      <w:lang w:val="en-US" w:eastAsia="zh-CN" w:bidi="ar-SA"/>
    </w:rPr>
  </w:style>
  <w:style w:type="paragraph" w:customStyle="1" w:styleId="29">
    <w:name w:val="修订2"/>
    <w:hidden/>
    <w:semiHidden/>
    <w:qFormat/>
    <w:uiPriority w:val="99"/>
    <w:rPr>
      <w:rFonts w:ascii="Times New Roman" w:hAnsi="Times New Roman" w:cs="Times New Roman" w:eastAsiaTheme="minorEastAsia"/>
      <w:kern w:val="2"/>
      <w:sz w:val="21"/>
      <w:szCs w:val="22"/>
      <w:lang w:val="en-US" w:eastAsia="zh-CN" w:bidi="ar-SA"/>
    </w:rPr>
  </w:style>
  <w:style w:type="character" w:customStyle="1" w:styleId="30">
    <w:name w:val="未处理的提及1"/>
    <w:basedOn w:val="11"/>
    <w:semiHidden/>
    <w:unhideWhenUsed/>
    <w:qFormat/>
    <w:uiPriority w:val="99"/>
    <w:rPr>
      <w:color w:val="605E5C"/>
      <w:shd w:val="clear" w:color="auto" w:fill="E1DFDD"/>
    </w:rPr>
  </w:style>
  <w:style w:type="character" w:customStyle="1" w:styleId="31">
    <w:name w:val="脚注文本 字符"/>
    <w:basedOn w:val="11"/>
    <w:link w:val="7"/>
    <w:semiHidden/>
    <w:qFormat/>
    <w:uiPriority w:val="99"/>
    <w:rPr>
      <w:rFonts w:ascii="Times New Roman" w:hAnsi="Times New Roman" w:eastAsia="宋体" w:cs="Times New Roman"/>
      <w:kern w:val="2"/>
      <w:sz w:val="18"/>
      <w:szCs w:val="18"/>
      <w:lang w:val="en-US"/>
    </w:rPr>
  </w:style>
  <w:style w:type="character" w:customStyle="1" w:styleId="32">
    <w:name w:val="未处理的提及2"/>
    <w:basedOn w:val="11"/>
    <w:semiHidden/>
    <w:unhideWhenUsed/>
    <w:qFormat/>
    <w:uiPriority w:val="99"/>
    <w:rPr>
      <w:color w:val="605E5C"/>
      <w:shd w:val="clear" w:color="auto" w:fill="E1DFDD"/>
    </w:rPr>
  </w:style>
  <w:style w:type="paragraph" w:customStyle="1" w:styleId="33">
    <w:name w:val="修订3"/>
    <w:hidden/>
    <w:unhideWhenUsed/>
    <w:qFormat/>
    <w:uiPriority w:val="99"/>
    <w:rPr>
      <w:rFonts w:ascii="Times New Roman" w:hAnsi="Times New Roman" w:cs="Times New Roman" w:eastAsiaTheme="minorEastAsia"/>
      <w:kern w:val="2"/>
      <w:sz w:val="21"/>
      <w:szCs w:val="22"/>
      <w:lang w:val="en-US" w:eastAsia="zh-CN" w:bidi="ar-SA"/>
    </w:rPr>
  </w:style>
  <w:style w:type="paragraph" w:customStyle="1" w:styleId="34">
    <w:name w:val="修订4"/>
    <w:hidden/>
    <w:unhideWhenUsed/>
    <w:qFormat/>
    <w:uiPriority w:val="99"/>
    <w:rPr>
      <w:rFonts w:ascii="Times New Roman" w:hAnsi="Times New Roman" w:cs="Times New Roman" w:eastAsiaTheme="minorEastAsia"/>
      <w:kern w:val="2"/>
      <w:sz w:val="21"/>
      <w:szCs w:val="22"/>
      <w:lang w:val="en-US" w:eastAsia="zh-CN" w:bidi="ar-SA"/>
    </w:rPr>
  </w:style>
  <w:style w:type="paragraph" w:customStyle="1" w:styleId="35">
    <w:name w:val="修订5"/>
    <w:hidden/>
    <w:unhideWhenUsed/>
    <w:qFormat/>
    <w:uiPriority w:val="99"/>
    <w:rPr>
      <w:rFonts w:ascii="Times New Roman" w:hAnsi="Times New Roman" w:cs="Times New Roman" w:eastAsiaTheme="minorEastAsia"/>
      <w:kern w:val="2"/>
      <w:sz w:val="21"/>
      <w:szCs w:val="22"/>
      <w:lang w:val="en-US" w:eastAsia="zh-CN" w:bidi="ar-SA"/>
    </w:rPr>
  </w:style>
  <w:style w:type="paragraph" w:customStyle="1" w:styleId="36">
    <w:name w:val="Revision"/>
    <w:hidden/>
    <w:unhideWhenUsed/>
    <w:qFormat/>
    <w:uiPriority w:val="99"/>
    <w:rPr>
      <w:rFonts w:ascii="Times New Roman" w:hAnsi="Times New Roman" w:cs="Times New Roman" w:eastAsiaTheme="minorEastAsia"/>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161</Words>
  <Characters>919</Characters>
  <Lines>7</Lines>
  <Paragraphs>2</Paragraphs>
  <TotalTime>1</TotalTime>
  <ScaleCrop>false</ScaleCrop>
  <LinksUpToDate>false</LinksUpToDate>
  <CharactersWithSpaces>1078</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2026-07-31T16:53:00Z</dcterms:created>
  <dc:creator>Data</dc:creator>
  <cp:lastModifiedBy>guest</cp:lastModifiedBy>
  <dcterms:modified xsi:type="dcterms:W3CDTF">2026-08-03T12:02:01Z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
    <vt:lpwstr>{REF:0574620116}</vt:lpwstr>
  </property>
  <property fmtid="{D5CDD505-2E9C-101B-9397-08002B2CF9AE}" pid="3" name="REF0">
    <vt:lpwstr>{REF0:0}</vt:lpwstr>
  </property>
  <property fmtid="{D5CDD505-2E9C-101B-9397-08002B2CF9AE}" pid="4" name="REF1">
    <vt:lpwstr>{REF1:057462}</vt:lpwstr>
  </property>
  <property fmtid="{D5CDD505-2E9C-101B-9397-08002B2CF9AE}" pid="5" name="KSOProductBuildVer">
    <vt:lpwstr>2052-12.8.2.1119</vt:lpwstr>
  </property>
  <property fmtid="{D5CDD505-2E9C-101B-9397-08002B2CF9AE}" pid="6" name="ICV">
    <vt:lpwstr>BB74381418794914B8BF9E3334F24AC6_13</vt:lpwstr>
  </property>
  <property fmtid="{D5CDD505-2E9C-101B-9397-08002B2CF9AE}" pid="7" name="KSOTemplateDocerSaveRecord">
    <vt:lpwstr>eyJoZGlkIjoiMTZjZGRiYjkxMjhiZjkwYmI3NzIzNzkzM2ZmOWU5MzgiLCJ1c2VySWQiOiIxNjYyODg2ODczIn0=</vt:lpwstr>
  </property>
</Properties>
</file>