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65383">
      <w:pPr>
        <w:jc w:val="center"/>
        <w:rPr>
          <w:rFonts w:ascii="黑体" w:hAnsi="黑体" w:eastAsia="黑体" w:cs="Arial"/>
          <w:bCs/>
          <w:sz w:val="36"/>
          <w:szCs w:val="36"/>
        </w:rPr>
      </w:pPr>
      <w:r>
        <w:rPr>
          <w:rFonts w:ascii="黑体" w:hAnsi="黑体" w:eastAsia="黑体" w:cs="Arial"/>
          <w:bCs/>
          <w:sz w:val="36"/>
          <w:szCs w:val="36"/>
        </w:rPr>
        <w:t>经营者集中简易案件公示表</w:t>
      </w:r>
    </w:p>
    <w:p w14:paraId="159F7373">
      <w:pPr>
        <w:jc w:val="center"/>
        <w:rPr>
          <w:rFonts w:ascii="Arial" w:hAnsi="Arial" w:eastAsia="仿宋_GB2312" w:cs="Arial"/>
          <w:bCs/>
          <w:szCs w:val="21"/>
        </w:rPr>
      </w:pPr>
    </w:p>
    <w:tbl>
      <w:tblPr>
        <w:tblStyle w:val="10"/>
        <w:tblW w:w="5637" w:type="pct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127"/>
        <w:gridCol w:w="5525"/>
      </w:tblGrid>
      <w:tr w14:paraId="1CDCE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909" w:type="pct"/>
            <w:shd w:val="clear" w:color="auto" w:fill="D8D8D8" w:themeFill="background1" w:themeFillShade="D9"/>
          </w:tcPr>
          <w:p w14:paraId="11EAA954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案件名称</w:t>
            </w:r>
          </w:p>
        </w:tc>
        <w:tc>
          <w:tcPr>
            <w:tcW w:w="4090" w:type="pct"/>
            <w:gridSpan w:val="2"/>
          </w:tcPr>
          <w:p w14:paraId="726EB9DA">
            <w:p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中广核铀业发展有限公司与</w:t>
            </w:r>
            <w:r>
              <w:rPr>
                <w:rFonts w:hint="default" w:ascii="Arial" w:hAnsi="Arial" w:eastAsia="宋体" w:cs="Arial"/>
                <w:bCs/>
                <w:kern w:val="0"/>
                <w:sz w:val="24"/>
                <w:szCs w:val="24"/>
              </w:rPr>
              <w:t>中陕核工业集团二二四大队有限公司</w:t>
            </w: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新设合营企业案</w:t>
            </w:r>
          </w:p>
        </w:tc>
      </w:tr>
      <w:tr w14:paraId="0A32B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909" w:type="pct"/>
            <w:shd w:val="clear" w:color="auto" w:fill="D8D8D8" w:themeFill="background1" w:themeFillShade="D9"/>
          </w:tcPr>
          <w:p w14:paraId="61517286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交易概况（限200字内）</w:t>
            </w:r>
          </w:p>
        </w:tc>
        <w:tc>
          <w:tcPr>
            <w:tcW w:w="4090" w:type="pct"/>
            <w:gridSpan w:val="2"/>
          </w:tcPr>
          <w:p w14:paraId="4C700F68">
            <w:pPr>
              <w:jc w:val="left"/>
              <w:rPr>
                <w:rFonts w:hint="default" w:ascii="Arial" w:hAnsi="Arial" w:eastAsia="宋体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中广核铀业发展有限公司（</w:t>
            </w:r>
            <w:r>
              <w:rPr>
                <w:rFonts w:hint="eastAsia" w:ascii="Arial" w:hAnsi="Arial" w:cs="Arial"/>
                <w:kern w:val="0"/>
                <w:sz w:val="24"/>
                <w:szCs w:val="24"/>
                <w:lang w:eastAsia="zh-CN"/>
              </w:rPr>
              <w:t>“</w:t>
            </w:r>
            <w:r>
              <w:rPr>
                <w:rFonts w:hint="default" w:ascii="Arial" w:hAnsi="Arial" w:eastAsia="宋体" w:cs="Arial"/>
                <w:b/>
                <w:bCs/>
                <w:kern w:val="0"/>
                <w:sz w:val="24"/>
                <w:szCs w:val="24"/>
              </w:rPr>
              <w:t>中广核铀业</w:t>
            </w:r>
            <w:r>
              <w:rPr>
                <w:rFonts w:hint="eastAsia" w:ascii="Arial" w:hAnsi="Arial" w:cs="Arial"/>
                <w:kern w:val="0"/>
                <w:sz w:val="24"/>
                <w:szCs w:val="24"/>
                <w:lang w:eastAsia="zh-CN"/>
              </w:rPr>
              <w:t>”</w:t>
            </w: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）与</w:t>
            </w:r>
            <w:r>
              <w:rPr>
                <w:rFonts w:hint="default" w:ascii="Arial" w:hAnsi="Arial" w:eastAsia="宋体" w:cs="Arial"/>
                <w:kern w:val="0"/>
                <w:sz w:val="24"/>
              </w:rPr>
              <w:t>中陕核工业集团二二四大队有限公司（</w:t>
            </w:r>
            <w:r>
              <w:rPr>
                <w:rFonts w:hint="eastAsia" w:ascii="Arial" w:hAnsi="Arial" w:cs="Arial"/>
                <w:kern w:val="0"/>
                <w:sz w:val="24"/>
                <w:lang w:eastAsia="zh-CN"/>
              </w:rPr>
              <w:t>“</w:t>
            </w:r>
            <w:r>
              <w:rPr>
                <w:rFonts w:hint="default" w:ascii="Arial" w:hAnsi="Arial" w:eastAsia="宋体" w:cs="Arial"/>
                <w:b/>
                <w:bCs/>
                <w:kern w:val="0"/>
                <w:sz w:val="24"/>
              </w:rPr>
              <w:t>二二四大队</w:t>
            </w:r>
            <w:r>
              <w:rPr>
                <w:rFonts w:hint="eastAsia" w:ascii="Arial" w:hAnsi="Arial" w:cs="Arial"/>
                <w:kern w:val="0"/>
                <w:sz w:val="24"/>
                <w:lang w:eastAsia="zh-CN"/>
              </w:rPr>
              <w:t>”</w:t>
            </w:r>
            <w:r>
              <w:rPr>
                <w:rFonts w:hint="default" w:ascii="Arial" w:hAnsi="Arial" w:eastAsia="宋体" w:cs="Arial"/>
                <w:kern w:val="0"/>
                <w:sz w:val="24"/>
              </w:rPr>
              <w:t>）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签署协议，拟共同新设一家合营企业（</w:t>
            </w:r>
            <w:r>
              <w:rPr>
                <w:rFonts w:hint="eastAsia" w:ascii="Arial" w:hAnsi="Arial" w:cs="Arial"/>
                <w:sz w:val="24"/>
                <w:szCs w:val="24"/>
                <w:lang w:eastAsia="zh-CN"/>
              </w:rPr>
              <w:t>“</w:t>
            </w: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本次交易</w:t>
            </w:r>
            <w:r>
              <w:rPr>
                <w:rFonts w:hint="eastAsia" w:ascii="Arial" w:hAnsi="Arial" w:cs="Arial"/>
                <w:sz w:val="24"/>
                <w:szCs w:val="24"/>
                <w:lang w:eastAsia="zh-CN"/>
              </w:rPr>
              <w:t>”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），合营企业主要从事铀矿的勘查、开采以及铀精矿生产和销售业务。本次交易后，中广核铀业与二二四大队分别持有合营企业51%和49%的股权，中广核铀业与二二四大队共同控制合营企业。</w:t>
            </w:r>
          </w:p>
        </w:tc>
      </w:tr>
      <w:tr w14:paraId="16102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9" w:type="pct"/>
            <w:vMerge w:val="restart"/>
            <w:shd w:val="clear" w:color="auto" w:fill="D8D8D8" w:themeFill="background1" w:themeFillShade="D9"/>
          </w:tcPr>
          <w:p w14:paraId="44DB373E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参与集中的经营者简介（每个限100字以内）</w:t>
            </w:r>
          </w:p>
        </w:tc>
        <w:tc>
          <w:tcPr>
            <w:tcW w:w="1137" w:type="pct"/>
          </w:tcPr>
          <w:p w14:paraId="672255A5">
            <w:pPr>
              <w:numPr>
                <w:ilvl w:val="0"/>
                <w:numId w:val="1"/>
              </w:num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中广核铀业</w:t>
            </w:r>
          </w:p>
        </w:tc>
        <w:tc>
          <w:tcPr>
            <w:tcW w:w="2953" w:type="pct"/>
          </w:tcPr>
          <w:p w14:paraId="536C346F">
            <w:pPr>
              <w:jc w:val="left"/>
              <w:rPr>
                <w:rFonts w:hint="default" w:ascii="Arial" w:hAnsi="Arial" w:eastAsia="宋体" w:cs="Arial"/>
                <w:bCs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中广核铀业于2006年8月15日成立于北京市，</w:t>
            </w:r>
            <w:r>
              <w:rPr>
                <w:rFonts w:hint="default" w:ascii="Arial" w:hAnsi="Arial" w:eastAsia="宋体" w:cs="Arial"/>
                <w:bCs/>
                <w:sz w:val="24"/>
              </w:rPr>
              <w:t>主要从事铀矿开发、铀精矿生产和销售业务。</w:t>
            </w:r>
          </w:p>
          <w:p w14:paraId="3CC7F352">
            <w:pPr>
              <w:jc w:val="left"/>
              <w:rPr>
                <w:rFonts w:hint="default" w:ascii="Arial" w:hAnsi="Arial" w:eastAsia="宋体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中广核铀业的最终控制人为</w:t>
            </w:r>
            <w:r>
              <w:rPr>
                <w:rFonts w:hint="default" w:ascii="Arial" w:hAnsi="Arial" w:eastAsia="宋体" w:cs="Arial"/>
                <w:sz w:val="24"/>
              </w:rPr>
              <w:t>中国广核集团有限公司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，其</w:t>
            </w:r>
            <w:r>
              <w:rPr>
                <w:rFonts w:hint="default" w:ascii="Arial" w:hAnsi="Arial" w:eastAsia="宋体" w:cs="Arial"/>
                <w:sz w:val="24"/>
              </w:rPr>
              <w:t>主要业务覆盖核能、核燃料、新能源、非动力核技术、数字化、科技型环保、产业金融等领域。</w:t>
            </w:r>
          </w:p>
        </w:tc>
      </w:tr>
      <w:tr w14:paraId="21667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6" w:hRule="atLeast"/>
        </w:trPr>
        <w:tc>
          <w:tcPr>
            <w:tcW w:w="909" w:type="pct"/>
            <w:vMerge w:val="continue"/>
            <w:shd w:val="clear" w:color="auto" w:fill="D8D8D8" w:themeFill="background1" w:themeFillShade="D9"/>
          </w:tcPr>
          <w:p w14:paraId="56282CD1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</w:p>
        </w:tc>
        <w:tc>
          <w:tcPr>
            <w:tcW w:w="1137" w:type="pct"/>
          </w:tcPr>
          <w:p w14:paraId="33C79B7C">
            <w:pPr>
              <w:numPr>
                <w:ilvl w:val="0"/>
                <w:numId w:val="1"/>
              </w:num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二二四大队</w:t>
            </w:r>
          </w:p>
        </w:tc>
        <w:tc>
          <w:tcPr>
            <w:tcW w:w="2953" w:type="pct"/>
          </w:tcPr>
          <w:p w14:paraId="361683F8">
            <w:pPr>
              <w:jc w:val="left"/>
              <w:rPr>
                <w:rFonts w:hint="default" w:ascii="Arial" w:hAnsi="Arial" w:eastAsia="宋体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kern w:val="0"/>
                <w:sz w:val="24"/>
                <w:szCs w:val="24"/>
              </w:rPr>
              <w:t>二二四大队于2014年5月19日成立于陕西省西安市，主要从事铀矿勘查业务。</w:t>
            </w:r>
          </w:p>
          <w:p w14:paraId="2577CE24">
            <w:pPr>
              <w:jc w:val="left"/>
              <w:rPr>
                <w:rFonts w:hint="default" w:ascii="Arial" w:hAnsi="Arial" w:eastAsia="宋体" w:cs="Arial"/>
                <w:bCs/>
                <w:sz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t>二二四大队的最终控制人为</w:t>
            </w:r>
            <w:r>
              <w:rPr>
                <w:rFonts w:hint="default" w:ascii="Arial" w:hAnsi="Arial" w:eastAsia="宋体" w:cs="Arial"/>
                <w:bCs/>
                <w:kern w:val="0"/>
                <w:sz w:val="24"/>
                <w:szCs w:val="24"/>
              </w:rPr>
              <w:t>中陕核工业集团有限公司</w:t>
            </w:r>
            <w:r>
              <w:rPr>
                <w:rFonts w:hint="default" w:ascii="Arial" w:hAnsi="Arial" w:eastAsia="宋体" w:cs="Arial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，其</w:t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主要业务包括</w:t>
            </w:r>
            <w:r>
              <w:rPr>
                <w:rFonts w:hint="default" w:ascii="Arial" w:hAnsi="Arial" w:eastAsia="宋体" w:cs="Arial"/>
                <w:kern w:val="0"/>
                <w:sz w:val="24"/>
              </w:rPr>
              <w:t>地质矿业、核技术应用、医疗健康、生物医药、节能环保与工程建设、供应链金融等</w:t>
            </w:r>
            <w:r>
              <w:rPr>
                <w:rFonts w:hint="default" w:ascii="Arial" w:hAnsi="Arial" w:eastAsia="宋体" w:cs="Arial"/>
                <w:bCs/>
                <w:sz w:val="24"/>
              </w:rPr>
              <w:t>。</w:t>
            </w:r>
          </w:p>
        </w:tc>
      </w:tr>
      <w:tr w14:paraId="1A5EB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909" w:type="pct"/>
            <w:vMerge w:val="restart"/>
            <w:shd w:val="clear" w:color="auto" w:fill="D8D8D8" w:themeFill="background1" w:themeFillShade="D9"/>
          </w:tcPr>
          <w:p w14:paraId="3D2DFBF6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简易案件理由（可以单选，也可以多选）</w:t>
            </w:r>
          </w:p>
        </w:tc>
        <w:tc>
          <w:tcPr>
            <w:tcW w:w="4090" w:type="pct"/>
            <w:gridSpan w:val="2"/>
          </w:tcPr>
          <w:p w14:paraId="2827CFE1">
            <w:p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sym w:font="Wingdings" w:char="00A8"/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1. 在同一相关市场，所有参与集中的经营者所占市场份额之和小于15%。</w:t>
            </w:r>
          </w:p>
        </w:tc>
      </w:tr>
      <w:tr w14:paraId="186BD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909" w:type="pct"/>
            <w:vMerge w:val="continue"/>
            <w:shd w:val="clear" w:color="auto" w:fill="D8D8D8" w:themeFill="background1" w:themeFillShade="D9"/>
          </w:tcPr>
          <w:p w14:paraId="3EB12A12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</w:p>
        </w:tc>
        <w:tc>
          <w:tcPr>
            <w:tcW w:w="4090" w:type="pct"/>
            <w:gridSpan w:val="2"/>
          </w:tcPr>
          <w:p w14:paraId="2DA7C636">
            <w:pPr>
              <w:jc w:val="left"/>
              <w:rPr>
                <w:rFonts w:hint="default" w:ascii="Arial" w:hAnsi="Arial" w:eastAsia="宋体" w:cs="Arial"/>
                <w:b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sym w:font="Wingdings" w:char="00FE"/>
            </w: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2. 存在上下游关系的参与集中的经营者，在上下游市场所占的市场份额均小于25%。</w:t>
            </w:r>
          </w:p>
        </w:tc>
      </w:tr>
      <w:tr w14:paraId="2C81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09" w:type="pct"/>
            <w:vMerge w:val="continue"/>
            <w:shd w:val="clear" w:color="auto" w:fill="D8D8D8" w:themeFill="background1" w:themeFillShade="D9"/>
          </w:tcPr>
          <w:p w14:paraId="7D571DF3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</w:p>
        </w:tc>
        <w:tc>
          <w:tcPr>
            <w:tcW w:w="4090" w:type="pct"/>
            <w:gridSpan w:val="2"/>
          </w:tcPr>
          <w:p w14:paraId="1224E565">
            <w:pPr>
              <w:jc w:val="left"/>
              <w:rPr>
                <w:rFonts w:hint="default" w:ascii="Arial" w:hAnsi="Arial" w:eastAsia="宋体" w:cs="Arial"/>
                <w:bCs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sym w:font="Wingdings" w:char="00A8"/>
            </w: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3. 不在同一相关市场、也不存在上下游关系的参与集中的经营者，在与交易有关的每个市场所占的份额均小于25%。</w:t>
            </w:r>
          </w:p>
        </w:tc>
      </w:tr>
      <w:tr w14:paraId="2883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909" w:type="pct"/>
            <w:vMerge w:val="continue"/>
            <w:shd w:val="clear" w:color="auto" w:fill="D8D8D8" w:themeFill="background1" w:themeFillShade="D9"/>
          </w:tcPr>
          <w:p w14:paraId="70ABA3DF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</w:p>
        </w:tc>
        <w:tc>
          <w:tcPr>
            <w:tcW w:w="4090" w:type="pct"/>
            <w:gridSpan w:val="2"/>
          </w:tcPr>
          <w:p w14:paraId="03BA98C7">
            <w:p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sym w:font="Wingdings" w:char="F0A8"/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4. 参与集中的经营者在中国境外设立合营企业，合营企业不在中国境内从事经济活动。</w:t>
            </w:r>
          </w:p>
        </w:tc>
      </w:tr>
      <w:tr w14:paraId="0D792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9" w:type="pct"/>
            <w:vMerge w:val="continue"/>
            <w:shd w:val="clear" w:color="auto" w:fill="D8D8D8" w:themeFill="background1" w:themeFillShade="D9"/>
          </w:tcPr>
          <w:p w14:paraId="608446B4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</w:p>
        </w:tc>
        <w:tc>
          <w:tcPr>
            <w:tcW w:w="4090" w:type="pct"/>
            <w:gridSpan w:val="2"/>
          </w:tcPr>
          <w:p w14:paraId="4D994F04">
            <w:p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sym w:font="Wingdings" w:char="F0A8"/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5. 参与集中的经营者收购境外企业股权或资产的，该境外企业不在中国境内从事经济活动。</w:t>
            </w:r>
          </w:p>
        </w:tc>
      </w:tr>
      <w:tr w14:paraId="342C1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09" w:type="pct"/>
            <w:vMerge w:val="continue"/>
            <w:shd w:val="clear" w:color="auto" w:fill="D8D8D8" w:themeFill="background1" w:themeFillShade="D9"/>
          </w:tcPr>
          <w:p w14:paraId="7CF26F14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</w:p>
        </w:tc>
        <w:tc>
          <w:tcPr>
            <w:tcW w:w="4090" w:type="pct"/>
            <w:gridSpan w:val="2"/>
          </w:tcPr>
          <w:p w14:paraId="7B9C3F0F">
            <w:pPr>
              <w:jc w:val="left"/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sz w:val="24"/>
                <w:szCs w:val="24"/>
              </w:rPr>
              <w:sym w:font="Wingdings" w:char="F0A8"/>
            </w:r>
            <w:r>
              <w:rPr>
                <w:rFonts w:hint="default" w:ascii="Arial" w:hAnsi="Arial" w:eastAsia="宋体" w:cs="Arial"/>
                <w:sz w:val="24"/>
                <w:szCs w:val="24"/>
              </w:rPr>
              <w:t>6. 由两个以上的经营者共同控制的合营企业，通过集中被其中一个或一个以上经营者控制。</w:t>
            </w:r>
          </w:p>
        </w:tc>
      </w:tr>
      <w:tr w14:paraId="7BE2D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09" w:type="pct"/>
            <w:shd w:val="clear" w:color="auto" w:fill="D8D8D8" w:themeFill="background1" w:themeFillShade="D9"/>
          </w:tcPr>
          <w:p w14:paraId="4CC87F9F">
            <w:pPr>
              <w:rPr>
                <w:rFonts w:hint="default" w:ascii="Arial" w:hAnsi="Arial" w:eastAsia="宋体" w:cs="Arial"/>
                <w:kern w:val="0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kern w:val="0"/>
                <w:sz w:val="24"/>
                <w:szCs w:val="24"/>
              </w:rPr>
              <w:t>备注</w:t>
            </w:r>
          </w:p>
        </w:tc>
        <w:tc>
          <w:tcPr>
            <w:tcW w:w="4090" w:type="pct"/>
            <w:gridSpan w:val="2"/>
          </w:tcPr>
          <w:p w14:paraId="048C610D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sz w:val="24"/>
                <w:szCs w:val="24"/>
              </w:rPr>
              <w:t>纵向关联</w:t>
            </w: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：</w:t>
            </w:r>
          </w:p>
          <w:p w14:paraId="0EF15193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上游：2025年全球固体矿产资源勘查市场</w:t>
            </w:r>
          </w:p>
          <w:p w14:paraId="59DE9BC9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全球：二二四大队：0-5%</w:t>
            </w:r>
          </w:p>
          <w:p w14:paraId="78C4D588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中国境内：二二四大队：0-5%</w:t>
            </w:r>
          </w:p>
          <w:p w14:paraId="0B0DB49E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</w:p>
          <w:p w14:paraId="4AE7C362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下游：2025年全球铀精矿市场</w:t>
            </w:r>
          </w:p>
          <w:p w14:paraId="34E92052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全球：中广核铀业：10-15%</w:t>
            </w:r>
          </w:p>
          <w:p w14:paraId="241C3BE5">
            <w:pPr>
              <w:jc w:val="left"/>
              <w:rPr>
                <w:rFonts w:hint="default" w:ascii="Arial" w:hAnsi="Arial" w:eastAsia="宋体" w:cs="Arial"/>
                <w:bCs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Cs/>
                <w:sz w:val="24"/>
                <w:szCs w:val="24"/>
              </w:rPr>
              <w:t>中国境内：中广核铀业：20-25%</w:t>
            </w:r>
          </w:p>
        </w:tc>
      </w:tr>
    </w:tbl>
    <w:p w14:paraId="47309061">
      <w:pPr>
        <w:pStyle w:val="16"/>
        <w:ind w:firstLine="0" w:firstLineChars="0"/>
        <w:jc w:val="left"/>
        <w:rPr>
          <w:rFonts w:ascii="Arial" w:hAnsi="Arial" w:eastAsia="仿宋_GB2312" w:cs="Arial"/>
          <w:sz w:val="24"/>
          <w:szCs w:val="24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mplified Arabic">
    <w:altName w:val="Segoe Print"/>
    <w:panose1 w:val="00000000000000000000"/>
    <w:charset w:val="B2"/>
    <w:family w:val="roman"/>
    <w:pitch w:val="default"/>
    <w:sig w:usb0="00000000" w:usb1="00000000" w:usb2="00000008" w:usb3="00000000" w:csb0="0000004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5F831C">
    <w:pPr>
      <w:pStyle w:val="6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AA4B8E"/>
    <w:multiLevelType w:val="multilevel"/>
    <w:tmpl w:val="19AA4B8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NiNzFmNmFjMWRjZTc4YmY5Njc5ZDcxNzFlODlmMmEifQ=="/>
  </w:docVars>
  <w:rsids>
    <w:rsidRoot w:val="00CB00DF"/>
    <w:rsid w:val="00004D80"/>
    <w:rsid w:val="00007C1F"/>
    <w:rsid w:val="0001219A"/>
    <w:rsid w:val="00016404"/>
    <w:rsid w:val="00032D61"/>
    <w:rsid w:val="000346E2"/>
    <w:rsid w:val="00037065"/>
    <w:rsid w:val="00037A30"/>
    <w:rsid w:val="00046045"/>
    <w:rsid w:val="0005296D"/>
    <w:rsid w:val="00060786"/>
    <w:rsid w:val="00062E75"/>
    <w:rsid w:val="00066350"/>
    <w:rsid w:val="000719FD"/>
    <w:rsid w:val="000731C3"/>
    <w:rsid w:val="00077422"/>
    <w:rsid w:val="000804DC"/>
    <w:rsid w:val="00092DB5"/>
    <w:rsid w:val="000A1D05"/>
    <w:rsid w:val="000A22A8"/>
    <w:rsid w:val="000A34B4"/>
    <w:rsid w:val="000A3A58"/>
    <w:rsid w:val="000B0A46"/>
    <w:rsid w:val="000B16A6"/>
    <w:rsid w:val="000B7666"/>
    <w:rsid w:val="000C100A"/>
    <w:rsid w:val="000C377F"/>
    <w:rsid w:val="000C6AB1"/>
    <w:rsid w:val="000D3FAC"/>
    <w:rsid w:val="000D4242"/>
    <w:rsid w:val="000D7EBA"/>
    <w:rsid w:val="000E1FD3"/>
    <w:rsid w:val="000E6039"/>
    <w:rsid w:val="000F33E1"/>
    <w:rsid w:val="000F5016"/>
    <w:rsid w:val="000F6ECC"/>
    <w:rsid w:val="001036FF"/>
    <w:rsid w:val="0010572C"/>
    <w:rsid w:val="00107E5C"/>
    <w:rsid w:val="00111C90"/>
    <w:rsid w:val="00112EE3"/>
    <w:rsid w:val="0011450A"/>
    <w:rsid w:val="00115C8C"/>
    <w:rsid w:val="00116377"/>
    <w:rsid w:val="001164CD"/>
    <w:rsid w:val="00117D16"/>
    <w:rsid w:val="00123FF5"/>
    <w:rsid w:val="00126AFC"/>
    <w:rsid w:val="00126B45"/>
    <w:rsid w:val="00130874"/>
    <w:rsid w:val="00133671"/>
    <w:rsid w:val="00134BF9"/>
    <w:rsid w:val="0013577E"/>
    <w:rsid w:val="00136643"/>
    <w:rsid w:val="00152D0A"/>
    <w:rsid w:val="00155717"/>
    <w:rsid w:val="00155981"/>
    <w:rsid w:val="00157F94"/>
    <w:rsid w:val="00162287"/>
    <w:rsid w:val="00167E26"/>
    <w:rsid w:val="00175FF1"/>
    <w:rsid w:val="00180B5C"/>
    <w:rsid w:val="001837A3"/>
    <w:rsid w:val="00184E9A"/>
    <w:rsid w:val="0018655E"/>
    <w:rsid w:val="00195811"/>
    <w:rsid w:val="0019660D"/>
    <w:rsid w:val="001A07B9"/>
    <w:rsid w:val="001A31ED"/>
    <w:rsid w:val="001A7E31"/>
    <w:rsid w:val="001B05F8"/>
    <w:rsid w:val="001B4E74"/>
    <w:rsid w:val="001C08DA"/>
    <w:rsid w:val="001C3209"/>
    <w:rsid w:val="001C5088"/>
    <w:rsid w:val="001D3755"/>
    <w:rsid w:val="001D78F7"/>
    <w:rsid w:val="001E73E7"/>
    <w:rsid w:val="001F0DD5"/>
    <w:rsid w:val="0020430C"/>
    <w:rsid w:val="00205C1E"/>
    <w:rsid w:val="00207F3E"/>
    <w:rsid w:val="00213EC0"/>
    <w:rsid w:val="002174C0"/>
    <w:rsid w:val="00222F09"/>
    <w:rsid w:val="00252019"/>
    <w:rsid w:val="00256A1D"/>
    <w:rsid w:val="00260CEC"/>
    <w:rsid w:val="00261605"/>
    <w:rsid w:val="00261F80"/>
    <w:rsid w:val="00271790"/>
    <w:rsid w:val="0027194E"/>
    <w:rsid w:val="00272C6D"/>
    <w:rsid w:val="0027695B"/>
    <w:rsid w:val="00276E43"/>
    <w:rsid w:val="0027775D"/>
    <w:rsid w:val="00284388"/>
    <w:rsid w:val="00290E6A"/>
    <w:rsid w:val="00295809"/>
    <w:rsid w:val="002961BD"/>
    <w:rsid w:val="002A7B1A"/>
    <w:rsid w:val="002B0F1D"/>
    <w:rsid w:val="002B540C"/>
    <w:rsid w:val="002B6AF4"/>
    <w:rsid w:val="002C5102"/>
    <w:rsid w:val="002C7953"/>
    <w:rsid w:val="002D3E65"/>
    <w:rsid w:val="002D4185"/>
    <w:rsid w:val="002E4DB9"/>
    <w:rsid w:val="002E6891"/>
    <w:rsid w:val="002F0C29"/>
    <w:rsid w:val="002F4002"/>
    <w:rsid w:val="002F456E"/>
    <w:rsid w:val="003072B4"/>
    <w:rsid w:val="003102B6"/>
    <w:rsid w:val="00310AE8"/>
    <w:rsid w:val="003116A1"/>
    <w:rsid w:val="003121BE"/>
    <w:rsid w:val="003142CE"/>
    <w:rsid w:val="003212E8"/>
    <w:rsid w:val="00334FCC"/>
    <w:rsid w:val="003357A5"/>
    <w:rsid w:val="00335A4F"/>
    <w:rsid w:val="00335BE3"/>
    <w:rsid w:val="003367A8"/>
    <w:rsid w:val="00342865"/>
    <w:rsid w:val="00352EAE"/>
    <w:rsid w:val="00357202"/>
    <w:rsid w:val="003619E6"/>
    <w:rsid w:val="0037047F"/>
    <w:rsid w:val="00377BDC"/>
    <w:rsid w:val="003802E4"/>
    <w:rsid w:val="00380EAC"/>
    <w:rsid w:val="003904A0"/>
    <w:rsid w:val="00390642"/>
    <w:rsid w:val="00391A75"/>
    <w:rsid w:val="003B2E32"/>
    <w:rsid w:val="003B3767"/>
    <w:rsid w:val="003C0AEB"/>
    <w:rsid w:val="003D3405"/>
    <w:rsid w:val="003E1CE6"/>
    <w:rsid w:val="003E5E5B"/>
    <w:rsid w:val="003F1773"/>
    <w:rsid w:val="003F4650"/>
    <w:rsid w:val="00402CF6"/>
    <w:rsid w:val="004064B4"/>
    <w:rsid w:val="00407447"/>
    <w:rsid w:val="004074C0"/>
    <w:rsid w:val="004143C0"/>
    <w:rsid w:val="00417412"/>
    <w:rsid w:val="00422EAC"/>
    <w:rsid w:val="00423CD3"/>
    <w:rsid w:val="004263F7"/>
    <w:rsid w:val="0043301C"/>
    <w:rsid w:val="00442FE3"/>
    <w:rsid w:val="00444603"/>
    <w:rsid w:val="00446D79"/>
    <w:rsid w:val="004521DE"/>
    <w:rsid w:val="00462B3E"/>
    <w:rsid w:val="00463AFF"/>
    <w:rsid w:val="004642E2"/>
    <w:rsid w:val="0046717A"/>
    <w:rsid w:val="00472F0A"/>
    <w:rsid w:val="004763DC"/>
    <w:rsid w:val="00484075"/>
    <w:rsid w:val="00484DFC"/>
    <w:rsid w:val="0049385E"/>
    <w:rsid w:val="004A75A4"/>
    <w:rsid w:val="004B06CB"/>
    <w:rsid w:val="004B2960"/>
    <w:rsid w:val="004B4756"/>
    <w:rsid w:val="004B47D3"/>
    <w:rsid w:val="004B6261"/>
    <w:rsid w:val="004C41EB"/>
    <w:rsid w:val="004C48DA"/>
    <w:rsid w:val="004C6644"/>
    <w:rsid w:val="004C7E01"/>
    <w:rsid w:val="004D0526"/>
    <w:rsid w:val="004D3A26"/>
    <w:rsid w:val="004D56B9"/>
    <w:rsid w:val="004E164E"/>
    <w:rsid w:val="004E2B19"/>
    <w:rsid w:val="004E5B24"/>
    <w:rsid w:val="004E5E37"/>
    <w:rsid w:val="004E64FE"/>
    <w:rsid w:val="004F5511"/>
    <w:rsid w:val="004F7688"/>
    <w:rsid w:val="0050341D"/>
    <w:rsid w:val="00512C1A"/>
    <w:rsid w:val="005159A2"/>
    <w:rsid w:val="005203C7"/>
    <w:rsid w:val="00522770"/>
    <w:rsid w:val="00527021"/>
    <w:rsid w:val="00527EAA"/>
    <w:rsid w:val="005369AA"/>
    <w:rsid w:val="00537D9F"/>
    <w:rsid w:val="005405EB"/>
    <w:rsid w:val="0055092B"/>
    <w:rsid w:val="00553469"/>
    <w:rsid w:val="00563F5A"/>
    <w:rsid w:val="00575970"/>
    <w:rsid w:val="00577907"/>
    <w:rsid w:val="00593352"/>
    <w:rsid w:val="0059676A"/>
    <w:rsid w:val="005A0AAF"/>
    <w:rsid w:val="005A0C37"/>
    <w:rsid w:val="005A267C"/>
    <w:rsid w:val="005B72DD"/>
    <w:rsid w:val="005C107D"/>
    <w:rsid w:val="005C15B1"/>
    <w:rsid w:val="005C1B45"/>
    <w:rsid w:val="005C3125"/>
    <w:rsid w:val="005C4DA7"/>
    <w:rsid w:val="005D00CE"/>
    <w:rsid w:val="005D140A"/>
    <w:rsid w:val="005D382E"/>
    <w:rsid w:val="005D429C"/>
    <w:rsid w:val="005D503A"/>
    <w:rsid w:val="005D54FC"/>
    <w:rsid w:val="005D5F79"/>
    <w:rsid w:val="005E2761"/>
    <w:rsid w:val="005E3CE9"/>
    <w:rsid w:val="005F1FD0"/>
    <w:rsid w:val="005F3574"/>
    <w:rsid w:val="005F4FCF"/>
    <w:rsid w:val="005F5B2D"/>
    <w:rsid w:val="006058E2"/>
    <w:rsid w:val="006065FE"/>
    <w:rsid w:val="00614624"/>
    <w:rsid w:val="00617E48"/>
    <w:rsid w:val="00620768"/>
    <w:rsid w:val="006210D2"/>
    <w:rsid w:val="00621619"/>
    <w:rsid w:val="006238E5"/>
    <w:rsid w:val="00631F1B"/>
    <w:rsid w:val="00634808"/>
    <w:rsid w:val="0063707A"/>
    <w:rsid w:val="006467D8"/>
    <w:rsid w:val="006541D7"/>
    <w:rsid w:val="00661659"/>
    <w:rsid w:val="0066313A"/>
    <w:rsid w:val="0067196A"/>
    <w:rsid w:val="0067263E"/>
    <w:rsid w:val="006737B0"/>
    <w:rsid w:val="0068253D"/>
    <w:rsid w:val="006832AD"/>
    <w:rsid w:val="00683D52"/>
    <w:rsid w:val="0068401B"/>
    <w:rsid w:val="00687E72"/>
    <w:rsid w:val="00690322"/>
    <w:rsid w:val="00696B78"/>
    <w:rsid w:val="006A450A"/>
    <w:rsid w:val="006A531B"/>
    <w:rsid w:val="006B1469"/>
    <w:rsid w:val="006B19BF"/>
    <w:rsid w:val="006B4EA5"/>
    <w:rsid w:val="006C4CC4"/>
    <w:rsid w:val="006C6B34"/>
    <w:rsid w:val="006D15E6"/>
    <w:rsid w:val="006E5DDD"/>
    <w:rsid w:val="006F57AD"/>
    <w:rsid w:val="006F7693"/>
    <w:rsid w:val="00700431"/>
    <w:rsid w:val="00703F1D"/>
    <w:rsid w:val="00707A2F"/>
    <w:rsid w:val="00710140"/>
    <w:rsid w:val="007167F2"/>
    <w:rsid w:val="00721967"/>
    <w:rsid w:val="0072399D"/>
    <w:rsid w:val="007302E4"/>
    <w:rsid w:val="0073257A"/>
    <w:rsid w:val="00732875"/>
    <w:rsid w:val="00734890"/>
    <w:rsid w:val="0074182E"/>
    <w:rsid w:val="00743297"/>
    <w:rsid w:val="007529A5"/>
    <w:rsid w:val="00766931"/>
    <w:rsid w:val="007679D6"/>
    <w:rsid w:val="00772FE5"/>
    <w:rsid w:val="00785A96"/>
    <w:rsid w:val="00785B35"/>
    <w:rsid w:val="00785F54"/>
    <w:rsid w:val="00790F92"/>
    <w:rsid w:val="0079102C"/>
    <w:rsid w:val="00793AC7"/>
    <w:rsid w:val="007A0305"/>
    <w:rsid w:val="007A07B4"/>
    <w:rsid w:val="007A2C37"/>
    <w:rsid w:val="007A5B67"/>
    <w:rsid w:val="007A6264"/>
    <w:rsid w:val="007B0F56"/>
    <w:rsid w:val="007B6AFA"/>
    <w:rsid w:val="007B7A04"/>
    <w:rsid w:val="007C2D27"/>
    <w:rsid w:val="007C57BA"/>
    <w:rsid w:val="007D1B11"/>
    <w:rsid w:val="007E246B"/>
    <w:rsid w:val="007E2FB0"/>
    <w:rsid w:val="007E4ED0"/>
    <w:rsid w:val="007E6283"/>
    <w:rsid w:val="007E6C51"/>
    <w:rsid w:val="007F2275"/>
    <w:rsid w:val="007F2FDD"/>
    <w:rsid w:val="007F4FFD"/>
    <w:rsid w:val="0081163C"/>
    <w:rsid w:val="008137BC"/>
    <w:rsid w:val="00814160"/>
    <w:rsid w:val="0081793B"/>
    <w:rsid w:val="00817CD6"/>
    <w:rsid w:val="00837F71"/>
    <w:rsid w:val="00840739"/>
    <w:rsid w:val="00842DC7"/>
    <w:rsid w:val="00843E49"/>
    <w:rsid w:val="00846A03"/>
    <w:rsid w:val="008555EA"/>
    <w:rsid w:val="00855B05"/>
    <w:rsid w:val="0086105C"/>
    <w:rsid w:val="00861BFA"/>
    <w:rsid w:val="00862A04"/>
    <w:rsid w:val="00866315"/>
    <w:rsid w:val="008708DB"/>
    <w:rsid w:val="0087434E"/>
    <w:rsid w:val="00877561"/>
    <w:rsid w:val="00880644"/>
    <w:rsid w:val="00883C8C"/>
    <w:rsid w:val="008851F3"/>
    <w:rsid w:val="00886521"/>
    <w:rsid w:val="008868B0"/>
    <w:rsid w:val="008872E1"/>
    <w:rsid w:val="00890CE7"/>
    <w:rsid w:val="008933D8"/>
    <w:rsid w:val="00895284"/>
    <w:rsid w:val="008972F8"/>
    <w:rsid w:val="008A4664"/>
    <w:rsid w:val="008B05BC"/>
    <w:rsid w:val="008B1691"/>
    <w:rsid w:val="008B45BF"/>
    <w:rsid w:val="008C09A3"/>
    <w:rsid w:val="008C23DD"/>
    <w:rsid w:val="008C4343"/>
    <w:rsid w:val="008C4830"/>
    <w:rsid w:val="008C64F1"/>
    <w:rsid w:val="008D4B69"/>
    <w:rsid w:val="008D745F"/>
    <w:rsid w:val="008E3999"/>
    <w:rsid w:val="008F0FB8"/>
    <w:rsid w:val="008F4E3E"/>
    <w:rsid w:val="008F6B46"/>
    <w:rsid w:val="00902336"/>
    <w:rsid w:val="00902393"/>
    <w:rsid w:val="00902CED"/>
    <w:rsid w:val="00907A37"/>
    <w:rsid w:val="0091257A"/>
    <w:rsid w:val="00915F0F"/>
    <w:rsid w:val="00917443"/>
    <w:rsid w:val="00917886"/>
    <w:rsid w:val="009206D3"/>
    <w:rsid w:val="009211B1"/>
    <w:rsid w:val="009275C0"/>
    <w:rsid w:val="00933559"/>
    <w:rsid w:val="00933F10"/>
    <w:rsid w:val="00935E1E"/>
    <w:rsid w:val="009532DF"/>
    <w:rsid w:val="00953C9E"/>
    <w:rsid w:val="00980AEB"/>
    <w:rsid w:val="009819CA"/>
    <w:rsid w:val="00986649"/>
    <w:rsid w:val="00987399"/>
    <w:rsid w:val="009911B3"/>
    <w:rsid w:val="00995FB9"/>
    <w:rsid w:val="009963FA"/>
    <w:rsid w:val="00997019"/>
    <w:rsid w:val="00997624"/>
    <w:rsid w:val="009A38E5"/>
    <w:rsid w:val="009A4358"/>
    <w:rsid w:val="009A5029"/>
    <w:rsid w:val="009A7F68"/>
    <w:rsid w:val="009B215B"/>
    <w:rsid w:val="009B5E6F"/>
    <w:rsid w:val="009C3A13"/>
    <w:rsid w:val="009D38D5"/>
    <w:rsid w:val="009D3D37"/>
    <w:rsid w:val="009D4D68"/>
    <w:rsid w:val="009E0A02"/>
    <w:rsid w:val="009E0B03"/>
    <w:rsid w:val="009E40EE"/>
    <w:rsid w:val="009E4CC0"/>
    <w:rsid w:val="009E501E"/>
    <w:rsid w:val="009E5DC7"/>
    <w:rsid w:val="009E634C"/>
    <w:rsid w:val="009F0D5C"/>
    <w:rsid w:val="009F70E6"/>
    <w:rsid w:val="00A0513F"/>
    <w:rsid w:val="00A107BB"/>
    <w:rsid w:val="00A11A67"/>
    <w:rsid w:val="00A14658"/>
    <w:rsid w:val="00A20ADA"/>
    <w:rsid w:val="00A244E6"/>
    <w:rsid w:val="00A30CD6"/>
    <w:rsid w:val="00A33EB2"/>
    <w:rsid w:val="00A34F02"/>
    <w:rsid w:val="00A36886"/>
    <w:rsid w:val="00A41C58"/>
    <w:rsid w:val="00A41D6C"/>
    <w:rsid w:val="00A42B6F"/>
    <w:rsid w:val="00A448C3"/>
    <w:rsid w:val="00A46817"/>
    <w:rsid w:val="00A47ABA"/>
    <w:rsid w:val="00A47FDC"/>
    <w:rsid w:val="00A53A3B"/>
    <w:rsid w:val="00A53F26"/>
    <w:rsid w:val="00A55B45"/>
    <w:rsid w:val="00A55CF9"/>
    <w:rsid w:val="00A60A05"/>
    <w:rsid w:val="00A66C91"/>
    <w:rsid w:val="00A67B92"/>
    <w:rsid w:val="00A7198D"/>
    <w:rsid w:val="00A81D50"/>
    <w:rsid w:val="00A851CF"/>
    <w:rsid w:val="00AA0CC5"/>
    <w:rsid w:val="00AA4FA8"/>
    <w:rsid w:val="00AD74B7"/>
    <w:rsid w:val="00AE4381"/>
    <w:rsid w:val="00AF10DD"/>
    <w:rsid w:val="00AF511A"/>
    <w:rsid w:val="00AF7694"/>
    <w:rsid w:val="00B01955"/>
    <w:rsid w:val="00B01C94"/>
    <w:rsid w:val="00B11935"/>
    <w:rsid w:val="00B13E8A"/>
    <w:rsid w:val="00B16AFE"/>
    <w:rsid w:val="00B17FB3"/>
    <w:rsid w:val="00B24F10"/>
    <w:rsid w:val="00B261F4"/>
    <w:rsid w:val="00B3480F"/>
    <w:rsid w:val="00B41FBA"/>
    <w:rsid w:val="00B423F0"/>
    <w:rsid w:val="00B43968"/>
    <w:rsid w:val="00B50DBB"/>
    <w:rsid w:val="00B530CA"/>
    <w:rsid w:val="00B53863"/>
    <w:rsid w:val="00B65DD5"/>
    <w:rsid w:val="00B670A2"/>
    <w:rsid w:val="00B70394"/>
    <w:rsid w:val="00B709BC"/>
    <w:rsid w:val="00B70B24"/>
    <w:rsid w:val="00B719ED"/>
    <w:rsid w:val="00B73AF1"/>
    <w:rsid w:val="00B76E41"/>
    <w:rsid w:val="00BA2FD6"/>
    <w:rsid w:val="00BA36B0"/>
    <w:rsid w:val="00BA3F4D"/>
    <w:rsid w:val="00BB538E"/>
    <w:rsid w:val="00BB58BD"/>
    <w:rsid w:val="00BB7037"/>
    <w:rsid w:val="00BC0867"/>
    <w:rsid w:val="00BC2617"/>
    <w:rsid w:val="00BC6417"/>
    <w:rsid w:val="00BD10B6"/>
    <w:rsid w:val="00BD2747"/>
    <w:rsid w:val="00BD32C9"/>
    <w:rsid w:val="00BD3442"/>
    <w:rsid w:val="00BF2C5C"/>
    <w:rsid w:val="00BF2C9C"/>
    <w:rsid w:val="00BF42E5"/>
    <w:rsid w:val="00BF4D98"/>
    <w:rsid w:val="00BF5DA1"/>
    <w:rsid w:val="00BF62D8"/>
    <w:rsid w:val="00C0391C"/>
    <w:rsid w:val="00C07076"/>
    <w:rsid w:val="00C10124"/>
    <w:rsid w:val="00C104B5"/>
    <w:rsid w:val="00C11008"/>
    <w:rsid w:val="00C12A21"/>
    <w:rsid w:val="00C15054"/>
    <w:rsid w:val="00C152F6"/>
    <w:rsid w:val="00C17DF9"/>
    <w:rsid w:val="00C20705"/>
    <w:rsid w:val="00C20890"/>
    <w:rsid w:val="00C25400"/>
    <w:rsid w:val="00C309FD"/>
    <w:rsid w:val="00C313DD"/>
    <w:rsid w:val="00C335E8"/>
    <w:rsid w:val="00C41160"/>
    <w:rsid w:val="00C43014"/>
    <w:rsid w:val="00C51538"/>
    <w:rsid w:val="00C53F8B"/>
    <w:rsid w:val="00C627B2"/>
    <w:rsid w:val="00C8055E"/>
    <w:rsid w:val="00C80C6A"/>
    <w:rsid w:val="00C830CD"/>
    <w:rsid w:val="00C8727D"/>
    <w:rsid w:val="00C95787"/>
    <w:rsid w:val="00C95F66"/>
    <w:rsid w:val="00C9639F"/>
    <w:rsid w:val="00CA0A1D"/>
    <w:rsid w:val="00CA4FDF"/>
    <w:rsid w:val="00CA6BDE"/>
    <w:rsid w:val="00CA6CC9"/>
    <w:rsid w:val="00CB00DF"/>
    <w:rsid w:val="00CB0DCA"/>
    <w:rsid w:val="00CB39E6"/>
    <w:rsid w:val="00CB700D"/>
    <w:rsid w:val="00CC068D"/>
    <w:rsid w:val="00CC0806"/>
    <w:rsid w:val="00CC28D2"/>
    <w:rsid w:val="00CD2BD2"/>
    <w:rsid w:val="00CD306E"/>
    <w:rsid w:val="00CD6223"/>
    <w:rsid w:val="00CE2A71"/>
    <w:rsid w:val="00CE3F01"/>
    <w:rsid w:val="00CE5583"/>
    <w:rsid w:val="00CE7958"/>
    <w:rsid w:val="00CF585E"/>
    <w:rsid w:val="00CF6546"/>
    <w:rsid w:val="00D03398"/>
    <w:rsid w:val="00D14F0A"/>
    <w:rsid w:val="00D21441"/>
    <w:rsid w:val="00D235F4"/>
    <w:rsid w:val="00D3357C"/>
    <w:rsid w:val="00D35F31"/>
    <w:rsid w:val="00D41DC0"/>
    <w:rsid w:val="00D43FBD"/>
    <w:rsid w:val="00D46218"/>
    <w:rsid w:val="00D46CAF"/>
    <w:rsid w:val="00D46F77"/>
    <w:rsid w:val="00D53330"/>
    <w:rsid w:val="00D552DD"/>
    <w:rsid w:val="00D70415"/>
    <w:rsid w:val="00D70CEE"/>
    <w:rsid w:val="00D72D5A"/>
    <w:rsid w:val="00D73C72"/>
    <w:rsid w:val="00D76DF8"/>
    <w:rsid w:val="00D77520"/>
    <w:rsid w:val="00D834AF"/>
    <w:rsid w:val="00D84AB1"/>
    <w:rsid w:val="00D865FF"/>
    <w:rsid w:val="00D87218"/>
    <w:rsid w:val="00D878F7"/>
    <w:rsid w:val="00D90118"/>
    <w:rsid w:val="00D910DB"/>
    <w:rsid w:val="00D930FF"/>
    <w:rsid w:val="00D97ACC"/>
    <w:rsid w:val="00DA0639"/>
    <w:rsid w:val="00DB7A75"/>
    <w:rsid w:val="00DC0095"/>
    <w:rsid w:val="00DC1EB0"/>
    <w:rsid w:val="00DC235D"/>
    <w:rsid w:val="00DC5326"/>
    <w:rsid w:val="00DD41F4"/>
    <w:rsid w:val="00DE2653"/>
    <w:rsid w:val="00DE31EF"/>
    <w:rsid w:val="00DE4264"/>
    <w:rsid w:val="00DE55AA"/>
    <w:rsid w:val="00DE5AB7"/>
    <w:rsid w:val="00DE5B12"/>
    <w:rsid w:val="00DE5BF0"/>
    <w:rsid w:val="00DE7C67"/>
    <w:rsid w:val="00DF62D7"/>
    <w:rsid w:val="00E012D0"/>
    <w:rsid w:val="00E03C2A"/>
    <w:rsid w:val="00E0434A"/>
    <w:rsid w:val="00E04650"/>
    <w:rsid w:val="00E0592B"/>
    <w:rsid w:val="00E05B45"/>
    <w:rsid w:val="00E06940"/>
    <w:rsid w:val="00E11468"/>
    <w:rsid w:val="00E143C7"/>
    <w:rsid w:val="00E17D20"/>
    <w:rsid w:val="00E17DBA"/>
    <w:rsid w:val="00E23CDA"/>
    <w:rsid w:val="00E26D57"/>
    <w:rsid w:val="00E31738"/>
    <w:rsid w:val="00E33A62"/>
    <w:rsid w:val="00E34D66"/>
    <w:rsid w:val="00E40714"/>
    <w:rsid w:val="00E41823"/>
    <w:rsid w:val="00E45B53"/>
    <w:rsid w:val="00E46B05"/>
    <w:rsid w:val="00E53101"/>
    <w:rsid w:val="00E566DD"/>
    <w:rsid w:val="00E5780A"/>
    <w:rsid w:val="00E621AE"/>
    <w:rsid w:val="00E65777"/>
    <w:rsid w:val="00E71DBC"/>
    <w:rsid w:val="00E7347E"/>
    <w:rsid w:val="00E76732"/>
    <w:rsid w:val="00E828E7"/>
    <w:rsid w:val="00E83F7A"/>
    <w:rsid w:val="00E86786"/>
    <w:rsid w:val="00E93D99"/>
    <w:rsid w:val="00E9623B"/>
    <w:rsid w:val="00E965AA"/>
    <w:rsid w:val="00EA0008"/>
    <w:rsid w:val="00EA4D76"/>
    <w:rsid w:val="00EB5115"/>
    <w:rsid w:val="00EB62AF"/>
    <w:rsid w:val="00EC705C"/>
    <w:rsid w:val="00ED2F80"/>
    <w:rsid w:val="00ED790A"/>
    <w:rsid w:val="00EE282A"/>
    <w:rsid w:val="00EE562B"/>
    <w:rsid w:val="00EE5CBC"/>
    <w:rsid w:val="00EF3759"/>
    <w:rsid w:val="00F02E65"/>
    <w:rsid w:val="00F03F5B"/>
    <w:rsid w:val="00F0456B"/>
    <w:rsid w:val="00F054FC"/>
    <w:rsid w:val="00F05CBC"/>
    <w:rsid w:val="00F0673B"/>
    <w:rsid w:val="00F1624E"/>
    <w:rsid w:val="00F318E3"/>
    <w:rsid w:val="00F32F8A"/>
    <w:rsid w:val="00F33C36"/>
    <w:rsid w:val="00F34469"/>
    <w:rsid w:val="00F420A4"/>
    <w:rsid w:val="00F57866"/>
    <w:rsid w:val="00F77D4F"/>
    <w:rsid w:val="00F810AA"/>
    <w:rsid w:val="00F83A71"/>
    <w:rsid w:val="00FA1300"/>
    <w:rsid w:val="00FA21C4"/>
    <w:rsid w:val="00FA5D36"/>
    <w:rsid w:val="00FA5F51"/>
    <w:rsid w:val="00FA6762"/>
    <w:rsid w:val="00FA77AC"/>
    <w:rsid w:val="00FB42DB"/>
    <w:rsid w:val="00FB43EC"/>
    <w:rsid w:val="00FB643B"/>
    <w:rsid w:val="00FB6B40"/>
    <w:rsid w:val="00FB6DFB"/>
    <w:rsid w:val="00FC094F"/>
    <w:rsid w:val="00FC5ECC"/>
    <w:rsid w:val="00FC7A0D"/>
    <w:rsid w:val="00FD1C9B"/>
    <w:rsid w:val="00FD6132"/>
    <w:rsid w:val="00FD746C"/>
    <w:rsid w:val="00FE1997"/>
    <w:rsid w:val="00FE3D31"/>
    <w:rsid w:val="00FE4132"/>
    <w:rsid w:val="00FE4F2B"/>
    <w:rsid w:val="00FE5F01"/>
    <w:rsid w:val="00FF0316"/>
    <w:rsid w:val="00FF20B0"/>
    <w:rsid w:val="00FF4952"/>
    <w:rsid w:val="04330082"/>
    <w:rsid w:val="10A1358B"/>
    <w:rsid w:val="171575C0"/>
    <w:rsid w:val="17D3164F"/>
    <w:rsid w:val="22F0509F"/>
    <w:rsid w:val="2E102BA6"/>
    <w:rsid w:val="2E770892"/>
    <w:rsid w:val="32943604"/>
    <w:rsid w:val="37F05556"/>
    <w:rsid w:val="3BDA2205"/>
    <w:rsid w:val="412B15D8"/>
    <w:rsid w:val="42870DEC"/>
    <w:rsid w:val="4DB766CD"/>
    <w:rsid w:val="557F532B"/>
    <w:rsid w:val="55B43999"/>
    <w:rsid w:val="5A341780"/>
    <w:rsid w:val="5A406752"/>
    <w:rsid w:val="5AB9025A"/>
    <w:rsid w:val="5ACE4897"/>
    <w:rsid w:val="5CFD61B9"/>
    <w:rsid w:val="65CD73C6"/>
    <w:rsid w:val="69F7657A"/>
    <w:rsid w:val="6B9E78AC"/>
    <w:rsid w:val="6C4F54D5"/>
    <w:rsid w:val="6DF74EB3"/>
    <w:rsid w:val="70F30408"/>
    <w:rsid w:val="747E0D47"/>
    <w:rsid w:val="79C45E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8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23"/>
    <w:qFormat/>
    <w:uiPriority w:val="0"/>
    <w:pPr>
      <w:widowControl/>
      <w:spacing w:after="240"/>
    </w:pPr>
    <w:rPr>
      <w:rFonts w:ascii="Times New Roman" w:hAnsi="Times New Roman" w:cs="Simplified Arabic"/>
      <w:kern w:val="0"/>
      <w:sz w:val="24"/>
      <w:szCs w:val="24"/>
      <w:lang w:val="en-GB" w:eastAsia="en-GB" w:bidi="ar-AE"/>
    </w:r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8">
    <w:name w:val="annotation subject"/>
    <w:basedOn w:val="2"/>
    <w:next w:val="2"/>
    <w:link w:val="19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4">
    <w:name w:val="页眉 字符"/>
    <w:basedOn w:val="11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字符"/>
    <w:basedOn w:val="11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character" w:customStyle="1" w:styleId="17">
    <w:name w:val="批注框文本 字符"/>
    <w:basedOn w:val="11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8">
    <w:name w:val="批注文字 字符"/>
    <w:basedOn w:val="11"/>
    <w:link w:val="2"/>
    <w:semiHidden/>
    <w:qFormat/>
    <w:uiPriority w:val="99"/>
    <w:rPr>
      <w:rFonts w:ascii="Calibri" w:hAnsi="Calibri" w:eastAsia="宋体" w:cs="Times New Roman"/>
    </w:rPr>
  </w:style>
  <w:style w:type="character" w:customStyle="1" w:styleId="19">
    <w:name w:val="批注主题 字符"/>
    <w:basedOn w:val="18"/>
    <w:link w:val="8"/>
    <w:semiHidden/>
    <w:qFormat/>
    <w:uiPriority w:val="99"/>
    <w:rPr>
      <w:rFonts w:ascii="Calibri" w:hAnsi="Calibri" w:eastAsia="宋体" w:cs="Times New Roman"/>
      <w:b/>
      <w:bCs/>
    </w:rPr>
  </w:style>
  <w:style w:type="paragraph" w:customStyle="1" w:styleId="20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列表段落1"/>
    <w:basedOn w:val="1"/>
    <w:link w:val="22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character" w:customStyle="1" w:styleId="22">
    <w:name w:val="列出段落 字符"/>
    <w:link w:val="21"/>
    <w:qFormat/>
    <w:locked/>
    <w:uiPriority w:val="34"/>
  </w:style>
  <w:style w:type="character" w:customStyle="1" w:styleId="23">
    <w:name w:val="正文文本 字符"/>
    <w:basedOn w:val="11"/>
    <w:link w:val="3"/>
    <w:qFormat/>
    <w:uiPriority w:val="0"/>
    <w:rPr>
      <w:rFonts w:ascii="Times New Roman" w:hAnsi="Times New Roman" w:eastAsia="宋体" w:cs="Simplified Arabic"/>
      <w:kern w:val="0"/>
      <w:sz w:val="24"/>
      <w:szCs w:val="24"/>
      <w:lang w:val="en-GB" w:eastAsia="en-GB" w:bidi="ar-AE"/>
    </w:rPr>
  </w:style>
  <w:style w:type="paragraph" w:customStyle="1" w:styleId="24">
    <w:name w:val="修订2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5">
    <w:name w:val="修订3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6">
    <w:name w:val="修订4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7">
    <w:name w:val="修订5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782</Words>
  <Characters>838</Characters>
  <Lines>35</Lines>
  <Paragraphs>27</Paragraphs>
  <TotalTime>32</TotalTime>
  <ScaleCrop>false</ScaleCrop>
  <LinksUpToDate>false</LinksUpToDate>
  <CharactersWithSpaces>844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2025-08-07T07:41:00Z</dcterms:created>
  <dc:creator> </dc:creator>
  <cp:lastModifiedBy> </cp:lastModifiedBy>
  <cp:lastPrinted>2025-01-25T12:41:00Z</cp:lastPrinted>
  <dcterms:modified xsi:type="dcterms:W3CDTF">2026-11-06T02:37:46Z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9A744DDA04F54B479691EEBA7FDF07FD_13</vt:lpwstr>
  </property>
  <property fmtid="{D5CDD505-2E9C-101B-9397-08002B2CF9AE}" pid="4" name="KSOTemplateDocerSaveRecord">
    <vt:lpwstr>eyJoZGlkIjoiNTRhMDlhNmZjMDhiZjlmODc2MmE1MjljZWI2YjZjYzAiLCJ1c2VySWQiOiIyNzkzMzM5MDgifQ==</vt:lpwstr>
  </property>
</Properties>
</file>