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 w:rightChars="20"/>
        <w:jc w:val="center"/>
        <w:rPr>
          <w:rFonts w:hint="eastAsia" w:ascii="方正小标宋简体" w:hAnsi="方正小标宋简体" w:eastAsia="方正小标宋简体" w:cs="方正小标宋简体"/>
          <w:b w:val="0"/>
          <w:bCs/>
          <w:color w:val="000000"/>
          <w:spacing w:val="20"/>
          <w:sz w:val="32"/>
          <w:szCs w:val="32"/>
        </w:rPr>
      </w:pPr>
      <w:r>
        <w:rPr>
          <w:rFonts w:hint="eastAsia" w:ascii="方正小标宋简体" w:hAnsi="方正小标宋简体" w:eastAsia="方正小标宋简体" w:cs="方正小标宋简体"/>
          <w:b w:val="0"/>
          <w:bCs/>
          <w:color w:val="000000"/>
          <w:spacing w:val="20"/>
          <w:sz w:val="32"/>
          <w:szCs w:val="32"/>
        </w:rPr>
        <w:t>陕西省木地板产品质量监督抽查实施细则</w:t>
      </w:r>
    </w:p>
    <w:p>
      <w:pPr>
        <w:spacing w:line="360" w:lineRule="auto"/>
        <w:ind w:right="42" w:rightChars="20" w:firstLine="356" w:firstLineChars="198"/>
        <w:jc w:val="center"/>
        <w:rPr>
          <w:rFonts w:asciiTheme="majorEastAsia" w:hAnsiTheme="majorEastAsia" w:eastAsiaTheme="majorEastAsia"/>
          <w:sz w:val="18"/>
          <w:szCs w:val="18"/>
        </w:rPr>
      </w:pPr>
    </w:p>
    <w:p>
      <w:pPr>
        <w:adjustRightInd w:val="0"/>
        <w:snapToGrid w:val="0"/>
        <w:spacing w:line="360" w:lineRule="auto"/>
        <w:jc w:val="left"/>
        <w:rPr>
          <w:rFonts w:asciiTheme="minorEastAsia" w:hAnsiTheme="minorEastAsia" w:eastAsiaTheme="minorEastAsia"/>
          <w:b w:val="0"/>
          <w:bCs/>
          <w:szCs w:val="21"/>
        </w:rPr>
      </w:pPr>
      <w:r>
        <w:rPr>
          <w:rFonts w:hint="eastAsia" w:asciiTheme="minorEastAsia" w:hAnsiTheme="minorEastAsia" w:eastAsiaTheme="minorEastAsia"/>
          <w:b w:val="0"/>
          <w:bCs/>
          <w:szCs w:val="21"/>
        </w:rPr>
        <w:t>1抽样方法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采用扑克牌随机抽样法在企业的成品库、销售库或市场待销产品中抽取有产品质</w:t>
      </w:r>
      <w:bookmarkStart w:id="0" w:name="_GoBack"/>
      <w:bookmarkEnd w:id="0"/>
      <w:r>
        <w:rPr>
          <w:rFonts w:hint="eastAsia" w:asciiTheme="minorEastAsia" w:hAnsiTheme="minorEastAsia" w:eastAsiaTheme="minorEastAsia"/>
          <w:szCs w:val="21"/>
        </w:rPr>
        <w:t>量合格证明或者以其他形式表明合格的、近期生产的产品。</w:t>
      </w:r>
    </w:p>
    <w:p>
      <w:pPr>
        <w:snapToGrid w:val="0"/>
        <w:spacing w:line="440" w:lineRule="exact"/>
        <w:rPr>
          <w:rFonts w:asciiTheme="minorEastAsia" w:hAnsiTheme="minorEastAsia" w:eastAsiaTheme="minorEastAsia"/>
          <w:b w:val="0"/>
          <w:bCs/>
          <w:szCs w:val="21"/>
        </w:rPr>
      </w:pPr>
      <w:r>
        <w:rPr>
          <w:rFonts w:hint="eastAsia" w:asciiTheme="minorEastAsia" w:hAnsiTheme="minorEastAsia" w:eastAsiaTheme="minorEastAsia"/>
          <w:b w:val="0"/>
          <w:bCs/>
          <w:szCs w:val="21"/>
        </w:rPr>
        <w:t>2检验依据</w:t>
      </w:r>
    </w:p>
    <w:p>
      <w:pPr>
        <w:snapToGrid w:val="0"/>
        <w:spacing w:line="440" w:lineRule="exact"/>
        <w:ind w:firstLine="3150" w:firstLineChars="1500"/>
        <w:rPr>
          <w:rFonts w:asciiTheme="minorEastAsia" w:hAnsiTheme="minorEastAsia" w:eastAsiaTheme="minorEastAsia"/>
          <w:szCs w:val="21"/>
        </w:rPr>
      </w:pPr>
      <w:r>
        <w:rPr>
          <w:rFonts w:hint="eastAsia" w:asciiTheme="minorEastAsia" w:hAnsiTheme="minorEastAsia" w:eastAsiaTheme="minorEastAsia"/>
          <w:szCs w:val="21"/>
        </w:rPr>
        <w:t>表1   (实木复合地板)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835"/>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835" w:type="dxa"/>
          </w:tcPr>
          <w:p>
            <w:pPr>
              <w:snapToGrid w:val="0"/>
              <w:spacing w:line="440" w:lineRule="exact"/>
              <w:jc w:val="center"/>
              <w:rPr>
                <w:rFonts w:ascii="宋体" w:hAnsi="宋体"/>
                <w:szCs w:val="21"/>
              </w:rPr>
            </w:pPr>
            <w:r>
              <w:rPr>
                <w:rFonts w:hint="eastAsia" w:ascii="宋体" w:hAnsi="宋体"/>
                <w:szCs w:val="21"/>
              </w:rPr>
              <w:t>检验依据</w:t>
            </w:r>
          </w:p>
        </w:tc>
        <w:tc>
          <w:tcPr>
            <w:tcW w:w="3111"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1</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2</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浸渍剥离</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 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3</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静曲强度</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4</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弹性模量</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5</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15036.2-2009 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6</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漆膜附着力</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4893.4-1985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7</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表面耐污染腐蚀</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8</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835" w:type="dxa"/>
            <w:vAlign w:val="center"/>
          </w:tcPr>
          <w:p>
            <w:pPr>
              <w:snapToGrid w:val="0"/>
              <w:spacing w:line="32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w:t>
            </w:r>
          </w:p>
        </w:tc>
        <w:tc>
          <w:tcPr>
            <w:tcW w:w="3111"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4.60</w:t>
            </w:r>
          </w:p>
        </w:tc>
      </w:tr>
    </w:tbl>
    <w:p/>
    <w:p>
      <w:pPr>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表2   （浸渍纸层压木质地板）</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835"/>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440" w:lineRule="exact"/>
              <w:jc w:val="center"/>
              <w:rPr>
                <w:rFonts w:ascii="宋体" w:hAnsi="宋体"/>
                <w:szCs w:val="21"/>
              </w:rPr>
            </w:pPr>
            <w:r>
              <w:rPr>
                <w:rFonts w:hint="eastAsia" w:ascii="宋体" w:hAnsi="宋体"/>
                <w:szCs w:val="21"/>
              </w:rPr>
              <w:t>序号</w:t>
            </w:r>
          </w:p>
        </w:tc>
        <w:tc>
          <w:tcPr>
            <w:tcW w:w="2410" w:type="dxa"/>
          </w:tcPr>
          <w:p>
            <w:pPr>
              <w:snapToGrid w:val="0"/>
              <w:spacing w:line="440" w:lineRule="exact"/>
              <w:jc w:val="center"/>
              <w:rPr>
                <w:rFonts w:ascii="宋体" w:hAnsi="宋体"/>
                <w:szCs w:val="21"/>
              </w:rPr>
            </w:pPr>
            <w:r>
              <w:rPr>
                <w:rFonts w:hint="eastAsia" w:ascii="宋体" w:hAnsi="宋体"/>
                <w:szCs w:val="21"/>
              </w:rPr>
              <w:t>检验项目</w:t>
            </w:r>
          </w:p>
        </w:tc>
        <w:tc>
          <w:tcPr>
            <w:tcW w:w="2835" w:type="dxa"/>
          </w:tcPr>
          <w:p>
            <w:pPr>
              <w:snapToGrid w:val="0"/>
              <w:spacing w:line="440" w:lineRule="exact"/>
              <w:jc w:val="center"/>
              <w:rPr>
                <w:rFonts w:ascii="宋体" w:hAnsi="宋体"/>
                <w:szCs w:val="21"/>
              </w:rPr>
            </w:pPr>
            <w:r>
              <w:rPr>
                <w:rFonts w:hint="eastAsia" w:ascii="宋体" w:hAnsi="宋体"/>
                <w:szCs w:val="21"/>
              </w:rPr>
              <w:t>检验依据</w:t>
            </w:r>
          </w:p>
        </w:tc>
        <w:tc>
          <w:tcPr>
            <w:tcW w:w="3111"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17657-</w:t>
            </w:r>
            <w:r>
              <w:rPr>
                <w:rFonts w:hint="eastAsia" w:ascii="宋体" w:hAnsi="宋体"/>
                <w:szCs w:val="21"/>
              </w:rPr>
              <w:t>1999</w:t>
            </w:r>
            <w:r>
              <w:rPr>
                <w:rFonts w:ascii="宋体" w:hAnsi="宋体"/>
                <w:szCs w:val="21"/>
              </w:rPr>
              <w:t xml:space="preserv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吸水厚度膨胀率</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18102-2007 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表面胶合强度</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15102-2006 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内结合强度</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hint="eastAsia" w:ascii="宋体" w:hAnsi="宋体"/>
                <w:szCs w:val="21"/>
              </w:rPr>
              <w:t>GB/T 17657-1999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hint="eastAsia" w:asciiTheme="minorEastAsia" w:hAnsiTheme="minorEastAsia" w:eastAsiaTheme="minorEastAsia"/>
                <w:szCs w:val="21"/>
              </w:rPr>
              <w:t xml:space="preserve">GB/T 18102-2007 </w:t>
            </w:r>
            <w:r>
              <w:rPr>
                <w:rFonts w:hint="eastAsia" w:ascii="宋体" w:hAnsi="宋体"/>
                <w:szCs w:val="21"/>
              </w:rPr>
              <w:t>6.3.11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表面耐污染腐蚀</w:t>
            </w:r>
          </w:p>
        </w:tc>
        <w:tc>
          <w:tcPr>
            <w:tcW w:w="2835" w:type="dxa"/>
            <w:vAlign w:val="center"/>
          </w:tcPr>
          <w:p>
            <w:pPr>
              <w:snapToGrid w:val="0"/>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18102-2007</w:t>
            </w:r>
          </w:p>
        </w:tc>
        <w:tc>
          <w:tcPr>
            <w:tcW w:w="3111" w:type="dxa"/>
          </w:tcPr>
          <w:p>
            <w:pPr>
              <w:snapToGrid w:val="0"/>
              <w:spacing w:line="440" w:lineRule="exact"/>
              <w:jc w:val="left"/>
              <w:rPr>
                <w:rFonts w:ascii="宋体" w:hAnsi="宋体"/>
                <w:szCs w:val="21"/>
              </w:rPr>
            </w:pPr>
            <w:r>
              <w:rPr>
                <w:rFonts w:hint="eastAsia" w:ascii="宋体" w:hAnsi="宋体"/>
                <w:szCs w:val="21"/>
              </w:rPr>
              <w:t>GB/T 17657-1999 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410"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2835" w:type="dxa"/>
            <w:vAlign w:val="center"/>
          </w:tcPr>
          <w:p>
            <w:pPr>
              <w:snapToGrid w:val="0"/>
              <w:spacing w:line="320" w:lineRule="exact"/>
              <w:jc w:val="left"/>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 xml:space="preserve"> 18580-2017</w:t>
            </w:r>
          </w:p>
        </w:tc>
        <w:tc>
          <w:tcPr>
            <w:tcW w:w="3111"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4.60</w:t>
            </w:r>
          </w:p>
        </w:tc>
      </w:tr>
    </w:tbl>
    <w:p>
      <w:pPr>
        <w:snapToGrid w:val="0"/>
        <w:spacing w:line="440" w:lineRule="exact"/>
        <w:jc w:val="center"/>
        <w:rPr>
          <w:rFonts w:asciiTheme="minorEastAsia" w:hAnsiTheme="minorEastAsia" w:eastAsiaTheme="minorEastAsia"/>
          <w:szCs w:val="21"/>
        </w:rPr>
      </w:pPr>
    </w:p>
    <w:p>
      <w:pPr>
        <w:spacing w:line="360" w:lineRule="auto"/>
        <w:rPr>
          <w:rFonts w:asciiTheme="minorEastAsia" w:hAnsiTheme="minorEastAsia" w:eastAsiaTheme="minorEastAsia"/>
          <w:b w:val="0"/>
          <w:bCs/>
          <w:szCs w:val="21"/>
        </w:rPr>
      </w:pPr>
      <w:r>
        <w:rPr>
          <w:rFonts w:hint="eastAsia" w:asciiTheme="minorEastAsia" w:hAnsiTheme="minorEastAsia" w:eastAsiaTheme="minorEastAsia"/>
          <w:b w:val="0"/>
          <w:bCs/>
          <w:szCs w:val="21"/>
        </w:rPr>
        <w:t>3判定规则</w:t>
      </w:r>
    </w:p>
    <w:p>
      <w:pPr>
        <w:spacing w:line="360" w:lineRule="auto"/>
        <w:rPr>
          <w:rFonts w:asciiTheme="minorEastAsia" w:hAnsiTheme="minorEastAsia" w:eastAsiaTheme="minorEastAsia"/>
          <w:b w:val="0"/>
          <w:bCs/>
          <w:szCs w:val="21"/>
        </w:rPr>
      </w:pPr>
      <w:r>
        <w:rPr>
          <w:rFonts w:hint="eastAsia" w:asciiTheme="minorEastAsia" w:hAnsiTheme="minorEastAsia" w:eastAsiaTheme="minorEastAsia"/>
          <w:b w:val="0"/>
          <w:bCs/>
          <w:szCs w:val="21"/>
        </w:rPr>
        <w:t>3.1依据标准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18103-2013《实木复合地板》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18102-2007 《浸渍纸层压木质地板》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 18580-2017《室内装饰装修材料 人造板及其制品中甲醛释放限量》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17657-1999《人造板及饰面人造板理化性能试验方法》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15102-2006 《浸渍胶膜纸饰面人造板》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4893.4-1985《家具表面漆膜附着力交叉切割测定法》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15036.2-2009《实木地板　第2部分：检验方法》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现行有效的企业标准及产品明示质量要求</w:t>
      </w:r>
    </w:p>
    <w:p>
      <w:pPr>
        <w:snapToGrid w:val="0"/>
        <w:spacing w:line="360" w:lineRule="auto"/>
        <w:rPr>
          <w:rFonts w:asciiTheme="minorEastAsia" w:hAnsiTheme="minorEastAsia" w:eastAsiaTheme="minorEastAsia"/>
          <w:b w:val="0"/>
          <w:bCs/>
          <w:szCs w:val="21"/>
        </w:rPr>
      </w:pPr>
      <w:r>
        <w:rPr>
          <w:rFonts w:hint="eastAsia" w:asciiTheme="minorEastAsia" w:hAnsiTheme="minorEastAsia" w:eastAsiaTheme="minorEastAsia"/>
          <w:b w:val="0"/>
          <w:bCs/>
          <w:szCs w:val="21"/>
        </w:rPr>
        <w:t>3.2判定原则</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任一个检验项目初检样品不合格时，按产品标准要求进行一次双倍复验，当两个复验样品结果均合格时，判定该项目为合格；反之，判定该项目为不合格。</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经检验，检验项目全部合格，判定为被抽查产品合格；检验项目中任一项或一项以上不合格，判定为被抽查产品不合格。</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若被检产品未明示执行标准、明示过期标准或产品明示标准与实物不符，应按本细则中规定的标准进行检验并判定。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若被检产品明示的质量要求低于或包含细则中检验项目依据的推荐性标准要求时，应以被检产品明示的质量要求判定，但应在检验报告备注中进行说明。</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ascii="宋体" w:hAnsi="宋体"/>
          <w:szCs w:val="21"/>
        </w:rPr>
      </w:pPr>
    </w:p>
    <w:p>
      <w:pPr>
        <w:spacing w:line="360" w:lineRule="auto"/>
        <w:ind w:firstLine="420" w:firstLineChars="200"/>
        <w:rPr>
          <w:rFonts w:asciiTheme="minorEastAsia" w:hAnsiTheme="minorEastAsia" w:eastAsiaTheme="minorEastAsia"/>
          <w:szCs w:val="21"/>
        </w:rPr>
      </w:pPr>
    </w:p>
    <w:sectPr>
      <w:footerReference r:id="rId3" w:type="default"/>
      <w:pgSz w:w="11906" w:h="16838"/>
      <w:pgMar w:top="1417" w:right="1417"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48"/>
    <w:rsid w:val="000062EA"/>
    <w:rsid w:val="00011DA5"/>
    <w:rsid w:val="00014E07"/>
    <w:rsid w:val="00030CFD"/>
    <w:rsid w:val="00034F3D"/>
    <w:rsid w:val="00055C54"/>
    <w:rsid w:val="00064ED0"/>
    <w:rsid w:val="000679D7"/>
    <w:rsid w:val="00081820"/>
    <w:rsid w:val="000C5781"/>
    <w:rsid w:val="000C75FE"/>
    <w:rsid w:val="0012667E"/>
    <w:rsid w:val="001364C7"/>
    <w:rsid w:val="00136DB4"/>
    <w:rsid w:val="00182DA0"/>
    <w:rsid w:val="001B4337"/>
    <w:rsid w:val="001F02C9"/>
    <w:rsid w:val="001F367F"/>
    <w:rsid w:val="00210A6C"/>
    <w:rsid w:val="00230444"/>
    <w:rsid w:val="00232ABF"/>
    <w:rsid w:val="00235F2F"/>
    <w:rsid w:val="0024296C"/>
    <w:rsid w:val="002436A5"/>
    <w:rsid w:val="00245BF4"/>
    <w:rsid w:val="00264D9C"/>
    <w:rsid w:val="00283EFA"/>
    <w:rsid w:val="002901B8"/>
    <w:rsid w:val="002969CC"/>
    <w:rsid w:val="002A036E"/>
    <w:rsid w:val="002E6AFB"/>
    <w:rsid w:val="003114A4"/>
    <w:rsid w:val="003218A0"/>
    <w:rsid w:val="003404C2"/>
    <w:rsid w:val="00376396"/>
    <w:rsid w:val="003E2648"/>
    <w:rsid w:val="00432FE0"/>
    <w:rsid w:val="004421D8"/>
    <w:rsid w:val="00456EEF"/>
    <w:rsid w:val="004907F2"/>
    <w:rsid w:val="004A0950"/>
    <w:rsid w:val="004A3F7E"/>
    <w:rsid w:val="004A74F2"/>
    <w:rsid w:val="004E3859"/>
    <w:rsid w:val="005414C5"/>
    <w:rsid w:val="00571D18"/>
    <w:rsid w:val="005915E5"/>
    <w:rsid w:val="005953D9"/>
    <w:rsid w:val="005A57AD"/>
    <w:rsid w:val="005B294E"/>
    <w:rsid w:val="005C03E9"/>
    <w:rsid w:val="005C70EA"/>
    <w:rsid w:val="005D3766"/>
    <w:rsid w:val="00601A2A"/>
    <w:rsid w:val="006450FE"/>
    <w:rsid w:val="0066758D"/>
    <w:rsid w:val="006909AC"/>
    <w:rsid w:val="006C62EB"/>
    <w:rsid w:val="006E59E9"/>
    <w:rsid w:val="00704C03"/>
    <w:rsid w:val="007101CF"/>
    <w:rsid w:val="007273BE"/>
    <w:rsid w:val="00734A6D"/>
    <w:rsid w:val="00741E27"/>
    <w:rsid w:val="00742277"/>
    <w:rsid w:val="00767548"/>
    <w:rsid w:val="00790D8D"/>
    <w:rsid w:val="007A7558"/>
    <w:rsid w:val="007B0EA1"/>
    <w:rsid w:val="007B3F0B"/>
    <w:rsid w:val="007D28AE"/>
    <w:rsid w:val="007F3633"/>
    <w:rsid w:val="007F3929"/>
    <w:rsid w:val="008050C5"/>
    <w:rsid w:val="0080693B"/>
    <w:rsid w:val="00823100"/>
    <w:rsid w:val="00832EE3"/>
    <w:rsid w:val="00851856"/>
    <w:rsid w:val="00857BA6"/>
    <w:rsid w:val="00897281"/>
    <w:rsid w:val="008A42BA"/>
    <w:rsid w:val="008B5F33"/>
    <w:rsid w:val="008D1F1D"/>
    <w:rsid w:val="008D4D0B"/>
    <w:rsid w:val="008E2EAB"/>
    <w:rsid w:val="0090258B"/>
    <w:rsid w:val="00930E3F"/>
    <w:rsid w:val="00950AAB"/>
    <w:rsid w:val="00963AC7"/>
    <w:rsid w:val="00987099"/>
    <w:rsid w:val="00A22954"/>
    <w:rsid w:val="00A35E20"/>
    <w:rsid w:val="00A445E1"/>
    <w:rsid w:val="00A603C1"/>
    <w:rsid w:val="00A670DF"/>
    <w:rsid w:val="00A73E4C"/>
    <w:rsid w:val="00AB467D"/>
    <w:rsid w:val="00AB49BC"/>
    <w:rsid w:val="00AE70A7"/>
    <w:rsid w:val="00AE7FEE"/>
    <w:rsid w:val="00AF62AD"/>
    <w:rsid w:val="00B13516"/>
    <w:rsid w:val="00B23ED5"/>
    <w:rsid w:val="00B32C7A"/>
    <w:rsid w:val="00B4435F"/>
    <w:rsid w:val="00B77224"/>
    <w:rsid w:val="00BA2FBF"/>
    <w:rsid w:val="00BA3EFD"/>
    <w:rsid w:val="00BC7D52"/>
    <w:rsid w:val="00BF528A"/>
    <w:rsid w:val="00C35942"/>
    <w:rsid w:val="00C44B9D"/>
    <w:rsid w:val="00C46AB8"/>
    <w:rsid w:val="00C5750B"/>
    <w:rsid w:val="00C73C1F"/>
    <w:rsid w:val="00CA3AD6"/>
    <w:rsid w:val="00CC7181"/>
    <w:rsid w:val="00CD062E"/>
    <w:rsid w:val="00CD5785"/>
    <w:rsid w:val="00CE5173"/>
    <w:rsid w:val="00D04760"/>
    <w:rsid w:val="00DD0A55"/>
    <w:rsid w:val="00DD57C9"/>
    <w:rsid w:val="00DE2821"/>
    <w:rsid w:val="00DE3A5B"/>
    <w:rsid w:val="00DE5908"/>
    <w:rsid w:val="00E067AF"/>
    <w:rsid w:val="00E142B4"/>
    <w:rsid w:val="00E82EF2"/>
    <w:rsid w:val="00ED28E5"/>
    <w:rsid w:val="00EE17F8"/>
    <w:rsid w:val="00F0181D"/>
    <w:rsid w:val="00F9176F"/>
    <w:rsid w:val="00FA322D"/>
    <w:rsid w:val="00FD21E0"/>
    <w:rsid w:val="00FE56A8"/>
    <w:rsid w:val="00FE63E6"/>
    <w:rsid w:val="0173537A"/>
    <w:rsid w:val="02BC0FCC"/>
    <w:rsid w:val="08541E62"/>
    <w:rsid w:val="0CEE6FBC"/>
    <w:rsid w:val="1C695F5E"/>
    <w:rsid w:val="29360A6C"/>
    <w:rsid w:val="2B673B22"/>
    <w:rsid w:val="2B834F6E"/>
    <w:rsid w:val="2D4B4273"/>
    <w:rsid w:val="318D7A85"/>
    <w:rsid w:val="34A755B0"/>
    <w:rsid w:val="4A4E296F"/>
    <w:rsid w:val="4C595F3B"/>
    <w:rsid w:val="52DE5F7F"/>
    <w:rsid w:val="68C94BE0"/>
    <w:rsid w:val="71063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0A547-C28A-4516-8FEF-38B0D64DC9AD}">
  <ds:schemaRefs/>
</ds:datastoreItem>
</file>

<file path=docProps/app.xml><?xml version="1.0" encoding="utf-8"?>
<Properties xmlns="http://schemas.openxmlformats.org/officeDocument/2006/extended-properties" xmlns:vt="http://schemas.openxmlformats.org/officeDocument/2006/docPropsVTypes">
  <Template>Normal</Template>
  <Pages>2</Pages>
  <Words>234</Words>
  <Characters>1334</Characters>
  <Lines>11</Lines>
  <Paragraphs>3</Paragraphs>
  <TotalTime>5</TotalTime>
  <ScaleCrop>false</ScaleCrop>
  <LinksUpToDate>false</LinksUpToDate>
  <CharactersWithSpaces>1565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2020-03-30T10:19:00Z</dcterms:created>
  <dc:creator>关社军</dc:creator>
  <cp:lastModifiedBy>随曲就伸</cp:lastModifiedBy>
  <dcterms:modified xsi:type="dcterms:W3CDTF">2020-04-24T01:17:20Z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