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120" w:afterLines="50" w:line="240" w:lineRule="auto"/>
        <w:jc w:val="center"/>
        <w:rPr>
          <w:rFonts w:hint="eastAsia" w:ascii="方正小标宋简体" w:eastAsia="方正小标宋简体" w:hAnsiTheme="minorHAnsi" w:cstheme="minorBidi"/>
          <w:kern w:val="2"/>
          <w:sz w:val="44"/>
          <w:szCs w:val="44"/>
          <w:lang w:val="en-US" w:eastAsia="zh-CN" w:bidi="ar-SA"/>
        </w:rPr>
      </w:pPr>
      <w:bookmarkStart w:id="447" w:name="_GoBack"/>
      <w:bookmarkEnd w:id="447"/>
      <w:r>
        <w:rPr>
          <w:rFonts w:hint="eastAsia" w:ascii="方正小标宋简体" w:eastAsia="方正小标宋简体" w:hAnsiTheme="minorHAnsi" w:cstheme="minorBidi"/>
          <w:kern w:val="2"/>
          <w:sz w:val="44"/>
          <w:szCs w:val="44"/>
          <w:lang w:val="en-US" w:eastAsia="zh-CN" w:bidi="ar-SA"/>
        </w:rPr>
        <w:t>陕西省特种设备隐患排查清单</w:t>
      </w:r>
    </w:p>
    <w:p>
      <w:pPr>
        <w:pStyle w:val="14"/>
        <w:snapToGrid w:val="0"/>
        <w:spacing w:after="120" w:afterLines="50" w:line="240" w:lineRule="auto"/>
        <w:jc w:val="center"/>
        <w:rPr>
          <w:rFonts w:hint="eastAsia" w:ascii="方正小标宋简体" w:eastAsia="方正小标宋简体" w:hAnsiTheme="minorHAnsi" w:cstheme="minorBidi"/>
          <w:kern w:val="2"/>
          <w:sz w:val="44"/>
          <w:szCs w:val="44"/>
          <w:lang w:val="en-US" w:eastAsia="zh-CN" w:bidi="ar-SA"/>
        </w:rPr>
      </w:pPr>
      <w:r>
        <w:rPr>
          <w:rFonts w:hint="eastAsia" w:ascii="方正小标宋简体" w:eastAsia="方正小标宋简体" w:hAnsiTheme="minorHAnsi" w:cstheme="minorBidi"/>
          <w:kern w:val="2"/>
          <w:sz w:val="44"/>
          <w:szCs w:val="44"/>
          <w:lang w:val="en-US" w:eastAsia="zh-CN" w:bidi="ar-SA"/>
        </w:rPr>
        <w:t>（2021）</w:t>
      </w:r>
    </w:p>
    <w:p>
      <w:pPr>
        <w:pStyle w:val="14"/>
        <w:snapToGrid w:val="0"/>
        <w:spacing w:after="120" w:afterLines="50" w:line="240" w:lineRule="auto"/>
        <w:jc w:val="center"/>
        <w:rPr>
          <w:rFonts w:ascii="黑体" w:hAnsi="黑体" w:eastAsia="黑体"/>
          <w:b/>
          <w:color w:val="auto"/>
          <w:sz w:val="21"/>
          <w:szCs w:val="21"/>
        </w:rPr>
      </w:pP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表A.1  特种设备隐患排查治理—通用表格</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表A.2  特种设备隐患排查清单—使用管理通用要求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  特种设备隐患排查清单—锅炉专项要求（新锅规）</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表B.2  特种设备隐患排查清单—固定式压力容器专项要求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表B.3  特种设备隐患排查清单—移动式压力容器专项要求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表B.4  特种设备隐患排查清单—移动式压力容器(装卸)专项要求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表B.5  特种设备隐患排查清单—氧舱专项要求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表B.6  特种设备隐患排查清单—气瓶充装专项要求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表B.7  特种设备隐患排查清单—工业管道专项要求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表B.8  特种设备隐患排查清单—公用管道专项要求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表B.9  特种设备隐患排查清单—长输管道专项要求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表B.10 特种设备隐患排查清单—电梯专项要求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表B.11  特种设备隐患排查清单—起重机械专项要求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表B.12  特种设备隐患排查清单—客运索道专项要求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表B.13  特种设备隐患排查清单—大型游乐设施专项要求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r>
        <w:rPr>
          <w:rFonts w:hint="eastAsia" w:ascii="楷体_GB2312" w:eastAsia="楷体_GB2312" w:hAnsiTheme="minorHAnsi" w:cstheme="minorBidi"/>
          <w:kern w:val="2"/>
          <w:sz w:val="32"/>
          <w:szCs w:val="32"/>
          <w:lang w:val="en-US" w:eastAsia="zh-CN" w:bidi="ar-SA"/>
        </w:rPr>
        <w:t>表B.14  特种设备隐患排查清单—场（厂）内专用机动车辆专项要求</w:t>
      </w: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楷体_GB2312" w:eastAsia="楷体_GB2312" w:hAnsiTheme="minorHAnsi" w:cstheme="minorBidi"/>
          <w:kern w:val="2"/>
          <w:sz w:val="32"/>
          <w:szCs w:val="32"/>
          <w:lang w:val="en-US" w:eastAsia="zh-CN" w:bidi="ar-SA"/>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rPr>
      </w:pPr>
    </w:p>
    <w:p>
      <w:pPr>
        <w:pStyle w:val="14"/>
        <w:snapToGrid w:val="0"/>
        <w:spacing w:after="120" w:afterLines="50" w:line="240" w:lineRule="auto"/>
        <w:jc w:val="center"/>
        <w:rPr>
          <w:rFonts w:ascii="黑体" w:hAnsi="黑体" w:eastAsia="黑体"/>
          <w:b/>
          <w:color w:val="auto"/>
          <w:sz w:val="21"/>
          <w:szCs w:val="21"/>
          <w:lang w:eastAsia="zh-CN"/>
        </w:rPr>
      </w:pPr>
      <w:r>
        <w:rPr>
          <w:rFonts w:ascii="黑体" w:hAnsi="黑体" w:eastAsia="黑体"/>
          <w:b/>
          <w:color w:val="auto"/>
          <w:sz w:val="21"/>
          <w:szCs w:val="21"/>
        </w:rPr>
        <w:t>表</w:t>
      </w:r>
      <w:r>
        <w:rPr>
          <w:rFonts w:ascii="黑体" w:hAnsi="黑体" w:eastAsia="黑体" w:cs="Times New Roman"/>
          <w:b/>
          <w:color w:val="auto"/>
          <w:sz w:val="21"/>
          <w:szCs w:val="21"/>
          <w:lang w:val="en-US" w:eastAsia="zh-CN" w:bidi="en-US"/>
        </w:rPr>
        <w:t>A.1</w:t>
      </w:r>
      <w:r>
        <w:rPr>
          <w:rFonts w:hint="eastAsia" w:ascii="黑体" w:hAnsi="黑体" w:eastAsia="黑体" w:cs="Times New Roman"/>
          <w:b/>
          <w:color w:val="auto"/>
          <w:sz w:val="21"/>
          <w:szCs w:val="21"/>
          <w:lang w:val="en-US" w:eastAsia="zh-CN" w:bidi="en-US"/>
        </w:rPr>
        <w:t xml:space="preserve">  </w:t>
      </w:r>
      <w:r>
        <w:rPr>
          <w:rFonts w:hint="eastAsia" w:ascii="黑体" w:hAnsi="黑体" w:eastAsia="黑体"/>
          <w:b/>
          <w:color w:val="auto"/>
          <w:sz w:val="21"/>
          <w:szCs w:val="21"/>
        </w:rPr>
        <w:t>特种设备隐患排查</w:t>
      </w:r>
      <w:r>
        <w:rPr>
          <w:rFonts w:hint="eastAsia" w:ascii="黑体" w:hAnsi="黑体" w:eastAsia="黑体"/>
          <w:b/>
          <w:color w:val="auto"/>
          <w:sz w:val="21"/>
          <w:szCs w:val="21"/>
          <w:lang w:eastAsia="zh-CN"/>
        </w:rPr>
        <w:t>治理</w:t>
      </w:r>
      <w:r>
        <w:rPr>
          <w:rFonts w:hint="eastAsia" w:ascii="黑体" w:hAnsi="黑体" w:eastAsia="黑体"/>
          <w:b/>
          <w:color w:val="auto"/>
          <w:sz w:val="21"/>
          <w:szCs w:val="21"/>
          <w:lang w:val="en-US" w:eastAsia="zh-CN"/>
        </w:rPr>
        <w:t>-通用表格（</w:t>
      </w:r>
      <w:r>
        <w:rPr>
          <w:rFonts w:hint="eastAsia" w:ascii="黑体" w:hAnsi="黑体" w:eastAsia="黑体"/>
          <w:b/>
          <w:color w:val="auto"/>
          <w:sz w:val="21"/>
          <w:szCs w:val="21"/>
          <w:lang w:eastAsia="zh-CN"/>
        </w:rPr>
        <w:t>记录表格式</w:t>
      </w:r>
      <w:r>
        <w:rPr>
          <w:rFonts w:hint="eastAsia" w:ascii="黑体" w:hAnsi="黑体" w:eastAsia="黑体"/>
          <w:b/>
          <w:color w:val="auto"/>
          <w:sz w:val="21"/>
          <w:szCs w:val="21"/>
          <w:lang w:val="en-US" w:eastAsia="zh-CN"/>
        </w:rPr>
        <w:t>）</w:t>
      </w:r>
    </w:p>
    <w:p>
      <w:pPr>
        <w:pStyle w:val="14"/>
        <w:snapToGrid w:val="0"/>
        <w:spacing w:line="240" w:lineRule="auto"/>
        <w:jc w:val="center"/>
        <w:rPr>
          <w:rFonts w:hint="eastAsia" w:ascii="黑体" w:hAnsi="黑体" w:eastAsia="黑体"/>
          <w:b/>
          <w:color w:val="auto"/>
          <w:sz w:val="21"/>
          <w:szCs w:val="21"/>
          <w:lang w:eastAsia="zh-CN"/>
        </w:rPr>
      </w:pPr>
      <w:r>
        <w:rPr>
          <w:rFonts w:hint="eastAsia" w:ascii="黑体" w:hAnsi="黑体" w:eastAsia="黑体"/>
          <w:b/>
          <w:color w:val="auto"/>
          <w:sz w:val="21"/>
          <w:szCs w:val="21"/>
          <w:lang w:eastAsia="zh-CN"/>
        </w:rPr>
        <w:t>特种设备隐患排查记录表格式</w:t>
      </w:r>
    </w:p>
    <w:p>
      <w:pPr>
        <w:pStyle w:val="14"/>
        <w:snapToGrid w:val="0"/>
        <w:spacing w:line="240" w:lineRule="auto"/>
        <w:rPr>
          <w:color w:val="auto"/>
          <w:sz w:val="18"/>
          <w:szCs w:val="18"/>
          <w:lang w:eastAsia="zh-CN"/>
        </w:rPr>
      </w:pPr>
    </w:p>
    <w:p>
      <w:pPr>
        <w:pStyle w:val="14"/>
        <w:snapToGrid w:val="0"/>
        <w:spacing w:line="240" w:lineRule="auto"/>
        <w:rPr>
          <w:rFonts w:hint="eastAsia"/>
          <w:color w:val="auto"/>
          <w:sz w:val="18"/>
          <w:szCs w:val="18"/>
          <w:lang w:eastAsia="zh-CN"/>
        </w:rPr>
      </w:pPr>
      <w:r>
        <w:rPr>
          <w:rFonts w:hint="eastAsia"/>
          <w:color w:val="auto"/>
          <w:sz w:val="18"/>
          <w:szCs w:val="18"/>
          <w:lang w:eastAsia="zh-CN"/>
        </w:rPr>
        <w:t>文件编号：                                                                     记录编号：</w:t>
      </w:r>
    </w:p>
    <w:p>
      <w:pPr>
        <w:pStyle w:val="14"/>
        <w:snapToGrid w:val="0"/>
        <w:spacing w:line="240" w:lineRule="auto"/>
        <w:jc w:val="right"/>
        <w:rPr>
          <w:rFonts w:hint="eastAsia"/>
          <w:color w:val="auto"/>
          <w:sz w:val="18"/>
          <w:szCs w:val="18"/>
          <w:lang w:eastAsia="zh-CN"/>
        </w:rPr>
      </w:pPr>
      <w:r>
        <w:rPr>
          <w:rFonts w:hint="eastAsia"/>
          <w:color w:val="auto"/>
          <w:sz w:val="18"/>
          <w:szCs w:val="18"/>
          <w:lang w:eastAsia="zh-CN"/>
        </w:rPr>
        <w:t>第    页</w:t>
      </w:r>
    </w:p>
    <w:p>
      <w:pPr>
        <w:pStyle w:val="14"/>
        <w:snapToGrid w:val="0"/>
        <w:spacing w:line="240" w:lineRule="auto"/>
        <w:rPr>
          <w:rFonts w:ascii="Times New Roman" w:hAnsi="Times New Roman" w:cs="Times New Roman"/>
          <w:color w:val="auto"/>
          <w:sz w:val="18"/>
          <w:szCs w:val="18"/>
          <w:vertAlign w:val="subscript"/>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7"/>
        <w:gridCol w:w="146"/>
        <w:gridCol w:w="910"/>
        <w:gridCol w:w="1165"/>
        <w:gridCol w:w="1030"/>
        <w:gridCol w:w="1937"/>
        <w:gridCol w:w="1418"/>
        <w:gridCol w:w="1664"/>
      </w:tblGrid>
      <w:tr>
        <w:trPr>
          <w:trHeight w:val="818" w:hRule="atLeast"/>
        </w:trPr>
        <w:tc>
          <w:tcPr>
            <w:tcW w:w="147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单位名称</w:t>
            </w:r>
          </w:p>
        </w:tc>
        <w:tc>
          <w:tcPr>
            <w:tcW w:w="3251" w:type="dxa"/>
            <w:gridSpan w:val="4"/>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隐患排查责任人</w:t>
            </w:r>
          </w:p>
        </w:tc>
        <w:tc>
          <w:tcPr>
            <w:tcW w:w="3082" w:type="dxa"/>
            <w:gridSpan w:val="2"/>
            <w:noWrap w:val="0"/>
            <w:vAlign w:val="center"/>
          </w:tcPr>
          <w:p>
            <w:pPr>
              <w:widowControl/>
              <w:snapToGrid w:val="0"/>
              <w:jc w:val="center"/>
              <w:rPr>
                <w:rFonts w:ascii="Calibri" w:hAnsi="Calibri"/>
                <w:color w:val="auto"/>
                <w:kern w:val="2"/>
                <w:sz w:val="18"/>
                <w:szCs w:val="18"/>
                <w:lang w:eastAsia="zh-CN" w:bidi="ar-SA"/>
              </w:rPr>
            </w:pPr>
          </w:p>
        </w:tc>
      </w:tr>
      <w:tr>
        <w:trPr>
          <w:trHeight w:val="687" w:hRule="atLeast"/>
        </w:trPr>
        <w:tc>
          <w:tcPr>
            <w:tcW w:w="147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设备种类</w:t>
            </w:r>
          </w:p>
        </w:tc>
        <w:tc>
          <w:tcPr>
            <w:tcW w:w="3251" w:type="dxa"/>
            <w:gridSpan w:val="4"/>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设备类别</w:t>
            </w:r>
          </w:p>
        </w:tc>
        <w:tc>
          <w:tcPr>
            <w:tcW w:w="3082" w:type="dxa"/>
            <w:gridSpan w:val="2"/>
            <w:noWrap w:val="0"/>
            <w:vAlign w:val="center"/>
          </w:tcPr>
          <w:p>
            <w:pPr>
              <w:widowControl/>
              <w:snapToGrid w:val="0"/>
              <w:jc w:val="center"/>
              <w:rPr>
                <w:rFonts w:ascii="Calibri" w:hAnsi="Calibri"/>
                <w:color w:val="auto"/>
                <w:kern w:val="2"/>
                <w:sz w:val="18"/>
                <w:szCs w:val="18"/>
                <w:lang w:eastAsia="zh-CN" w:bidi="ar-SA"/>
              </w:rPr>
            </w:pPr>
          </w:p>
        </w:tc>
      </w:tr>
      <w:tr>
        <w:trPr>
          <w:trHeight w:val="697" w:hRule="atLeast"/>
        </w:trPr>
        <w:tc>
          <w:tcPr>
            <w:tcW w:w="147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设备品种</w:t>
            </w:r>
          </w:p>
        </w:tc>
        <w:tc>
          <w:tcPr>
            <w:tcW w:w="3251" w:type="dxa"/>
            <w:gridSpan w:val="4"/>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排查设备数量</w:t>
            </w:r>
          </w:p>
        </w:tc>
        <w:tc>
          <w:tcPr>
            <w:tcW w:w="3082" w:type="dxa"/>
            <w:gridSpan w:val="2"/>
            <w:noWrap w:val="0"/>
            <w:vAlign w:val="center"/>
          </w:tcPr>
          <w:p>
            <w:pPr>
              <w:widowControl/>
              <w:snapToGrid w:val="0"/>
              <w:jc w:val="center"/>
              <w:rPr>
                <w:rFonts w:ascii="Calibri" w:hAnsi="Calibri"/>
                <w:color w:val="auto"/>
                <w:kern w:val="2"/>
                <w:sz w:val="18"/>
                <w:szCs w:val="18"/>
                <w:lang w:eastAsia="zh-CN" w:bidi="ar-SA"/>
              </w:rPr>
            </w:pPr>
          </w:p>
        </w:tc>
      </w:tr>
      <w:tr>
        <w:trPr>
          <w:trHeight w:val="551" w:hRule="atLeast"/>
        </w:trPr>
        <w:tc>
          <w:tcPr>
            <w:tcW w:w="1477" w:type="dxa"/>
            <w:vMerge w:val="restart"/>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排查内容</w:t>
            </w:r>
          </w:p>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（排查途径）</w:t>
            </w:r>
          </w:p>
        </w:tc>
        <w:tc>
          <w:tcPr>
            <w:tcW w:w="2221" w:type="dxa"/>
            <w:gridSpan w:val="3"/>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排查依据</w:t>
            </w:r>
          </w:p>
        </w:tc>
        <w:tc>
          <w:tcPr>
            <w:tcW w:w="2967" w:type="dxa"/>
            <w:gridSpan w:val="2"/>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排查结果</w:t>
            </w:r>
          </w:p>
        </w:tc>
        <w:tc>
          <w:tcPr>
            <w:tcW w:w="1418" w:type="dxa"/>
            <w:vMerge w:val="restart"/>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排查人</w:t>
            </w:r>
          </w:p>
        </w:tc>
        <w:tc>
          <w:tcPr>
            <w:tcW w:w="1664" w:type="dxa"/>
            <w:vMerge w:val="restart"/>
            <w:noWrap w:val="0"/>
            <w:vAlign w:val="center"/>
          </w:tcPr>
          <w:p>
            <w:pPr>
              <w:widowControl/>
              <w:snapToGrid w:val="0"/>
              <w:jc w:val="center"/>
              <w:rPr>
                <w:rFonts w:ascii="Calibri" w:hAnsi="Calibri" w:eastAsia="宋体"/>
                <w:color w:val="auto"/>
                <w:kern w:val="2"/>
                <w:sz w:val="18"/>
                <w:szCs w:val="18"/>
                <w:lang w:eastAsia="zh-CN" w:bidi="ar-SA"/>
              </w:rPr>
            </w:pPr>
            <w:r>
              <w:rPr>
                <w:rFonts w:hint="eastAsia" w:ascii="宋体" w:hAnsi="宋体" w:eastAsia="宋体" w:cs="宋体"/>
                <w:color w:val="auto"/>
                <w:kern w:val="2"/>
                <w:sz w:val="18"/>
                <w:szCs w:val="18"/>
                <w:lang w:eastAsia="zh-CN" w:bidi="ar-SA"/>
              </w:rPr>
              <w:t>排查日</w:t>
            </w:r>
            <w:r>
              <w:rPr>
                <w:rFonts w:hint="eastAsia" w:ascii="Calibri" w:hAnsi="Calibri" w:eastAsia="宋体"/>
                <w:color w:val="auto"/>
                <w:kern w:val="2"/>
                <w:sz w:val="18"/>
                <w:szCs w:val="18"/>
                <w:lang w:eastAsia="zh-CN" w:bidi="ar-SA"/>
              </w:rPr>
              <w:t>期</w:t>
            </w:r>
          </w:p>
        </w:tc>
      </w:tr>
      <w:tr>
        <w:trPr>
          <w:trHeight w:val="431" w:hRule="atLeast"/>
        </w:trPr>
        <w:tc>
          <w:tcPr>
            <w:tcW w:w="1477" w:type="dxa"/>
            <w:vMerge w:val="continue"/>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vMerge w:val="restart"/>
            <w:noWrap w:val="0"/>
            <w:vAlign w:val="center"/>
          </w:tcPr>
          <w:p>
            <w:pPr>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法规标准</w:t>
            </w:r>
          </w:p>
        </w:tc>
        <w:tc>
          <w:tcPr>
            <w:tcW w:w="1165" w:type="dxa"/>
            <w:vMerge w:val="restart"/>
            <w:noWrap w:val="0"/>
            <w:vAlign w:val="center"/>
          </w:tcPr>
          <w:p>
            <w:pPr>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适用条款</w:t>
            </w:r>
          </w:p>
        </w:tc>
        <w:tc>
          <w:tcPr>
            <w:tcW w:w="1030"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符合</w:t>
            </w:r>
          </w:p>
        </w:tc>
        <w:tc>
          <w:tcPr>
            <w:tcW w:w="1937"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不符合</w:t>
            </w:r>
          </w:p>
        </w:tc>
        <w:tc>
          <w:tcPr>
            <w:tcW w:w="1418" w:type="dxa"/>
            <w:vMerge w:val="continue"/>
            <w:noWrap w:val="0"/>
            <w:vAlign w:val="center"/>
          </w:tcPr>
          <w:p>
            <w:pPr>
              <w:widowControl/>
              <w:snapToGrid w:val="0"/>
              <w:jc w:val="center"/>
              <w:rPr>
                <w:rFonts w:ascii="Calibri" w:hAnsi="Calibri"/>
                <w:color w:val="auto"/>
                <w:kern w:val="2"/>
                <w:sz w:val="18"/>
                <w:szCs w:val="18"/>
                <w:lang w:eastAsia="zh-CN" w:bidi="ar-SA"/>
              </w:rPr>
            </w:pPr>
          </w:p>
        </w:tc>
        <w:tc>
          <w:tcPr>
            <w:tcW w:w="1664" w:type="dxa"/>
            <w:vMerge w:val="continue"/>
            <w:noWrap w:val="0"/>
            <w:vAlign w:val="center"/>
          </w:tcPr>
          <w:p>
            <w:pPr>
              <w:widowControl/>
              <w:snapToGrid w:val="0"/>
              <w:jc w:val="center"/>
              <w:rPr>
                <w:rFonts w:ascii="Calibri" w:hAnsi="Calibri"/>
                <w:color w:val="auto"/>
                <w:kern w:val="2"/>
                <w:sz w:val="18"/>
                <w:szCs w:val="18"/>
                <w:lang w:eastAsia="zh-CN" w:bidi="ar-SA"/>
              </w:rPr>
            </w:pPr>
          </w:p>
        </w:tc>
      </w:tr>
      <w:tr>
        <w:trPr>
          <w:trHeight w:val="578" w:hRule="atLeast"/>
        </w:trPr>
        <w:tc>
          <w:tcPr>
            <w:tcW w:w="1477" w:type="dxa"/>
            <w:vMerge w:val="continue"/>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vMerge w:val="continue"/>
            <w:noWrap w:val="0"/>
            <w:vAlign w:val="center"/>
          </w:tcPr>
          <w:p>
            <w:pPr>
              <w:widowControl/>
              <w:snapToGrid w:val="0"/>
              <w:jc w:val="center"/>
              <w:rPr>
                <w:rFonts w:ascii="Calibri" w:hAnsi="Calibri"/>
                <w:color w:val="auto"/>
                <w:kern w:val="2"/>
                <w:sz w:val="18"/>
                <w:szCs w:val="18"/>
                <w:lang w:eastAsia="zh-CN" w:bidi="ar-SA"/>
              </w:rPr>
            </w:pPr>
          </w:p>
        </w:tc>
        <w:tc>
          <w:tcPr>
            <w:tcW w:w="1165" w:type="dxa"/>
            <w:vMerge w:val="continue"/>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打</w:t>
            </w:r>
            <w:r>
              <w:rPr>
                <w:rFonts w:ascii="Calibri" w:hAnsi="Calibri" w:cs="Calibri"/>
                <w:color w:val="auto"/>
                <w:kern w:val="2"/>
                <w:sz w:val="18"/>
                <w:szCs w:val="18"/>
                <w:lang w:eastAsia="zh-CN" w:bidi="ar-SA"/>
              </w:rPr>
              <w:t>√</w:t>
            </w:r>
          </w:p>
        </w:tc>
        <w:tc>
          <w:tcPr>
            <w:tcW w:w="1937" w:type="dxa"/>
            <w:noWrap w:val="0"/>
            <w:vAlign w:val="center"/>
          </w:tcPr>
          <w:p>
            <w:pPr>
              <w:widowControl/>
              <w:snapToGrid w:val="0"/>
              <w:jc w:val="center"/>
              <w:rPr>
                <w:rFonts w:ascii="Calibri" w:hAnsi="Calibri" w:eastAsia="宋体"/>
                <w:color w:val="auto"/>
                <w:kern w:val="2"/>
                <w:sz w:val="18"/>
                <w:szCs w:val="18"/>
                <w:lang w:eastAsia="zh-CN" w:bidi="ar-SA"/>
              </w:rPr>
            </w:pPr>
            <w:r>
              <w:rPr>
                <w:rFonts w:hint="eastAsia" w:ascii="宋体" w:hAnsi="宋体" w:eastAsia="宋体" w:cs="宋体"/>
                <w:color w:val="auto"/>
                <w:kern w:val="2"/>
                <w:sz w:val="18"/>
                <w:szCs w:val="18"/>
                <w:lang w:eastAsia="zh-CN" w:bidi="ar-SA"/>
              </w:rPr>
              <w:t>隐患排查治理</w:t>
            </w:r>
          </w:p>
          <w:p>
            <w:pPr>
              <w:widowControl/>
              <w:snapToGrid w:val="0"/>
              <w:jc w:val="center"/>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记录表编号</w:t>
            </w:r>
          </w:p>
        </w:tc>
        <w:tc>
          <w:tcPr>
            <w:tcW w:w="1418" w:type="dxa"/>
            <w:vMerge w:val="continue"/>
            <w:noWrap w:val="0"/>
            <w:vAlign w:val="center"/>
          </w:tcPr>
          <w:p>
            <w:pPr>
              <w:widowControl/>
              <w:snapToGrid w:val="0"/>
              <w:jc w:val="center"/>
              <w:rPr>
                <w:rFonts w:ascii="Calibri" w:hAnsi="Calibri"/>
                <w:color w:val="auto"/>
                <w:kern w:val="2"/>
                <w:sz w:val="18"/>
                <w:szCs w:val="18"/>
                <w:lang w:eastAsia="zh-CN" w:bidi="ar-SA"/>
              </w:rPr>
            </w:pPr>
          </w:p>
        </w:tc>
        <w:tc>
          <w:tcPr>
            <w:tcW w:w="1664" w:type="dxa"/>
            <w:vMerge w:val="continue"/>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567" w:hRule="exact"/>
        </w:trPr>
        <w:tc>
          <w:tcPr>
            <w:tcW w:w="1477" w:type="dxa"/>
            <w:noWrap w:val="0"/>
            <w:vAlign w:val="center"/>
          </w:tcPr>
          <w:p>
            <w:pPr>
              <w:widowControl/>
              <w:snapToGrid w:val="0"/>
              <w:jc w:val="center"/>
              <w:rPr>
                <w:rFonts w:ascii="Calibri" w:hAnsi="Calibri"/>
                <w:color w:val="auto"/>
                <w:kern w:val="2"/>
                <w:sz w:val="18"/>
                <w:szCs w:val="18"/>
                <w:lang w:eastAsia="zh-CN" w:bidi="ar-SA"/>
              </w:rPr>
            </w:pPr>
          </w:p>
        </w:tc>
        <w:tc>
          <w:tcPr>
            <w:tcW w:w="1056" w:type="dxa"/>
            <w:gridSpan w:val="2"/>
            <w:noWrap w:val="0"/>
            <w:vAlign w:val="center"/>
          </w:tcPr>
          <w:p>
            <w:pPr>
              <w:widowControl/>
              <w:snapToGrid w:val="0"/>
              <w:jc w:val="center"/>
              <w:rPr>
                <w:rFonts w:ascii="Calibri" w:hAnsi="Calibri"/>
                <w:color w:val="auto"/>
                <w:kern w:val="2"/>
                <w:sz w:val="18"/>
                <w:szCs w:val="18"/>
                <w:lang w:eastAsia="zh-CN" w:bidi="ar-SA"/>
              </w:rPr>
            </w:pPr>
          </w:p>
        </w:tc>
        <w:tc>
          <w:tcPr>
            <w:tcW w:w="1165" w:type="dxa"/>
            <w:noWrap w:val="0"/>
            <w:vAlign w:val="center"/>
          </w:tcPr>
          <w:p>
            <w:pPr>
              <w:widowControl/>
              <w:snapToGrid w:val="0"/>
              <w:jc w:val="center"/>
              <w:rPr>
                <w:rFonts w:ascii="Calibri" w:hAnsi="Calibri"/>
                <w:color w:val="auto"/>
                <w:kern w:val="2"/>
                <w:sz w:val="18"/>
                <w:szCs w:val="18"/>
                <w:lang w:eastAsia="zh-CN" w:bidi="ar-SA"/>
              </w:rPr>
            </w:pPr>
          </w:p>
        </w:tc>
        <w:tc>
          <w:tcPr>
            <w:tcW w:w="1030" w:type="dxa"/>
            <w:noWrap w:val="0"/>
            <w:vAlign w:val="center"/>
          </w:tcPr>
          <w:p>
            <w:pPr>
              <w:widowControl/>
              <w:snapToGrid w:val="0"/>
              <w:jc w:val="center"/>
              <w:rPr>
                <w:rFonts w:ascii="Calibri" w:hAnsi="Calibri"/>
                <w:color w:val="auto"/>
                <w:kern w:val="2"/>
                <w:sz w:val="18"/>
                <w:szCs w:val="18"/>
                <w:lang w:eastAsia="zh-CN" w:bidi="ar-SA"/>
              </w:rPr>
            </w:pPr>
          </w:p>
        </w:tc>
        <w:tc>
          <w:tcPr>
            <w:tcW w:w="1937" w:type="dxa"/>
            <w:noWrap w:val="0"/>
            <w:vAlign w:val="center"/>
          </w:tcPr>
          <w:p>
            <w:pPr>
              <w:widowControl/>
              <w:snapToGrid w:val="0"/>
              <w:jc w:val="center"/>
              <w:rPr>
                <w:rFonts w:ascii="Calibri" w:hAnsi="Calibri"/>
                <w:color w:val="auto"/>
                <w:kern w:val="2"/>
                <w:sz w:val="18"/>
                <w:szCs w:val="18"/>
                <w:lang w:eastAsia="zh-CN" w:bidi="ar-SA"/>
              </w:rPr>
            </w:pPr>
          </w:p>
        </w:tc>
        <w:tc>
          <w:tcPr>
            <w:tcW w:w="1418" w:type="dxa"/>
            <w:noWrap w:val="0"/>
            <w:vAlign w:val="center"/>
          </w:tcPr>
          <w:p>
            <w:pPr>
              <w:widowControl/>
              <w:snapToGrid w:val="0"/>
              <w:jc w:val="center"/>
              <w:rPr>
                <w:rFonts w:ascii="Calibri" w:hAnsi="Calibri"/>
                <w:color w:val="auto"/>
                <w:kern w:val="2"/>
                <w:sz w:val="18"/>
                <w:szCs w:val="18"/>
                <w:lang w:eastAsia="zh-CN" w:bidi="ar-SA"/>
              </w:rPr>
            </w:pPr>
          </w:p>
        </w:tc>
        <w:tc>
          <w:tcPr>
            <w:tcW w:w="1664" w:type="dxa"/>
            <w:noWrap w:val="0"/>
            <w:vAlign w:val="center"/>
          </w:tcPr>
          <w:p>
            <w:pPr>
              <w:widowControl/>
              <w:snapToGrid w:val="0"/>
              <w:jc w:val="center"/>
              <w:rPr>
                <w:rFonts w:ascii="Calibri" w:hAnsi="Calibri"/>
                <w:color w:val="auto"/>
                <w:kern w:val="2"/>
                <w:sz w:val="18"/>
                <w:szCs w:val="18"/>
                <w:lang w:eastAsia="zh-CN" w:bidi="ar-SA"/>
              </w:rPr>
            </w:pPr>
          </w:p>
        </w:tc>
      </w:tr>
      <w:tr>
        <w:trPr>
          <w:trHeight w:val="1235" w:hRule="atLeast"/>
        </w:trPr>
        <w:tc>
          <w:tcPr>
            <w:tcW w:w="9747" w:type="dxa"/>
            <w:gridSpan w:val="8"/>
            <w:noWrap w:val="0"/>
            <w:vAlign w:val="center"/>
          </w:tcPr>
          <w:p>
            <w:pPr>
              <w:widowControl/>
              <w:snapToGrid w:val="0"/>
              <w:spacing w:line="360" w:lineRule="auto"/>
              <w:rPr>
                <w:rFonts w:ascii="Calibri" w:hAnsi="Calibri"/>
                <w:color w:val="auto"/>
                <w:kern w:val="2"/>
                <w:sz w:val="18"/>
                <w:szCs w:val="18"/>
                <w:u w:val="single"/>
                <w:lang w:eastAsia="zh-CN" w:bidi="ar-SA"/>
              </w:rPr>
            </w:pPr>
            <w:r>
              <w:rPr>
                <w:rFonts w:hint="eastAsia" w:ascii="宋体" w:hAnsi="宋体" w:eastAsia="宋体" w:cs="宋体"/>
                <w:color w:val="auto"/>
                <w:kern w:val="2"/>
                <w:sz w:val="18"/>
                <w:szCs w:val="18"/>
                <w:lang w:eastAsia="zh-CN" w:bidi="ar-SA"/>
              </w:rPr>
              <w:t>本次排查涉及的设备编号</w:t>
            </w:r>
            <w:r>
              <w:rPr>
                <w:rFonts w:hint="eastAsia" w:ascii="Calibri" w:hAnsi="Calibri"/>
                <w:color w:val="auto"/>
                <w:kern w:val="2"/>
                <w:sz w:val="18"/>
                <w:szCs w:val="18"/>
                <w:u w:val="single"/>
                <w:lang w:eastAsia="zh-CN" w:bidi="ar-SA"/>
              </w:rPr>
              <w:t xml:space="preserve">                  </w:t>
            </w:r>
          </w:p>
          <w:p>
            <w:pPr>
              <w:widowControl/>
              <w:snapToGrid w:val="0"/>
              <w:spacing w:line="360" w:lineRule="auto"/>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上述项目的排查工作，已经按特种设备法规、规范、标准的要求完成。</w:t>
            </w:r>
          </w:p>
          <w:p>
            <w:pPr>
              <w:widowControl/>
              <w:snapToGrid w:val="0"/>
              <w:spacing w:line="360" w:lineRule="auto"/>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隐患排查责任人（签字）</w:t>
            </w:r>
            <w:r>
              <w:rPr>
                <w:rFonts w:hint="eastAsia" w:ascii="Calibri" w:hAnsi="Calibri"/>
                <w:color w:val="auto"/>
                <w:kern w:val="2"/>
                <w:sz w:val="18"/>
                <w:szCs w:val="18"/>
                <w:u w:val="single"/>
                <w:lang w:eastAsia="zh-CN" w:bidi="ar-SA"/>
              </w:rPr>
              <w:t xml:space="preserve">               </w:t>
            </w:r>
            <w:r>
              <w:rPr>
                <w:rFonts w:hint="eastAsia" w:ascii="Calibri" w:hAnsi="Calibri"/>
                <w:color w:val="auto"/>
                <w:kern w:val="2"/>
                <w:sz w:val="18"/>
                <w:szCs w:val="18"/>
                <w:lang w:eastAsia="zh-CN" w:bidi="ar-SA"/>
              </w:rPr>
              <w:t xml:space="preserve">                     </w:t>
            </w:r>
            <w:r>
              <w:rPr>
                <w:rFonts w:hint="eastAsia" w:ascii="Calibri" w:hAnsi="Calibri" w:eastAsia="宋体"/>
                <w:color w:val="auto"/>
                <w:kern w:val="2"/>
                <w:sz w:val="18"/>
                <w:szCs w:val="18"/>
                <w:lang w:eastAsia="zh-CN" w:bidi="ar-SA"/>
              </w:rPr>
              <w:t xml:space="preserve">  </w:t>
            </w:r>
            <w:r>
              <w:rPr>
                <w:rFonts w:hint="eastAsia" w:ascii="宋体" w:hAnsi="宋体" w:eastAsia="宋体" w:cs="宋体"/>
                <w:color w:val="auto"/>
                <w:kern w:val="2"/>
                <w:sz w:val="18"/>
                <w:szCs w:val="18"/>
                <w:lang w:eastAsia="zh-CN" w:bidi="ar-SA"/>
              </w:rPr>
              <w:t>年</w:t>
            </w:r>
            <w:r>
              <w:rPr>
                <w:rFonts w:ascii="Calibri" w:hAnsi="Calibri" w:cs="Calibri"/>
                <w:color w:val="auto"/>
                <w:kern w:val="2"/>
                <w:sz w:val="18"/>
                <w:szCs w:val="18"/>
                <w:lang w:eastAsia="zh-CN" w:bidi="ar-SA"/>
              </w:rPr>
              <w:t xml:space="preserve">  </w:t>
            </w:r>
            <w:r>
              <w:rPr>
                <w:rFonts w:hint="eastAsia" w:ascii="Calibri" w:hAnsi="Calibri" w:eastAsia="宋体"/>
                <w:color w:val="auto"/>
                <w:kern w:val="2"/>
                <w:sz w:val="18"/>
                <w:szCs w:val="18"/>
                <w:lang w:eastAsia="zh-CN" w:bidi="ar-SA"/>
              </w:rPr>
              <w:t xml:space="preserve">  </w:t>
            </w:r>
            <w:r>
              <w:rPr>
                <w:rFonts w:hint="eastAsia" w:ascii="Calibri" w:hAnsi="Calibri"/>
                <w:color w:val="auto"/>
                <w:kern w:val="2"/>
                <w:sz w:val="18"/>
                <w:szCs w:val="18"/>
                <w:lang w:eastAsia="zh-CN" w:bidi="ar-SA"/>
              </w:rPr>
              <w:t xml:space="preserve"> </w:t>
            </w:r>
            <w:r>
              <w:rPr>
                <w:rFonts w:hint="eastAsia" w:ascii="宋体" w:hAnsi="宋体" w:eastAsia="宋体" w:cs="宋体"/>
                <w:color w:val="auto"/>
                <w:kern w:val="2"/>
                <w:sz w:val="18"/>
                <w:szCs w:val="18"/>
                <w:lang w:eastAsia="zh-CN" w:bidi="ar-SA"/>
              </w:rPr>
              <w:t>月</w:t>
            </w:r>
            <w:r>
              <w:rPr>
                <w:rFonts w:hint="eastAsia" w:ascii="Calibri" w:hAnsi="Calibri" w:eastAsia="宋体"/>
                <w:color w:val="auto"/>
                <w:kern w:val="2"/>
                <w:sz w:val="18"/>
                <w:szCs w:val="18"/>
                <w:lang w:eastAsia="zh-CN" w:bidi="ar-SA"/>
              </w:rPr>
              <w:t xml:space="preserve">  </w:t>
            </w:r>
            <w:r>
              <w:rPr>
                <w:rFonts w:hint="eastAsia" w:ascii="Calibri" w:hAnsi="Calibri"/>
                <w:color w:val="auto"/>
                <w:kern w:val="2"/>
                <w:sz w:val="18"/>
                <w:szCs w:val="18"/>
                <w:lang w:eastAsia="zh-CN" w:bidi="ar-SA"/>
              </w:rPr>
              <w:t xml:space="preserve">   </w:t>
            </w:r>
            <w:r>
              <w:rPr>
                <w:rFonts w:hint="eastAsia" w:ascii="宋体" w:hAnsi="宋体" w:eastAsia="宋体" w:cs="宋体"/>
                <w:color w:val="auto"/>
                <w:kern w:val="2"/>
                <w:sz w:val="18"/>
                <w:szCs w:val="18"/>
                <w:lang w:eastAsia="zh-CN" w:bidi="ar-SA"/>
              </w:rPr>
              <w:t>日</w:t>
            </w:r>
            <w:r>
              <w:rPr>
                <w:rFonts w:ascii="Calibri" w:hAnsi="Calibri" w:cs="Calibri"/>
                <w:color w:val="auto"/>
                <w:kern w:val="2"/>
                <w:sz w:val="18"/>
                <w:szCs w:val="18"/>
                <w:lang w:eastAsia="zh-CN" w:bidi="ar-SA"/>
              </w:rPr>
              <w:t xml:space="preserve"> </w:t>
            </w:r>
          </w:p>
        </w:tc>
      </w:tr>
      <w:tr>
        <w:trPr>
          <w:trHeight w:val="685" w:hRule="atLeast"/>
        </w:trPr>
        <w:tc>
          <w:tcPr>
            <w:tcW w:w="1623" w:type="dxa"/>
            <w:gridSpan w:val="2"/>
            <w:noWrap w:val="0"/>
            <w:vAlign w:val="center"/>
          </w:tcPr>
          <w:p>
            <w:pPr>
              <w:widowControl/>
              <w:snapToGrid w:val="0"/>
              <w:rPr>
                <w:rFonts w:ascii="Calibri" w:hAnsi="Calibri"/>
                <w:color w:val="auto"/>
                <w:kern w:val="2"/>
                <w:sz w:val="18"/>
                <w:szCs w:val="18"/>
                <w:lang w:eastAsia="zh-CN" w:bidi="ar-SA"/>
              </w:rPr>
            </w:pPr>
            <w:r>
              <w:rPr>
                <w:rFonts w:hint="eastAsia" w:ascii="宋体" w:hAnsi="宋体" w:eastAsia="宋体" w:cs="宋体"/>
                <w:color w:val="auto"/>
                <w:kern w:val="2"/>
                <w:sz w:val="18"/>
                <w:szCs w:val="18"/>
                <w:lang w:eastAsia="zh-CN" w:bidi="ar-SA"/>
              </w:rPr>
              <w:t>备注</w:t>
            </w:r>
          </w:p>
        </w:tc>
        <w:tc>
          <w:tcPr>
            <w:tcW w:w="8124" w:type="dxa"/>
            <w:gridSpan w:val="6"/>
            <w:noWrap w:val="0"/>
            <w:vAlign w:val="center"/>
          </w:tcPr>
          <w:p>
            <w:pPr>
              <w:widowControl/>
              <w:snapToGrid w:val="0"/>
              <w:rPr>
                <w:rFonts w:ascii="Calibri" w:hAnsi="Calibri"/>
                <w:color w:val="auto"/>
                <w:kern w:val="2"/>
                <w:sz w:val="18"/>
                <w:szCs w:val="18"/>
                <w:lang w:eastAsia="zh-CN" w:bidi="ar-SA"/>
              </w:rPr>
            </w:pPr>
          </w:p>
        </w:tc>
      </w:tr>
    </w:tbl>
    <w:p>
      <w:pPr>
        <w:snapToGrid w:val="0"/>
        <w:rPr>
          <w:color w:val="auto"/>
          <w:sz w:val="18"/>
          <w:szCs w:val="18"/>
          <w:lang w:eastAsia="zh-CN"/>
        </w:rPr>
      </w:pPr>
      <w:r>
        <w:rPr>
          <w:rFonts w:hint="eastAsia" w:ascii="宋体" w:hAnsi="宋体" w:eastAsia="宋体" w:cs="宋体"/>
          <w:color w:val="auto"/>
          <w:sz w:val="18"/>
          <w:szCs w:val="18"/>
          <w:lang w:eastAsia="zh-CN"/>
        </w:rPr>
        <w:t>注：</w:t>
      </w:r>
      <w:r>
        <w:rPr>
          <w:color w:val="auto"/>
          <w:sz w:val="18"/>
          <w:szCs w:val="18"/>
          <w:lang w:eastAsia="zh-CN"/>
        </w:rPr>
        <w:t>1.</w:t>
      </w:r>
      <w:r>
        <w:rPr>
          <w:rFonts w:hint="eastAsia" w:ascii="宋体" w:hAnsi="宋体" w:eastAsia="宋体" w:cs="宋体"/>
          <w:color w:val="auto"/>
          <w:sz w:val="18"/>
          <w:szCs w:val="18"/>
          <w:lang w:eastAsia="zh-CN"/>
        </w:rPr>
        <w:t>不存在不符合项时，直接在隐患排查结果栏目中勾选符合。</w:t>
      </w:r>
    </w:p>
    <w:p>
      <w:pPr>
        <w:snapToGrid w:val="0"/>
        <w:rPr>
          <w:color w:val="auto"/>
          <w:sz w:val="18"/>
          <w:szCs w:val="18"/>
          <w:lang w:eastAsia="zh-CN"/>
        </w:rPr>
      </w:pPr>
      <w:r>
        <w:rPr>
          <w:rFonts w:hint="eastAsia"/>
          <w:color w:val="auto"/>
          <w:sz w:val="18"/>
          <w:szCs w:val="18"/>
          <w:lang w:eastAsia="zh-CN"/>
        </w:rPr>
        <w:t>2.</w:t>
      </w:r>
      <w:r>
        <w:rPr>
          <w:color w:val="auto"/>
          <w:sz w:val="18"/>
          <w:szCs w:val="18"/>
          <w:lang w:eastAsia="zh-CN"/>
        </w:rPr>
        <w:t xml:space="preserve"> </w:t>
      </w:r>
      <w:r>
        <w:rPr>
          <w:rFonts w:hint="eastAsia" w:ascii="宋体" w:hAnsi="宋体" w:eastAsia="宋体" w:cs="宋体"/>
          <w:color w:val="auto"/>
          <w:sz w:val="18"/>
          <w:szCs w:val="18"/>
          <w:lang w:eastAsia="zh-CN"/>
        </w:rPr>
        <w:t>存在不符合项时，不符合栏目内填写特种设备隐患排查治理记录编号。</w:t>
      </w:r>
    </w:p>
    <w:p>
      <w:pPr>
        <w:pStyle w:val="14"/>
        <w:snapToGrid w:val="0"/>
        <w:spacing w:line="240" w:lineRule="auto"/>
        <w:jc w:val="center"/>
        <w:rPr>
          <w:color w:val="auto"/>
          <w:sz w:val="18"/>
          <w:szCs w:val="18"/>
          <w:lang w:eastAsia="zh-CN"/>
        </w:rPr>
      </w:pPr>
      <w:r>
        <w:rPr>
          <w:color w:val="auto"/>
          <w:sz w:val="18"/>
          <w:szCs w:val="18"/>
        </w:rPr>
        <w:br w:type="page"/>
      </w:r>
      <w:r>
        <w:rPr>
          <w:rFonts w:hint="eastAsia" w:ascii="黑体" w:hAnsi="黑体" w:eastAsia="黑体"/>
          <w:b/>
          <w:color w:val="auto"/>
          <w:sz w:val="21"/>
          <w:szCs w:val="21"/>
          <w:lang w:eastAsia="zh-CN"/>
        </w:rPr>
        <w:t>特种设备隐患治理记录表格式</w:t>
      </w:r>
    </w:p>
    <w:p>
      <w:pPr>
        <w:pStyle w:val="14"/>
        <w:snapToGrid w:val="0"/>
        <w:spacing w:line="240" w:lineRule="auto"/>
        <w:rPr>
          <w:color w:val="auto"/>
          <w:sz w:val="18"/>
          <w:szCs w:val="18"/>
          <w:lang w:eastAsia="zh-CN"/>
        </w:rPr>
      </w:pPr>
    </w:p>
    <w:p>
      <w:pPr>
        <w:pStyle w:val="14"/>
        <w:snapToGrid w:val="0"/>
        <w:spacing w:line="240" w:lineRule="auto"/>
        <w:rPr>
          <w:rFonts w:hint="eastAsia"/>
          <w:color w:val="auto"/>
          <w:sz w:val="18"/>
          <w:szCs w:val="18"/>
          <w:lang w:eastAsia="zh-CN"/>
        </w:rPr>
      </w:pPr>
      <w:r>
        <w:rPr>
          <w:rFonts w:hint="eastAsia"/>
          <w:color w:val="auto"/>
          <w:sz w:val="18"/>
          <w:szCs w:val="18"/>
          <w:lang w:eastAsia="zh-CN"/>
        </w:rPr>
        <w:t>文件编号：                                                                     记录编号：</w:t>
      </w:r>
    </w:p>
    <w:p>
      <w:pPr>
        <w:pStyle w:val="14"/>
        <w:snapToGrid w:val="0"/>
        <w:spacing w:line="240" w:lineRule="auto"/>
        <w:jc w:val="right"/>
        <w:rPr>
          <w:rFonts w:hint="eastAsia"/>
          <w:color w:val="auto"/>
          <w:sz w:val="18"/>
          <w:szCs w:val="18"/>
          <w:lang w:eastAsia="zh-CN"/>
        </w:rPr>
      </w:pPr>
      <w:r>
        <w:rPr>
          <w:rFonts w:hint="eastAsia"/>
          <w:color w:val="auto"/>
          <w:sz w:val="18"/>
          <w:szCs w:val="18"/>
          <w:lang w:eastAsia="zh-CN"/>
        </w:rPr>
        <w:t>第    页</w:t>
      </w:r>
    </w:p>
    <w:p>
      <w:pPr>
        <w:pStyle w:val="14"/>
        <w:snapToGrid w:val="0"/>
        <w:spacing w:line="240" w:lineRule="auto"/>
        <w:rPr>
          <w:color w:val="auto"/>
          <w:sz w:val="18"/>
          <w:szCs w:val="18"/>
          <w:lang w:eastAsia="zh-CN"/>
        </w:rPr>
      </w:pPr>
    </w:p>
    <w:tbl>
      <w:tblPr>
        <w:tblStyle w:val="8"/>
        <w:tblpPr/>
        <w:tblOverlap w:val="never"/>
        <w:tblW w:w="96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782"/>
        <w:gridCol w:w="725"/>
        <w:gridCol w:w="3182"/>
        <w:gridCol w:w="1148"/>
        <w:gridCol w:w="2838"/>
      </w:tblGrid>
      <w:tr>
        <w:trPr>
          <w:trHeight w:val="567"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排查部门</w:t>
            </w:r>
          </w:p>
        </w:tc>
        <w:tc>
          <w:tcPr>
            <w:tcW w:w="3907" w:type="dxa"/>
            <w:gridSpan w:val="2"/>
            <w:shd w:val="clear" w:color="auto" w:fill="FFFFFF"/>
            <w:noWrap w:val="0"/>
            <w:vAlign w:val="center"/>
          </w:tcPr>
          <w:p>
            <w:pPr>
              <w:snapToGrid w:val="0"/>
              <w:jc w:val="center"/>
              <w:rPr>
                <w:color w:val="auto"/>
                <w:sz w:val="18"/>
                <w:szCs w:val="18"/>
                <w:lang w:eastAsia="zh-CN"/>
              </w:rPr>
            </w:pPr>
          </w:p>
        </w:tc>
        <w:tc>
          <w:tcPr>
            <w:tcW w:w="1148"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隐患排查人</w:t>
            </w:r>
          </w:p>
        </w:tc>
        <w:tc>
          <w:tcPr>
            <w:tcW w:w="2838" w:type="dxa"/>
            <w:shd w:val="clear" w:color="auto" w:fill="FFFFFF"/>
            <w:noWrap w:val="0"/>
            <w:vAlign w:val="center"/>
          </w:tcPr>
          <w:p>
            <w:pPr>
              <w:snapToGrid w:val="0"/>
              <w:jc w:val="center"/>
              <w:rPr>
                <w:color w:val="auto"/>
                <w:sz w:val="18"/>
                <w:szCs w:val="18"/>
                <w:lang w:eastAsia="zh-CN"/>
              </w:rPr>
            </w:pPr>
          </w:p>
        </w:tc>
      </w:tr>
      <w:tr>
        <w:trPr>
          <w:trHeight w:val="567"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排查日期</w:t>
            </w:r>
          </w:p>
        </w:tc>
        <w:tc>
          <w:tcPr>
            <w:tcW w:w="3907" w:type="dxa"/>
            <w:gridSpan w:val="2"/>
            <w:shd w:val="clear" w:color="auto" w:fill="FFFFFF"/>
            <w:noWrap w:val="0"/>
            <w:vAlign w:val="center"/>
          </w:tcPr>
          <w:p>
            <w:pPr>
              <w:pStyle w:val="15"/>
              <w:tabs>
                <w:tab w:val="left" w:pos="1114"/>
              </w:tabs>
              <w:snapToGrid w:val="0"/>
              <w:spacing w:line="240" w:lineRule="auto"/>
              <w:jc w:val="center"/>
              <w:rPr>
                <w:color w:val="auto"/>
                <w:sz w:val="18"/>
                <w:szCs w:val="18"/>
              </w:rPr>
            </w:pPr>
            <w:r>
              <w:rPr>
                <w:color w:val="auto"/>
                <w:sz w:val="18"/>
                <w:szCs w:val="18"/>
              </w:rPr>
              <w:t>年</w:t>
            </w:r>
            <w:r>
              <w:rPr>
                <w:rFonts w:hint="eastAsia"/>
                <w:color w:val="auto"/>
                <w:sz w:val="18"/>
                <w:szCs w:val="18"/>
                <w:lang w:eastAsia="zh-CN"/>
              </w:rPr>
              <w:t xml:space="preserve">   </w:t>
            </w:r>
            <w:r>
              <w:rPr>
                <w:color w:val="auto"/>
                <w:sz w:val="18"/>
                <w:szCs w:val="18"/>
              </w:rPr>
              <w:t xml:space="preserve"> 月</w:t>
            </w:r>
            <w:r>
              <w:rPr>
                <w:rFonts w:hint="eastAsia"/>
                <w:color w:val="auto"/>
                <w:sz w:val="18"/>
                <w:szCs w:val="18"/>
                <w:lang w:eastAsia="zh-CN"/>
              </w:rPr>
              <w:t xml:space="preserve">    </w:t>
            </w:r>
            <w:r>
              <w:rPr>
                <w:color w:val="auto"/>
                <w:sz w:val="18"/>
                <w:szCs w:val="18"/>
              </w:rPr>
              <w:t>日</w:t>
            </w:r>
          </w:p>
        </w:tc>
        <w:tc>
          <w:tcPr>
            <w:tcW w:w="1148"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审查依据</w:t>
            </w:r>
          </w:p>
        </w:tc>
        <w:tc>
          <w:tcPr>
            <w:tcW w:w="2838" w:type="dxa"/>
            <w:shd w:val="clear" w:color="auto" w:fill="FFFFFF"/>
            <w:noWrap w:val="0"/>
            <w:vAlign w:val="center"/>
          </w:tcPr>
          <w:p>
            <w:pPr>
              <w:snapToGrid w:val="0"/>
              <w:jc w:val="center"/>
              <w:rPr>
                <w:color w:val="auto"/>
                <w:sz w:val="18"/>
                <w:szCs w:val="18"/>
                <w:lang w:eastAsia="zh-CN"/>
              </w:rPr>
            </w:pPr>
          </w:p>
        </w:tc>
      </w:tr>
      <w:tr>
        <w:trPr>
          <w:trHeight w:val="567"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排查途径</w:t>
            </w:r>
          </w:p>
        </w:tc>
        <w:tc>
          <w:tcPr>
            <w:tcW w:w="3907" w:type="dxa"/>
            <w:gridSpan w:val="2"/>
            <w:shd w:val="clear" w:color="auto" w:fill="FFFFFF"/>
            <w:noWrap w:val="0"/>
            <w:vAlign w:val="center"/>
          </w:tcPr>
          <w:p>
            <w:pPr>
              <w:snapToGrid w:val="0"/>
              <w:jc w:val="center"/>
              <w:rPr>
                <w:color w:val="auto"/>
                <w:sz w:val="18"/>
                <w:szCs w:val="18"/>
                <w:lang w:eastAsia="zh-CN"/>
              </w:rPr>
            </w:pPr>
          </w:p>
        </w:tc>
        <w:tc>
          <w:tcPr>
            <w:tcW w:w="1148"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排查内容</w:t>
            </w:r>
          </w:p>
        </w:tc>
        <w:tc>
          <w:tcPr>
            <w:tcW w:w="2838" w:type="dxa"/>
            <w:shd w:val="clear" w:color="auto" w:fill="FFFFFF"/>
            <w:noWrap w:val="0"/>
            <w:vAlign w:val="center"/>
          </w:tcPr>
          <w:p>
            <w:pPr>
              <w:snapToGrid w:val="0"/>
              <w:jc w:val="center"/>
              <w:rPr>
                <w:color w:val="auto"/>
                <w:sz w:val="18"/>
                <w:szCs w:val="18"/>
                <w:lang w:eastAsia="zh-CN"/>
              </w:rPr>
            </w:pPr>
          </w:p>
        </w:tc>
      </w:tr>
      <w:tr>
        <w:trPr>
          <w:trHeight w:val="2663"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不符合项描述</w:t>
            </w:r>
          </w:p>
        </w:tc>
        <w:tc>
          <w:tcPr>
            <w:tcW w:w="7893" w:type="dxa"/>
            <w:gridSpan w:val="4"/>
            <w:shd w:val="clear" w:color="auto" w:fill="FFFFFF"/>
            <w:noWrap w:val="0"/>
            <w:vAlign w:val="top"/>
          </w:tcPr>
          <w:p>
            <w:pPr>
              <w:snapToGrid w:val="0"/>
              <w:rPr>
                <w:color w:val="auto"/>
                <w:sz w:val="18"/>
                <w:szCs w:val="18"/>
                <w:lang w:eastAsia="zh-CN"/>
              </w:rPr>
            </w:pPr>
          </w:p>
        </w:tc>
      </w:tr>
      <w:tr>
        <w:trPr>
          <w:trHeight w:val="2122"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隐患项目及分级分类</w:t>
            </w:r>
          </w:p>
        </w:tc>
        <w:tc>
          <w:tcPr>
            <w:tcW w:w="7893" w:type="dxa"/>
            <w:gridSpan w:val="4"/>
            <w:shd w:val="clear" w:color="auto" w:fill="FFFFFF"/>
            <w:noWrap w:val="0"/>
            <w:vAlign w:val="center"/>
          </w:tcPr>
          <w:p>
            <w:pPr>
              <w:pStyle w:val="15"/>
              <w:snapToGrid w:val="0"/>
              <w:spacing w:line="360" w:lineRule="auto"/>
              <w:rPr>
                <w:color w:val="auto"/>
                <w:sz w:val="18"/>
                <w:szCs w:val="18"/>
              </w:rPr>
            </w:pPr>
            <w:r>
              <w:rPr>
                <w:color w:val="auto"/>
                <w:sz w:val="18"/>
                <w:szCs w:val="18"/>
              </w:rPr>
              <w:t>□非特种设备隐患</w:t>
            </w:r>
          </w:p>
          <w:p>
            <w:pPr>
              <w:pStyle w:val="15"/>
              <w:tabs>
                <w:tab w:val="left" w:leader="underscore" w:pos="3768"/>
              </w:tabs>
              <w:snapToGrid w:val="0"/>
              <w:spacing w:line="360" w:lineRule="auto"/>
              <w:rPr>
                <w:color w:val="auto"/>
                <w:sz w:val="18"/>
                <w:szCs w:val="18"/>
              </w:rPr>
            </w:pPr>
            <w:r>
              <w:rPr>
                <w:color w:val="auto"/>
                <w:sz w:val="18"/>
                <w:szCs w:val="18"/>
              </w:rPr>
              <w:t>特种设备隐患标准项目或序号</w:t>
            </w:r>
            <w:r>
              <w:rPr>
                <w:color w:val="auto"/>
                <w:sz w:val="18"/>
                <w:szCs w:val="18"/>
              </w:rPr>
              <w:tab/>
            </w:r>
          </w:p>
          <w:p>
            <w:pPr>
              <w:pStyle w:val="15"/>
              <w:snapToGrid w:val="0"/>
              <w:spacing w:line="360" w:lineRule="auto"/>
              <w:rPr>
                <w:color w:val="auto"/>
                <w:sz w:val="18"/>
                <w:szCs w:val="18"/>
              </w:rPr>
            </w:pPr>
            <w:r>
              <w:rPr>
                <w:color w:val="auto"/>
                <w:sz w:val="18"/>
                <w:szCs w:val="18"/>
              </w:rPr>
              <w:t>□严重隐患；□较大隐患</w:t>
            </w:r>
            <w:r>
              <w:rPr>
                <w:color w:val="auto"/>
                <w:sz w:val="18"/>
                <w:szCs w:val="18"/>
                <w:lang w:val="en-US" w:eastAsia="zh-CN" w:bidi="en-US"/>
              </w:rPr>
              <w:t>；□</w:t>
            </w:r>
            <w:r>
              <w:rPr>
                <w:color w:val="auto"/>
                <w:sz w:val="18"/>
                <w:szCs w:val="18"/>
              </w:rPr>
              <w:t>一般隐患</w:t>
            </w:r>
          </w:p>
          <w:p>
            <w:pPr>
              <w:pStyle w:val="15"/>
              <w:snapToGrid w:val="0"/>
              <w:spacing w:line="360" w:lineRule="auto"/>
              <w:rPr>
                <w:color w:val="auto"/>
                <w:sz w:val="18"/>
                <w:szCs w:val="18"/>
              </w:rPr>
            </w:pPr>
            <w:r>
              <w:rPr>
                <w:color w:val="auto"/>
                <w:sz w:val="18"/>
                <w:szCs w:val="18"/>
              </w:rPr>
              <w:t>□管理类</w:t>
            </w:r>
            <w:r>
              <w:rPr>
                <w:color w:val="auto"/>
                <w:sz w:val="18"/>
                <w:szCs w:val="18"/>
                <w:lang w:val="en-US" w:eastAsia="zh-CN" w:bidi="en-US"/>
              </w:rPr>
              <w:t>；□</w:t>
            </w:r>
            <w:r>
              <w:rPr>
                <w:color w:val="auto"/>
                <w:sz w:val="18"/>
                <w:szCs w:val="18"/>
              </w:rPr>
              <w:t>人员类</w:t>
            </w:r>
            <w:r>
              <w:rPr>
                <w:color w:val="auto"/>
                <w:sz w:val="18"/>
                <w:szCs w:val="18"/>
                <w:lang w:val="en-US" w:eastAsia="zh-CN" w:bidi="en-US"/>
              </w:rPr>
              <w:t>；□</w:t>
            </w:r>
            <w:r>
              <w:rPr>
                <w:color w:val="auto"/>
                <w:sz w:val="18"/>
                <w:szCs w:val="18"/>
              </w:rPr>
              <w:t>设备类</w:t>
            </w:r>
            <w:r>
              <w:rPr>
                <w:color w:val="auto"/>
                <w:sz w:val="18"/>
                <w:szCs w:val="18"/>
                <w:lang w:val="en-US" w:eastAsia="zh-CN" w:bidi="en-US"/>
              </w:rPr>
              <w:t>；□</w:t>
            </w:r>
            <w:r>
              <w:rPr>
                <w:color w:val="auto"/>
                <w:sz w:val="18"/>
                <w:szCs w:val="18"/>
              </w:rPr>
              <w:t>环境类</w:t>
            </w:r>
          </w:p>
          <w:p>
            <w:pPr>
              <w:pStyle w:val="15"/>
              <w:tabs>
                <w:tab w:val="left" w:leader="underscore" w:pos="3950"/>
              </w:tabs>
              <w:snapToGrid w:val="0"/>
              <w:spacing w:line="360" w:lineRule="auto"/>
              <w:rPr>
                <w:color w:val="auto"/>
                <w:sz w:val="18"/>
                <w:szCs w:val="18"/>
              </w:rPr>
            </w:pPr>
            <w:r>
              <w:rPr>
                <w:color w:val="auto"/>
                <w:sz w:val="18"/>
                <w:szCs w:val="18"/>
              </w:rPr>
              <w:t>治理部门（或责任人）</w:t>
            </w:r>
            <w:r>
              <w:rPr>
                <w:color w:val="auto"/>
                <w:sz w:val="18"/>
                <w:szCs w:val="18"/>
              </w:rPr>
              <w:tab/>
            </w:r>
          </w:p>
          <w:p>
            <w:pPr>
              <w:pStyle w:val="15"/>
              <w:tabs>
                <w:tab w:val="left" w:pos="2659"/>
              </w:tabs>
              <w:snapToGrid w:val="0"/>
              <w:spacing w:line="360" w:lineRule="auto"/>
              <w:rPr>
                <w:color w:val="auto"/>
                <w:sz w:val="18"/>
                <w:szCs w:val="18"/>
              </w:rPr>
            </w:pPr>
            <w:r>
              <w:rPr>
                <w:color w:val="auto"/>
                <w:sz w:val="18"/>
                <w:szCs w:val="18"/>
              </w:rPr>
              <w:t>隐患排查责任人</w:t>
            </w:r>
            <w:r>
              <w:rPr>
                <w:color w:val="auto"/>
                <w:sz w:val="18"/>
                <w:szCs w:val="18"/>
              </w:rPr>
              <w:tab/>
            </w:r>
            <w:r>
              <w:rPr>
                <w:color w:val="auto"/>
                <w:sz w:val="18"/>
                <w:szCs w:val="18"/>
              </w:rPr>
              <w:t>日期</w:t>
            </w:r>
          </w:p>
        </w:tc>
      </w:tr>
      <w:tr>
        <w:trPr>
          <w:trHeight w:val="1003"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隐患产生原因分析</w:t>
            </w:r>
          </w:p>
        </w:tc>
        <w:tc>
          <w:tcPr>
            <w:tcW w:w="7893" w:type="dxa"/>
            <w:gridSpan w:val="4"/>
            <w:shd w:val="clear" w:color="auto" w:fill="FFFFFF"/>
            <w:noWrap w:val="0"/>
            <w:vAlign w:val="bottom"/>
          </w:tcPr>
          <w:p>
            <w:pPr>
              <w:pStyle w:val="15"/>
              <w:tabs>
                <w:tab w:val="left" w:pos="2194"/>
              </w:tabs>
              <w:snapToGrid w:val="0"/>
              <w:spacing w:line="240" w:lineRule="auto"/>
              <w:rPr>
                <w:color w:val="auto"/>
                <w:sz w:val="18"/>
                <w:szCs w:val="18"/>
              </w:rPr>
            </w:pPr>
            <w:r>
              <w:rPr>
                <w:color w:val="auto"/>
                <w:sz w:val="18"/>
                <w:szCs w:val="18"/>
              </w:rPr>
              <w:t>责任人</w:t>
            </w:r>
            <w:r>
              <w:rPr>
                <w:color w:val="auto"/>
                <w:sz w:val="18"/>
                <w:szCs w:val="18"/>
              </w:rPr>
              <w:tab/>
            </w:r>
            <w:r>
              <w:rPr>
                <w:color w:val="auto"/>
                <w:sz w:val="18"/>
                <w:szCs w:val="18"/>
              </w:rPr>
              <w:t>日期</w:t>
            </w:r>
          </w:p>
        </w:tc>
      </w:tr>
      <w:tr>
        <w:trPr>
          <w:trHeight w:val="989"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隐患防护整改措施</w:t>
            </w:r>
          </w:p>
        </w:tc>
        <w:tc>
          <w:tcPr>
            <w:tcW w:w="7893" w:type="dxa"/>
            <w:gridSpan w:val="4"/>
            <w:shd w:val="clear" w:color="auto" w:fill="FFFFFF"/>
            <w:noWrap w:val="0"/>
            <w:vAlign w:val="bottom"/>
          </w:tcPr>
          <w:p>
            <w:pPr>
              <w:pStyle w:val="15"/>
              <w:tabs>
                <w:tab w:val="left" w:pos="2194"/>
              </w:tabs>
              <w:snapToGrid w:val="0"/>
              <w:spacing w:line="240" w:lineRule="auto"/>
              <w:rPr>
                <w:color w:val="auto"/>
                <w:sz w:val="18"/>
                <w:szCs w:val="18"/>
              </w:rPr>
            </w:pPr>
            <w:r>
              <w:rPr>
                <w:color w:val="auto"/>
                <w:sz w:val="18"/>
                <w:szCs w:val="18"/>
              </w:rPr>
              <w:t>责任人</w:t>
            </w:r>
            <w:r>
              <w:rPr>
                <w:color w:val="auto"/>
                <w:sz w:val="18"/>
                <w:szCs w:val="18"/>
              </w:rPr>
              <w:tab/>
            </w:r>
            <w:r>
              <w:rPr>
                <w:color w:val="auto"/>
                <w:sz w:val="18"/>
                <w:szCs w:val="18"/>
              </w:rPr>
              <w:t>日期</w:t>
            </w:r>
          </w:p>
        </w:tc>
      </w:tr>
      <w:tr>
        <w:trPr>
          <w:trHeight w:val="725" w:hRule="exact"/>
          <w:jc w:val="center"/>
        </w:trPr>
        <w:tc>
          <w:tcPr>
            <w:tcW w:w="1787" w:type="dxa"/>
            <w:vMerge w:val="restart"/>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隐患整改情况</w:t>
            </w:r>
          </w:p>
        </w:tc>
        <w:tc>
          <w:tcPr>
            <w:tcW w:w="725"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整改方</w:t>
            </w:r>
          </w:p>
          <w:p>
            <w:pPr>
              <w:pStyle w:val="15"/>
              <w:snapToGrid w:val="0"/>
              <w:spacing w:line="240" w:lineRule="auto"/>
              <w:jc w:val="center"/>
              <w:rPr>
                <w:color w:val="auto"/>
                <w:sz w:val="18"/>
                <w:szCs w:val="18"/>
              </w:rPr>
            </w:pPr>
            <w:r>
              <w:rPr>
                <w:color w:val="auto"/>
                <w:sz w:val="18"/>
                <w:szCs w:val="18"/>
              </w:rPr>
              <w:t>案编号</w:t>
            </w:r>
          </w:p>
        </w:tc>
        <w:tc>
          <w:tcPr>
            <w:tcW w:w="3182" w:type="dxa"/>
            <w:shd w:val="clear" w:color="auto" w:fill="FFFFFF"/>
            <w:noWrap w:val="0"/>
            <w:vAlign w:val="center"/>
          </w:tcPr>
          <w:p>
            <w:pPr>
              <w:snapToGrid w:val="0"/>
              <w:jc w:val="center"/>
              <w:rPr>
                <w:color w:val="auto"/>
                <w:sz w:val="18"/>
                <w:szCs w:val="18"/>
              </w:rPr>
            </w:pPr>
          </w:p>
        </w:tc>
        <w:tc>
          <w:tcPr>
            <w:tcW w:w="3986" w:type="dxa"/>
            <w:gridSpan w:val="2"/>
            <w:vMerge w:val="restart"/>
            <w:shd w:val="clear" w:color="auto" w:fill="FFFFFF"/>
            <w:noWrap w:val="0"/>
            <w:vAlign w:val="center"/>
          </w:tcPr>
          <w:p>
            <w:pPr>
              <w:pStyle w:val="15"/>
              <w:snapToGrid w:val="0"/>
              <w:spacing w:line="480" w:lineRule="auto"/>
              <w:rPr>
                <w:color w:val="auto"/>
                <w:sz w:val="18"/>
                <w:szCs w:val="18"/>
              </w:rPr>
            </w:pPr>
            <w:r>
              <w:rPr>
                <w:color w:val="auto"/>
                <w:sz w:val="18"/>
                <w:szCs w:val="18"/>
              </w:rPr>
              <w:t>说明：</w:t>
            </w:r>
          </w:p>
          <w:p>
            <w:pPr>
              <w:pStyle w:val="15"/>
              <w:tabs>
                <w:tab w:val="left" w:pos="1834"/>
              </w:tabs>
              <w:snapToGrid w:val="0"/>
              <w:spacing w:line="480" w:lineRule="auto"/>
              <w:jc w:val="both"/>
              <w:rPr>
                <w:color w:val="auto"/>
                <w:sz w:val="18"/>
                <w:szCs w:val="18"/>
              </w:rPr>
            </w:pPr>
            <w:r>
              <w:rPr>
                <w:color w:val="auto"/>
                <w:sz w:val="18"/>
                <w:szCs w:val="18"/>
              </w:rPr>
              <w:t>责任人</w:t>
            </w:r>
            <w:r>
              <w:rPr>
                <w:color w:val="auto"/>
                <w:sz w:val="18"/>
                <w:szCs w:val="18"/>
              </w:rPr>
              <w:tab/>
            </w:r>
            <w:r>
              <w:rPr>
                <w:color w:val="auto"/>
                <w:sz w:val="18"/>
                <w:szCs w:val="18"/>
              </w:rPr>
              <w:t>日期</w:t>
            </w:r>
          </w:p>
        </w:tc>
      </w:tr>
      <w:tr>
        <w:trPr>
          <w:trHeight w:val="720" w:hRule="exact"/>
          <w:jc w:val="center"/>
        </w:trPr>
        <w:tc>
          <w:tcPr>
            <w:tcW w:w="1787" w:type="dxa"/>
            <w:vMerge w:val="continue"/>
            <w:shd w:val="clear" w:color="auto" w:fill="FFFFFF"/>
            <w:noWrap w:val="0"/>
            <w:vAlign w:val="center"/>
          </w:tcPr>
          <w:p>
            <w:pPr>
              <w:snapToGrid w:val="0"/>
              <w:jc w:val="center"/>
              <w:rPr>
                <w:color w:val="auto"/>
                <w:sz w:val="18"/>
                <w:szCs w:val="18"/>
              </w:rPr>
            </w:pPr>
          </w:p>
        </w:tc>
        <w:tc>
          <w:tcPr>
            <w:tcW w:w="725"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整改记 录编号</w:t>
            </w:r>
          </w:p>
        </w:tc>
        <w:tc>
          <w:tcPr>
            <w:tcW w:w="3182" w:type="dxa"/>
            <w:shd w:val="clear" w:color="auto" w:fill="FFFFFF"/>
            <w:noWrap w:val="0"/>
            <w:vAlign w:val="center"/>
          </w:tcPr>
          <w:p>
            <w:pPr>
              <w:snapToGrid w:val="0"/>
              <w:jc w:val="center"/>
              <w:rPr>
                <w:color w:val="auto"/>
                <w:sz w:val="18"/>
                <w:szCs w:val="18"/>
              </w:rPr>
            </w:pPr>
          </w:p>
        </w:tc>
        <w:tc>
          <w:tcPr>
            <w:tcW w:w="3986" w:type="dxa"/>
            <w:gridSpan w:val="2"/>
            <w:vMerge w:val="continue"/>
            <w:shd w:val="clear" w:color="auto" w:fill="FFFFFF"/>
            <w:noWrap w:val="0"/>
            <w:vAlign w:val="center"/>
          </w:tcPr>
          <w:p>
            <w:pPr>
              <w:snapToGrid w:val="0"/>
              <w:rPr>
                <w:color w:val="auto"/>
                <w:sz w:val="18"/>
                <w:szCs w:val="18"/>
              </w:rPr>
            </w:pPr>
          </w:p>
        </w:tc>
      </w:tr>
      <w:tr>
        <w:trPr>
          <w:trHeight w:val="725"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隐患上报要求</w:t>
            </w:r>
          </w:p>
        </w:tc>
        <w:tc>
          <w:tcPr>
            <w:tcW w:w="7893" w:type="dxa"/>
            <w:gridSpan w:val="4"/>
            <w:shd w:val="clear" w:color="auto" w:fill="FFFFFF"/>
            <w:noWrap w:val="0"/>
            <w:vAlign w:val="center"/>
          </w:tcPr>
          <w:p>
            <w:pPr>
              <w:snapToGrid w:val="0"/>
              <w:jc w:val="both"/>
              <w:rPr>
                <w:color w:val="auto"/>
                <w:sz w:val="18"/>
                <w:szCs w:val="18"/>
              </w:rPr>
            </w:pPr>
          </w:p>
        </w:tc>
      </w:tr>
      <w:tr>
        <w:trPr>
          <w:trHeight w:val="894" w:hRule="exact"/>
          <w:jc w:val="center"/>
        </w:trPr>
        <w:tc>
          <w:tcPr>
            <w:tcW w:w="1787"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隐患治理结果</w:t>
            </w:r>
          </w:p>
        </w:tc>
        <w:tc>
          <w:tcPr>
            <w:tcW w:w="7893" w:type="dxa"/>
            <w:gridSpan w:val="4"/>
            <w:shd w:val="clear" w:color="auto" w:fill="FFFFFF"/>
            <w:noWrap w:val="0"/>
            <w:vAlign w:val="center"/>
          </w:tcPr>
          <w:p>
            <w:pPr>
              <w:pStyle w:val="15"/>
              <w:snapToGrid w:val="0"/>
              <w:spacing w:line="360" w:lineRule="auto"/>
              <w:rPr>
                <w:color w:val="auto"/>
                <w:sz w:val="18"/>
                <w:szCs w:val="18"/>
              </w:rPr>
            </w:pPr>
            <w:r>
              <w:rPr>
                <w:color w:val="auto"/>
                <w:sz w:val="18"/>
                <w:szCs w:val="18"/>
              </w:rPr>
              <w:t>口整改后符合要求</w:t>
            </w:r>
          </w:p>
          <w:p>
            <w:pPr>
              <w:pStyle w:val="15"/>
              <w:tabs>
                <w:tab w:val="left" w:leader="underscore" w:pos="3446"/>
              </w:tabs>
              <w:snapToGrid w:val="0"/>
              <w:spacing w:line="360" w:lineRule="auto"/>
              <w:rPr>
                <w:color w:val="auto"/>
                <w:sz w:val="18"/>
                <w:szCs w:val="18"/>
              </w:rPr>
            </w:pPr>
            <w:r>
              <w:rPr>
                <w:color w:val="auto"/>
                <w:sz w:val="18"/>
                <w:szCs w:val="18"/>
              </w:rPr>
              <w:t>□须采</w:t>
            </w:r>
            <w:r>
              <w:rPr>
                <w:color w:val="auto"/>
                <w:sz w:val="18"/>
                <w:szCs w:val="18"/>
                <w:lang w:val="zh-CN" w:eastAsia="zh-CN" w:bidi="zh-CN"/>
              </w:rPr>
              <w:t>取进一</w:t>
            </w:r>
            <w:r>
              <w:rPr>
                <w:color w:val="auto"/>
                <w:sz w:val="18"/>
                <w:szCs w:val="18"/>
              </w:rPr>
              <w:t>步措施</w:t>
            </w:r>
            <w:r>
              <w:rPr>
                <w:color w:val="auto"/>
                <w:sz w:val="18"/>
                <w:szCs w:val="18"/>
              </w:rPr>
              <w:tab/>
            </w:r>
          </w:p>
        </w:tc>
      </w:tr>
      <w:tr>
        <w:trPr>
          <w:trHeight w:val="758" w:hRule="exact"/>
          <w:jc w:val="center"/>
        </w:trPr>
        <w:tc>
          <w:tcPr>
            <w:tcW w:w="9680" w:type="dxa"/>
            <w:gridSpan w:val="5"/>
            <w:shd w:val="clear" w:color="auto" w:fill="FFFFFF"/>
            <w:noWrap w:val="0"/>
            <w:vAlign w:val="center"/>
          </w:tcPr>
          <w:p>
            <w:pPr>
              <w:pStyle w:val="15"/>
              <w:tabs>
                <w:tab w:val="left" w:pos="3240"/>
              </w:tabs>
              <w:snapToGrid w:val="0"/>
              <w:spacing w:line="240" w:lineRule="auto"/>
              <w:jc w:val="center"/>
              <w:rPr>
                <w:color w:val="auto"/>
                <w:sz w:val="18"/>
                <w:szCs w:val="18"/>
              </w:rPr>
            </w:pPr>
            <w:r>
              <w:rPr>
                <w:color w:val="auto"/>
                <w:sz w:val="18"/>
                <w:szCs w:val="18"/>
              </w:rPr>
              <w:t>隐患排查责任人</w:t>
            </w:r>
            <w:r>
              <w:rPr>
                <w:color w:val="auto"/>
                <w:sz w:val="18"/>
                <w:szCs w:val="18"/>
              </w:rPr>
              <w:tab/>
            </w:r>
            <w:r>
              <w:rPr>
                <w:color w:val="auto"/>
                <w:sz w:val="18"/>
                <w:szCs w:val="18"/>
              </w:rPr>
              <w:t>日期</w:t>
            </w:r>
          </w:p>
        </w:tc>
      </w:tr>
    </w:tbl>
    <w:p>
      <w:pPr>
        <w:snapToGrid w:val="0"/>
        <w:rPr>
          <w:color w:val="auto"/>
          <w:sz w:val="18"/>
          <w:szCs w:val="18"/>
          <w:lang w:eastAsia="zh-CN"/>
        </w:rPr>
      </w:pPr>
    </w:p>
    <w:p>
      <w:pPr>
        <w:pStyle w:val="16"/>
        <w:snapToGrid w:val="0"/>
        <w:ind w:firstLine="0"/>
        <w:rPr>
          <w:color w:val="auto"/>
          <w:sz w:val="18"/>
          <w:szCs w:val="18"/>
        </w:rPr>
      </w:pPr>
      <w:r>
        <w:rPr>
          <w:color w:val="auto"/>
          <w:sz w:val="18"/>
          <w:szCs w:val="18"/>
        </w:rPr>
        <w:t>注：</w:t>
      </w:r>
      <w:r>
        <w:rPr>
          <w:rFonts w:ascii="Times New Roman" w:hAnsi="Times New Roman" w:eastAsia="Times New Roman" w:cs="Times New Roman"/>
          <w:color w:val="auto"/>
          <w:sz w:val="18"/>
          <w:szCs w:val="18"/>
          <w:lang w:val="en-US" w:eastAsia="zh-CN" w:bidi="en-US"/>
        </w:rPr>
        <w:t>1.</w:t>
      </w:r>
      <w:r>
        <w:rPr>
          <w:color w:val="auto"/>
          <w:sz w:val="18"/>
          <w:szCs w:val="18"/>
        </w:rPr>
        <w:t>非特种设备隐患按其他安全生产要求执行。</w:t>
      </w:r>
    </w:p>
    <w:p>
      <w:pPr>
        <w:pStyle w:val="16"/>
        <w:numPr>
          <w:ilvl w:val="0"/>
          <w:numId w:val="2"/>
        </w:numPr>
        <w:snapToGrid w:val="0"/>
        <w:ind w:firstLine="0"/>
        <w:rPr>
          <w:color w:val="auto"/>
          <w:sz w:val="18"/>
          <w:szCs w:val="18"/>
        </w:rPr>
        <w:sectPr>
          <w:headerReference r:id="rId5" w:type="first"/>
          <w:headerReference r:id="rId3" w:type="default"/>
          <w:headerReference r:id="rId4" w:type="even"/>
          <w:pgSz w:w="11900" w:h="16840"/>
          <w:pgMar w:top="1134" w:right="1134" w:bottom="1134" w:left="1134" w:header="851" w:footer="851" w:gutter="0"/>
          <w:cols w:space="720" w:num="1"/>
          <w:titlePg/>
          <w:docGrid w:linePitch="360" w:charSpace="0"/>
        </w:sectPr>
      </w:pPr>
      <w:r>
        <w:rPr>
          <w:color w:val="auto"/>
          <w:sz w:val="18"/>
          <w:szCs w:val="18"/>
          <w:lang w:val="zh-CN" w:eastAsia="zh-CN" w:bidi="zh-CN"/>
        </w:rPr>
        <w:t>“隐</w:t>
      </w:r>
      <w:r>
        <w:rPr>
          <w:color w:val="auto"/>
          <w:sz w:val="18"/>
          <w:szCs w:val="18"/>
        </w:rPr>
        <w:t>患上报要求</w:t>
      </w:r>
      <w:r>
        <w:rPr>
          <w:color w:val="auto"/>
          <w:sz w:val="18"/>
          <w:szCs w:val="18"/>
          <w:lang w:val="zh-CN" w:eastAsia="zh-CN" w:bidi="zh-CN"/>
        </w:rPr>
        <w:t>”栏</w:t>
      </w:r>
      <w:r>
        <w:rPr>
          <w:color w:val="auto"/>
          <w:sz w:val="18"/>
          <w:szCs w:val="18"/>
        </w:rPr>
        <w:t>填写隐患上报部门。</w:t>
      </w:r>
    </w:p>
    <w:p>
      <w:pPr>
        <w:pStyle w:val="14"/>
        <w:snapToGrid w:val="0"/>
        <w:spacing w:after="120" w:afterLines="50" w:line="240" w:lineRule="auto"/>
        <w:jc w:val="center"/>
        <w:rPr>
          <w:rFonts w:ascii="黑体" w:hAnsi="黑体" w:eastAsia="黑体"/>
          <w:b/>
          <w:color w:val="auto"/>
          <w:sz w:val="21"/>
          <w:szCs w:val="21"/>
        </w:rPr>
      </w:pPr>
      <w:r>
        <w:rPr>
          <w:rFonts w:ascii="黑体" w:hAnsi="黑体" w:eastAsia="黑体"/>
          <w:b/>
          <w:color w:val="auto"/>
          <w:sz w:val="21"/>
          <w:szCs w:val="21"/>
        </w:rPr>
        <w:t>表</w:t>
      </w:r>
      <w:r>
        <w:rPr>
          <w:rFonts w:ascii="黑体" w:hAnsi="黑体" w:eastAsia="黑体" w:cs="Times New Roman"/>
          <w:b/>
          <w:color w:val="auto"/>
          <w:sz w:val="21"/>
          <w:szCs w:val="21"/>
          <w:lang w:val="en-US" w:eastAsia="zh-CN" w:bidi="en-US"/>
        </w:rPr>
        <w:t>A.</w:t>
      </w:r>
      <w:r>
        <w:rPr>
          <w:rFonts w:hint="eastAsia" w:ascii="黑体" w:hAnsi="黑体" w:eastAsia="黑体" w:cs="Times New Roman"/>
          <w:b/>
          <w:color w:val="auto"/>
          <w:sz w:val="21"/>
          <w:szCs w:val="21"/>
          <w:lang w:val="en-US" w:eastAsia="zh-CN" w:bidi="en-US"/>
        </w:rPr>
        <w:t xml:space="preserve">2  </w:t>
      </w:r>
      <w:r>
        <w:rPr>
          <w:rFonts w:ascii="黑体" w:hAnsi="黑体" w:eastAsia="黑体"/>
          <w:b/>
          <w:color w:val="auto"/>
          <w:sz w:val="21"/>
          <w:szCs w:val="21"/>
        </w:rPr>
        <w:t>特种设备</w:t>
      </w:r>
      <w:r>
        <w:rPr>
          <w:rFonts w:hint="eastAsia" w:ascii="黑体" w:hAnsi="黑体" w:eastAsia="黑体"/>
          <w:b/>
          <w:color w:val="auto"/>
          <w:sz w:val="21"/>
          <w:szCs w:val="21"/>
          <w:lang w:eastAsia="zh-CN"/>
        </w:rPr>
        <w:t>隐患排查清单——</w:t>
      </w:r>
      <w:r>
        <w:rPr>
          <w:rFonts w:ascii="黑体" w:hAnsi="黑体" w:eastAsia="黑体"/>
          <w:b/>
          <w:color w:val="auto"/>
          <w:sz w:val="21"/>
          <w:szCs w:val="21"/>
        </w:rPr>
        <w:t>使用管理通用要求</w:t>
      </w:r>
    </w:p>
    <w:tbl>
      <w:tblPr>
        <w:tblStyle w:val="8"/>
        <w:tblpPr/>
        <w:tblOverlap w:val="never"/>
        <w:tblW w:w="14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1"/>
        <w:gridCol w:w="709"/>
        <w:gridCol w:w="1177"/>
        <w:gridCol w:w="992"/>
        <w:gridCol w:w="11212"/>
      </w:tblGrid>
      <w:tr>
        <w:trPr>
          <w:trHeight w:val="239" w:hRule="exact"/>
          <w:jc w:val="center"/>
        </w:trPr>
        <w:tc>
          <w:tcPr>
            <w:tcW w:w="851"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排查内容</w:t>
            </w:r>
          </w:p>
        </w:tc>
        <w:tc>
          <w:tcPr>
            <w:tcW w:w="709"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lang w:eastAsia="zh-CN"/>
              </w:rPr>
            </w:pPr>
            <w:r>
              <w:rPr>
                <w:rFonts w:ascii="黑体" w:hAnsi="黑体" w:eastAsia="黑体"/>
                <w:b/>
                <w:color w:val="auto"/>
                <w:sz w:val="18"/>
                <w:szCs w:val="18"/>
              </w:rPr>
              <w:t>排查</w:t>
            </w:r>
          </w:p>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时间</w:t>
            </w:r>
          </w:p>
        </w:tc>
        <w:tc>
          <w:tcPr>
            <w:tcW w:w="2169" w:type="dxa"/>
            <w:gridSpan w:val="2"/>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排查依据</w:t>
            </w:r>
          </w:p>
        </w:tc>
        <w:tc>
          <w:tcPr>
            <w:tcW w:w="11212"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排查要求</w:t>
            </w:r>
          </w:p>
        </w:tc>
      </w:tr>
      <w:tr>
        <w:trPr>
          <w:trHeight w:val="287" w:hRule="exact"/>
          <w:jc w:val="center"/>
        </w:trPr>
        <w:tc>
          <w:tcPr>
            <w:tcW w:w="851" w:type="dxa"/>
            <w:vMerge w:val="continue"/>
            <w:shd w:val="clear" w:color="auto" w:fill="FFFFFF"/>
            <w:noWrap w:val="0"/>
            <w:vAlign w:val="center"/>
          </w:tcPr>
          <w:p>
            <w:pPr>
              <w:snapToGrid w:val="0"/>
              <w:jc w:val="center"/>
              <w:rPr>
                <w:rFonts w:ascii="黑体" w:hAnsi="黑体" w:eastAsia="黑体"/>
                <w:b/>
                <w:color w:val="auto"/>
                <w:sz w:val="18"/>
                <w:szCs w:val="18"/>
              </w:rPr>
            </w:pPr>
          </w:p>
        </w:tc>
        <w:tc>
          <w:tcPr>
            <w:tcW w:w="709" w:type="dxa"/>
            <w:vMerge w:val="continue"/>
            <w:shd w:val="clear" w:color="auto" w:fill="FFFFFF"/>
            <w:noWrap w:val="0"/>
            <w:vAlign w:val="center"/>
          </w:tcPr>
          <w:p>
            <w:pPr>
              <w:snapToGrid w:val="0"/>
              <w:rPr>
                <w:rFonts w:ascii="黑体" w:hAnsi="黑体" w:eastAsia="黑体"/>
                <w:b/>
                <w:color w:val="auto"/>
                <w:sz w:val="18"/>
                <w:szCs w:val="18"/>
              </w:rPr>
            </w:pPr>
          </w:p>
        </w:tc>
        <w:tc>
          <w:tcPr>
            <w:tcW w:w="1177"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法规标准</w:t>
            </w:r>
          </w:p>
        </w:tc>
        <w:tc>
          <w:tcPr>
            <w:tcW w:w="992"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适用条款</w:t>
            </w:r>
          </w:p>
        </w:tc>
        <w:tc>
          <w:tcPr>
            <w:tcW w:w="11212" w:type="dxa"/>
            <w:vMerge w:val="continue"/>
            <w:shd w:val="clear" w:color="auto" w:fill="FFFFFF"/>
            <w:noWrap w:val="0"/>
            <w:vAlign w:val="center"/>
          </w:tcPr>
          <w:p>
            <w:pPr>
              <w:snapToGrid w:val="0"/>
              <w:rPr>
                <w:rFonts w:ascii="黑体" w:hAnsi="黑体" w:eastAsia="黑体"/>
                <w:b/>
                <w:color w:val="auto"/>
                <w:sz w:val="18"/>
                <w:szCs w:val="18"/>
              </w:rPr>
            </w:pPr>
          </w:p>
        </w:tc>
      </w:tr>
      <w:tr>
        <w:trPr>
          <w:trHeight w:val="3344" w:hRule="exact"/>
          <w:jc w:val="center"/>
        </w:trPr>
        <w:tc>
          <w:tcPr>
            <w:tcW w:w="851" w:type="dxa"/>
            <w:shd w:val="clear" w:color="auto" w:fill="FFFFFF"/>
            <w:noWrap w:val="0"/>
            <w:vAlign w:val="center"/>
          </w:tcPr>
          <w:p>
            <w:pPr>
              <w:pStyle w:val="15"/>
              <w:snapToGrid w:val="0"/>
              <w:spacing w:line="240" w:lineRule="auto"/>
              <w:jc w:val="center"/>
              <w:rPr>
                <w:color w:val="auto"/>
                <w:sz w:val="18"/>
                <w:szCs w:val="18"/>
              </w:rPr>
            </w:pPr>
            <w:bookmarkStart w:id="0" w:name="_Hlk53690291"/>
            <w:r>
              <w:rPr>
                <w:color w:val="auto"/>
                <w:sz w:val="18"/>
                <w:szCs w:val="18"/>
              </w:rPr>
              <w:t>主要义务</w:t>
            </w:r>
            <w:bookmarkEnd w:id="0"/>
          </w:p>
        </w:tc>
        <w:tc>
          <w:tcPr>
            <w:tcW w:w="709" w:type="dxa"/>
            <w:vMerge w:val="restart"/>
            <w:shd w:val="clear" w:color="auto" w:fill="FFFFFF"/>
            <w:noWrap w:val="0"/>
            <w:vAlign w:val="center"/>
          </w:tcPr>
          <w:p>
            <w:pPr>
              <w:pStyle w:val="15"/>
              <w:snapToGrid w:val="0"/>
              <w:spacing w:line="240" w:lineRule="auto"/>
              <w:jc w:val="center"/>
              <w:rPr>
                <w:rFonts w:hint="eastAsia" w:ascii="Times New Roman" w:hAnsi="Times New Roman" w:cs="Times New Roman"/>
                <w:color w:val="auto"/>
                <w:sz w:val="18"/>
                <w:szCs w:val="18"/>
                <w:lang w:eastAsia="zh-CN"/>
              </w:rPr>
            </w:pPr>
            <w:r>
              <w:rPr>
                <w:color w:val="auto"/>
                <w:sz w:val="18"/>
                <w:szCs w:val="18"/>
              </w:rPr>
              <w:t>每</w:t>
            </w:r>
            <w:r>
              <w:rPr>
                <w:rFonts w:hint="eastAsia" w:ascii="Times New Roman" w:hAnsi="Times New Roman" w:cs="Times New Roman"/>
                <w:color w:val="auto"/>
                <w:sz w:val="18"/>
                <w:szCs w:val="18"/>
                <w:lang w:eastAsia="zh-CN"/>
              </w:rPr>
              <w:t>年</w:t>
            </w:r>
          </w:p>
          <w:p>
            <w:pPr>
              <w:pStyle w:val="15"/>
              <w:snapToGrid w:val="0"/>
              <w:spacing w:line="240" w:lineRule="auto"/>
              <w:jc w:val="center"/>
              <w:rPr>
                <w:color w:val="auto"/>
                <w:sz w:val="18"/>
                <w:szCs w:val="18"/>
              </w:rPr>
            </w:pPr>
            <w:r>
              <w:rPr>
                <w:color w:val="auto"/>
                <w:sz w:val="18"/>
                <w:szCs w:val="18"/>
              </w:rPr>
              <w:t>一次</w:t>
            </w:r>
          </w:p>
        </w:tc>
        <w:tc>
          <w:tcPr>
            <w:tcW w:w="1177" w:type="dxa"/>
            <w:vMerge w:val="restart"/>
            <w:shd w:val="clear" w:color="auto" w:fill="FFFFFF"/>
            <w:noWrap w:val="0"/>
            <w:vAlign w:val="center"/>
          </w:tcPr>
          <w:p>
            <w:pPr>
              <w:pStyle w:val="15"/>
              <w:snapToGrid w:val="0"/>
              <w:spacing w:line="240" w:lineRule="auto"/>
              <w:jc w:val="center"/>
              <w:rPr>
                <w:color w:val="auto"/>
                <w:sz w:val="18"/>
                <w:szCs w:val="18"/>
              </w:rPr>
            </w:pPr>
            <w:r>
              <w:rPr>
                <w:color w:val="auto"/>
                <w:sz w:val="18"/>
                <w:szCs w:val="18"/>
              </w:rPr>
              <w:t>特种设备使用管理规则</w:t>
            </w:r>
          </w:p>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992"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2.2</w:t>
            </w:r>
          </w:p>
        </w:tc>
        <w:tc>
          <w:tcPr>
            <w:tcW w:w="11212"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特种设备使用单位主要义务如下：</w:t>
            </w:r>
          </w:p>
          <w:p>
            <w:pPr>
              <w:pStyle w:val="15"/>
              <w:numPr>
                <w:ilvl w:val="0"/>
                <w:numId w:val="3"/>
              </w:numPr>
              <w:tabs>
                <w:tab w:val="left" w:pos="317"/>
              </w:tabs>
              <w:snapToGrid w:val="0"/>
              <w:spacing w:line="240" w:lineRule="auto"/>
              <w:jc w:val="both"/>
              <w:rPr>
                <w:color w:val="auto"/>
                <w:sz w:val="18"/>
                <w:szCs w:val="18"/>
              </w:rPr>
            </w:pPr>
            <w:r>
              <w:rPr>
                <w:color w:val="auto"/>
                <w:sz w:val="18"/>
                <w:szCs w:val="18"/>
              </w:rPr>
              <w:t>建立并且有效实施特种设备安全管理制度和高耗能特种设备节能管理制度，以及操作规程；</w:t>
            </w:r>
          </w:p>
          <w:p>
            <w:pPr>
              <w:pStyle w:val="15"/>
              <w:numPr>
                <w:ilvl w:val="0"/>
                <w:numId w:val="3"/>
              </w:numPr>
              <w:tabs>
                <w:tab w:val="left" w:pos="331"/>
              </w:tabs>
              <w:snapToGrid w:val="0"/>
              <w:spacing w:line="240" w:lineRule="auto"/>
              <w:jc w:val="both"/>
              <w:rPr>
                <w:color w:val="auto"/>
                <w:sz w:val="18"/>
                <w:szCs w:val="18"/>
              </w:rPr>
            </w:pPr>
            <w:r>
              <w:rPr>
                <w:color w:val="auto"/>
                <w:sz w:val="18"/>
                <w:szCs w:val="18"/>
              </w:rPr>
              <w:t>采购、使用取得许可生产(含设计、制造、安装、改造、修理，下同)，并且经检验合格的特种设备，不得采购超过设 计使用年限的特种设备,禁止使用国家明令淘汰和已经报废的特种设备；</w:t>
            </w:r>
          </w:p>
          <w:p>
            <w:pPr>
              <w:pStyle w:val="15"/>
              <w:numPr>
                <w:ilvl w:val="0"/>
                <w:numId w:val="3"/>
              </w:numPr>
              <w:tabs>
                <w:tab w:val="left" w:pos="336"/>
              </w:tabs>
              <w:snapToGrid w:val="0"/>
              <w:spacing w:line="240" w:lineRule="auto"/>
              <w:jc w:val="both"/>
              <w:rPr>
                <w:color w:val="auto"/>
                <w:sz w:val="18"/>
                <w:szCs w:val="18"/>
              </w:rPr>
            </w:pPr>
            <w:r>
              <w:rPr>
                <w:color w:val="auto"/>
                <w:sz w:val="18"/>
                <w:szCs w:val="18"/>
              </w:rPr>
              <w:t>设置特种设备安全管理机构，配备相应的安全管理人员和作业人员，建立人员管理台账，开展安全与节能培训教育，保存人员培训记录；</w:t>
            </w:r>
          </w:p>
          <w:p>
            <w:pPr>
              <w:pStyle w:val="15"/>
              <w:numPr>
                <w:ilvl w:val="0"/>
                <w:numId w:val="3"/>
              </w:numPr>
              <w:tabs>
                <w:tab w:val="left" w:pos="317"/>
              </w:tabs>
              <w:snapToGrid w:val="0"/>
              <w:spacing w:line="240" w:lineRule="auto"/>
              <w:jc w:val="both"/>
              <w:rPr>
                <w:color w:val="auto"/>
                <w:sz w:val="18"/>
                <w:szCs w:val="18"/>
              </w:rPr>
            </w:pPr>
            <w:r>
              <w:rPr>
                <w:color w:val="auto"/>
                <w:sz w:val="18"/>
                <w:szCs w:val="18"/>
              </w:rPr>
              <w:t>办理使用登记，领取《特种设备使用登记证》，设备注销时交回使用登记证；</w:t>
            </w:r>
          </w:p>
          <w:p>
            <w:pPr>
              <w:pStyle w:val="15"/>
              <w:numPr>
                <w:ilvl w:val="0"/>
                <w:numId w:val="3"/>
              </w:numPr>
              <w:tabs>
                <w:tab w:val="left" w:pos="317"/>
              </w:tabs>
              <w:snapToGrid w:val="0"/>
              <w:spacing w:line="240" w:lineRule="auto"/>
              <w:jc w:val="both"/>
              <w:rPr>
                <w:color w:val="auto"/>
                <w:sz w:val="18"/>
                <w:szCs w:val="18"/>
              </w:rPr>
            </w:pPr>
            <w:r>
              <w:rPr>
                <w:color w:val="auto"/>
                <w:sz w:val="18"/>
                <w:szCs w:val="18"/>
              </w:rPr>
              <w:t>建立特种设备台账及技术档案；</w:t>
            </w:r>
          </w:p>
          <w:p>
            <w:pPr>
              <w:pStyle w:val="15"/>
              <w:numPr>
                <w:ilvl w:val="0"/>
                <w:numId w:val="3"/>
              </w:numPr>
              <w:tabs>
                <w:tab w:val="left" w:pos="317"/>
              </w:tabs>
              <w:snapToGrid w:val="0"/>
              <w:spacing w:line="240" w:lineRule="auto"/>
              <w:jc w:val="both"/>
              <w:rPr>
                <w:color w:val="auto"/>
                <w:sz w:val="18"/>
                <w:szCs w:val="18"/>
              </w:rPr>
            </w:pPr>
            <w:r>
              <w:rPr>
                <w:color w:val="auto"/>
                <w:sz w:val="18"/>
                <w:szCs w:val="18"/>
              </w:rPr>
              <w:t>对特种设备作业人员作业情况进行检查，及时纠正违章作业行为；</w:t>
            </w:r>
          </w:p>
          <w:p>
            <w:pPr>
              <w:pStyle w:val="15"/>
              <w:numPr>
                <w:ilvl w:val="0"/>
                <w:numId w:val="3"/>
              </w:numPr>
              <w:tabs>
                <w:tab w:val="left" w:pos="331"/>
              </w:tabs>
              <w:snapToGrid w:val="0"/>
              <w:spacing w:line="240" w:lineRule="auto"/>
              <w:jc w:val="both"/>
              <w:rPr>
                <w:color w:val="auto"/>
                <w:sz w:val="18"/>
                <w:szCs w:val="18"/>
              </w:rPr>
            </w:pPr>
            <w:r>
              <w:rPr>
                <w:color w:val="auto"/>
                <w:sz w:val="18"/>
                <w:szCs w:val="18"/>
              </w:rPr>
              <w:t>对在用特种设备进行经常性维护保养和定期自行检查，及时排查和消除事故隐患，对在用特种设备的安全附件、安全保护装置及其附属仪器仪表进行定期校验(检定、校准，下同)、检修，及时提出定期检验和能效测试申请，接受定期检验和能效测试，并且做好相关配合工作；</w:t>
            </w:r>
          </w:p>
          <w:p>
            <w:pPr>
              <w:pStyle w:val="15"/>
              <w:numPr>
                <w:ilvl w:val="0"/>
                <w:numId w:val="3"/>
              </w:numPr>
              <w:tabs>
                <w:tab w:val="left" w:pos="317"/>
              </w:tabs>
              <w:snapToGrid w:val="0"/>
              <w:spacing w:line="240" w:lineRule="auto"/>
              <w:jc w:val="both"/>
              <w:rPr>
                <w:color w:val="auto"/>
                <w:sz w:val="18"/>
                <w:szCs w:val="18"/>
              </w:rPr>
            </w:pPr>
            <w:r>
              <w:rPr>
                <w:color w:val="auto"/>
                <w:sz w:val="18"/>
                <w:szCs w:val="18"/>
              </w:rPr>
              <w:t>制定特种设备事故应急专项预案,定期进行应急演练；发生事故及时上报，配合事故调查处理等；</w:t>
            </w:r>
          </w:p>
          <w:p>
            <w:pPr>
              <w:pStyle w:val="15"/>
              <w:numPr>
                <w:ilvl w:val="0"/>
                <w:numId w:val="3"/>
              </w:numPr>
              <w:tabs>
                <w:tab w:val="left" w:pos="317"/>
              </w:tabs>
              <w:snapToGrid w:val="0"/>
              <w:spacing w:line="240" w:lineRule="auto"/>
              <w:jc w:val="both"/>
              <w:rPr>
                <w:color w:val="auto"/>
                <w:sz w:val="18"/>
                <w:szCs w:val="18"/>
              </w:rPr>
            </w:pPr>
            <w:r>
              <w:rPr>
                <w:color w:val="auto"/>
                <w:sz w:val="18"/>
                <w:szCs w:val="18"/>
              </w:rPr>
              <w:t>保证特种设备安全、节能必要的投入；</w:t>
            </w:r>
          </w:p>
          <w:p>
            <w:pPr>
              <w:pStyle w:val="15"/>
              <w:numPr>
                <w:ilvl w:val="0"/>
                <w:numId w:val="3"/>
              </w:numPr>
              <w:tabs>
                <w:tab w:val="left" w:pos="403"/>
              </w:tabs>
              <w:snapToGrid w:val="0"/>
              <w:spacing w:line="240" w:lineRule="auto"/>
              <w:jc w:val="both"/>
              <w:rPr>
                <w:color w:val="auto"/>
                <w:sz w:val="18"/>
                <w:szCs w:val="18"/>
              </w:rPr>
            </w:pPr>
            <w:r>
              <w:rPr>
                <w:color w:val="auto"/>
                <w:sz w:val="18"/>
                <w:szCs w:val="18"/>
              </w:rPr>
              <w:t>法律、法规规定的其他义务。</w:t>
            </w:r>
          </w:p>
          <w:p>
            <w:pPr>
              <w:pStyle w:val="15"/>
              <w:snapToGrid w:val="0"/>
              <w:spacing w:line="240" w:lineRule="auto"/>
              <w:rPr>
                <w:color w:val="auto"/>
                <w:sz w:val="18"/>
                <w:szCs w:val="18"/>
              </w:rPr>
            </w:pPr>
            <w:r>
              <w:rPr>
                <w:color w:val="auto"/>
                <w:sz w:val="18"/>
                <w:szCs w:val="18"/>
              </w:rPr>
              <w:t>使用单位应当接受特种设备安全监管部门依法实施的监督检查。</w:t>
            </w:r>
          </w:p>
        </w:tc>
      </w:tr>
      <w:tr>
        <w:trPr>
          <w:trHeight w:val="2243" w:hRule="exact"/>
          <w:jc w:val="center"/>
        </w:trPr>
        <w:tc>
          <w:tcPr>
            <w:tcW w:w="851" w:type="dxa"/>
            <w:shd w:val="clear" w:color="auto" w:fill="FFFFFF"/>
            <w:noWrap w:val="0"/>
            <w:vAlign w:val="center"/>
          </w:tcPr>
          <w:p>
            <w:pPr>
              <w:pStyle w:val="15"/>
              <w:snapToGrid w:val="0"/>
              <w:spacing w:line="240" w:lineRule="auto"/>
              <w:jc w:val="center"/>
              <w:rPr>
                <w:color w:val="auto"/>
                <w:sz w:val="18"/>
                <w:szCs w:val="18"/>
              </w:rPr>
            </w:pPr>
            <w:bookmarkStart w:id="1" w:name="_Hlk53690338"/>
            <w:r>
              <w:rPr>
                <w:color w:val="auto"/>
                <w:sz w:val="18"/>
                <w:szCs w:val="18"/>
              </w:rPr>
              <w:t>机构设置</w:t>
            </w:r>
            <w:bookmarkEnd w:id="1"/>
          </w:p>
        </w:tc>
        <w:tc>
          <w:tcPr>
            <w:tcW w:w="709" w:type="dxa"/>
            <w:vMerge w:val="continue"/>
            <w:shd w:val="clear" w:color="auto" w:fill="FFFFFF"/>
            <w:noWrap w:val="0"/>
            <w:vAlign w:val="center"/>
          </w:tcPr>
          <w:p>
            <w:pPr>
              <w:pStyle w:val="15"/>
              <w:snapToGrid w:val="0"/>
              <w:spacing w:line="240" w:lineRule="auto"/>
              <w:rPr>
                <w:color w:val="auto"/>
                <w:sz w:val="18"/>
                <w:szCs w:val="18"/>
              </w:rPr>
            </w:pPr>
          </w:p>
        </w:tc>
        <w:tc>
          <w:tcPr>
            <w:tcW w:w="1177" w:type="dxa"/>
            <w:vMerge w:val="continue"/>
            <w:shd w:val="clear" w:color="auto" w:fill="FFFFFF"/>
            <w:noWrap w:val="0"/>
            <w:vAlign w:val="center"/>
          </w:tcPr>
          <w:p>
            <w:pPr>
              <w:pStyle w:val="15"/>
              <w:snapToGrid w:val="0"/>
              <w:jc w:val="center"/>
              <w:rPr>
                <w:color w:val="auto"/>
                <w:sz w:val="18"/>
                <w:szCs w:val="18"/>
              </w:rPr>
            </w:pPr>
          </w:p>
        </w:tc>
        <w:tc>
          <w:tcPr>
            <w:tcW w:w="992"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2.3</w:t>
            </w:r>
          </w:p>
        </w:tc>
        <w:tc>
          <w:tcPr>
            <w:tcW w:w="11212" w:type="dxa"/>
            <w:shd w:val="clear" w:color="auto" w:fill="FFFFFF"/>
            <w:noWrap w:val="0"/>
            <w:vAlign w:val="center"/>
          </w:tcPr>
          <w:p>
            <w:pPr>
              <w:pStyle w:val="15"/>
              <w:snapToGrid w:val="0"/>
              <w:spacing w:line="240" w:lineRule="auto"/>
              <w:rPr>
                <w:color w:val="auto"/>
                <w:sz w:val="18"/>
                <w:szCs w:val="18"/>
              </w:rPr>
            </w:pPr>
            <w:r>
              <w:rPr>
                <w:color w:val="auto"/>
                <w:sz w:val="18"/>
                <w:szCs w:val="18"/>
              </w:rPr>
              <w:t>符合下列条件之一的特种设备使用单位，应当根据本单位特种设备的类别、品种、用途、数量等情况设置特种设备 安全管理机构，逐台落实安全责任人：</w:t>
            </w:r>
          </w:p>
          <w:p>
            <w:pPr>
              <w:pStyle w:val="15"/>
              <w:snapToGrid w:val="0"/>
              <w:spacing w:line="240" w:lineRule="auto"/>
              <w:rPr>
                <w:color w:val="auto"/>
                <w:sz w:val="18"/>
                <w:szCs w:val="18"/>
              </w:rPr>
            </w:pPr>
            <w:r>
              <w:rPr>
                <w:color w:val="auto"/>
                <w:sz w:val="18"/>
                <w:szCs w:val="18"/>
              </w:rPr>
              <w:t>（</w:t>
            </w:r>
            <w:r>
              <w:rPr>
                <w:rFonts w:hint="eastAsia"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color w:val="auto"/>
                <w:sz w:val="18"/>
                <w:szCs w:val="18"/>
              </w:rPr>
              <w:t>使用电站锅炉或者石化与化工成套装置的；</w:t>
            </w:r>
          </w:p>
          <w:p>
            <w:pPr>
              <w:pStyle w:val="15"/>
              <w:tabs>
                <w:tab w:val="left" w:pos="31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2）</w:t>
            </w:r>
            <w:r>
              <w:rPr>
                <w:color w:val="auto"/>
                <w:sz w:val="18"/>
                <w:szCs w:val="18"/>
              </w:rPr>
              <w:t>使用为公众提供运营服务电梯的（注</w:t>
            </w:r>
            <w:r>
              <w:rPr>
                <w:rFonts w:ascii="Times New Roman" w:hAnsi="Times New Roman" w:eastAsia="Times New Roman" w:cs="Times New Roman"/>
                <w:color w:val="auto"/>
                <w:sz w:val="18"/>
                <w:szCs w:val="18"/>
              </w:rPr>
              <w:t>2-2）</w:t>
            </w:r>
            <w:r>
              <w:rPr>
                <w:rFonts w:hint="eastAsia" w:ascii="Times New Roman" w:hAnsi="Times New Roman" w:cs="Times New Roman"/>
                <w:color w:val="auto"/>
                <w:sz w:val="18"/>
                <w:szCs w:val="18"/>
                <w:lang w:eastAsia="zh-CN"/>
              </w:rPr>
              <w:t>，</w:t>
            </w:r>
            <w:r>
              <w:rPr>
                <w:color w:val="auto"/>
                <w:sz w:val="18"/>
                <w:szCs w:val="18"/>
              </w:rPr>
              <w:t>或者在公众聚集场所（注</w:t>
            </w:r>
            <w:r>
              <w:rPr>
                <w:rFonts w:ascii="Times New Roman" w:hAnsi="Times New Roman" w:eastAsia="Times New Roman" w:cs="Times New Roman"/>
                <w:color w:val="auto"/>
                <w:sz w:val="18"/>
                <w:szCs w:val="18"/>
              </w:rPr>
              <w:t>2-3）</w:t>
            </w:r>
            <w:r>
              <w:rPr>
                <w:color w:val="auto"/>
                <w:sz w:val="18"/>
                <w:szCs w:val="18"/>
              </w:rPr>
              <w:t>使用</w:t>
            </w:r>
            <w:r>
              <w:rPr>
                <w:rFonts w:ascii="Times New Roman" w:hAnsi="Times New Roman" w:eastAsia="Times New Roman" w:cs="Times New Roman"/>
                <w:color w:val="auto"/>
                <w:sz w:val="18"/>
                <w:szCs w:val="18"/>
              </w:rPr>
              <w:t>30</w:t>
            </w:r>
            <w:r>
              <w:rPr>
                <w:color w:val="auto"/>
                <w:sz w:val="18"/>
                <w:szCs w:val="18"/>
              </w:rPr>
              <w:t>台以上（含</w:t>
            </w:r>
            <w:r>
              <w:rPr>
                <w:rFonts w:ascii="Times New Roman" w:hAnsi="Times New Roman" w:eastAsia="Times New Roman" w:cs="Times New Roman"/>
                <w:color w:val="auto"/>
                <w:sz w:val="18"/>
                <w:szCs w:val="18"/>
              </w:rPr>
              <w:t>30</w:t>
            </w:r>
            <w:r>
              <w:rPr>
                <w:color w:val="auto"/>
                <w:sz w:val="18"/>
                <w:szCs w:val="18"/>
              </w:rPr>
              <w:t>台）电梯的；</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3）</w:t>
            </w:r>
            <w:r>
              <w:rPr>
                <w:color w:val="auto"/>
                <w:sz w:val="18"/>
                <w:szCs w:val="18"/>
              </w:rPr>
              <w:t>使用</w:t>
            </w:r>
            <w:r>
              <w:rPr>
                <w:rFonts w:ascii="Times New Roman" w:hAnsi="Times New Roman" w:eastAsia="Times New Roman" w:cs="Times New Roman"/>
                <w:color w:val="auto"/>
                <w:sz w:val="18"/>
                <w:szCs w:val="18"/>
              </w:rPr>
              <w:t>10</w:t>
            </w:r>
            <w:r>
              <w:rPr>
                <w:color w:val="auto"/>
                <w:sz w:val="18"/>
                <w:szCs w:val="18"/>
              </w:rPr>
              <w:t>台以上（含</w:t>
            </w:r>
            <w:r>
              <w:rPr>
                <w:rFonts w:ascii="Times New Roman" w:hAnsi="Times New Roman" w:eastAsia="Times New Roman" w:cs="Times New Roman"/>
                <w:color w:val="auto"/>
                <w:sz w:val="18"/>
                <w:szCs w:val="18"/>
              </w:rPr>
              <w:t>10</w:t>
            </w:r>
            <w:r>
              <w:rPr>
                <w:color w:val="auto"/>
                <w:sz w:val="18"/>
                <w:szCs w:val="18"/>
              </w:rPr>
              <w:t>台）大型游乐设施的，或者</w:t>
            </w:r>
            <w:r>
              <w:rPr>
                <w:rFonts w:ascii="Times New Roman" w:hAnsi="Times New Roman" w:eastAsia="Times New Roman" w:cs="Times New Roman"/>
                <w:color w:val="auto"/>
                <w:sz w:val="18"/>
                <w:szCs w:val="18"/>
              </w:rPr>
              <w:t>10</w:t>
            </w:r>
            <w:r>
              <w:rPr>
                <w:color w:val="auto"/>
                <w:sz w:val="18"/>
                <w:szCs w:val="18"/>
              </w:rPr>
              <w:t>台以上（含</w:t>
            </w:r>
            <w:r>
              <w:rPr>
                <w:rFonts w:ascii="Times New Roman" w:hAnsi="Times New Roman" w:eastAsia="Times New Roman" w:cs="Times New Roman"/>
                <w:color w:val="auto"/>
                <w:sz w:val="18"/>
                <w:szCs w:val="18"/>
              </w:rPr>
              <w:t>10</w:t>
            </w:r>
            <w:r>
              <w:rPr>
                <w:color w:val="auto"/>
                <w:sz w:val="18"/>
                <w:szCs w:val="18"/>
              </w:rPr>
              <w:t>台）为公众提供运营服务非公路用旅游观光车辆的；</w:t>
            </w:r>
          </w:p>
          <w:p>
            <w:pPr>
              <w:pStyle w:val="15"/>
              <w:tabs>
                <w:tab w:val="left" w:pos="31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4）</w:t>
            </w:r>
            <w:r>
              <w:rPr>
                <w:color w:val="auto"/>
                <w:sz w:val="18"/>
                <w:szCs w:val="18"/>
              </w:rPr>
              <w:t>使用客运架空索道，或者客运缆车的；</w:t>
            </w:r>
          </w:p>
          <w:p>
            <w:pPr>
              <w:pStyle w:val="15"/>
              <w:tabs>
                <w:tab w:val="left" w:pos="31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5）</w:t>
            </w:r>
            <w:r>
              <w:rPr>
                <w:color w:val="auto"/>
                <w:sz w:val="18"/>
                <w:szCs w:val="18"/>
              </w:rPr>
              <w:t>使用特种设备（不含气瓶）总量</w:t>
            </w:r>
            <w:r>
              <w:rPr>
                <w:rFonts w:ascii="Times New Roman" w:hAnsi="Times New Roman" w:eastAsia="Times New Roman" w:cs="Times New Roman"/>
                <w:color w:val="auto"/>
                <w:sz w:val="18"/>
                <w:szCs w:val="18"/>
              </w:rPr>
              <w:t>50</w:t>
            </w:r>
            <w:r>
              <w:rPr>
                <w:color w:val="auto"/>
                <w:sz w:val="18"/>
                <w:szCs w:val="18"/>
              </w:rPr>
              <w:t>台以上（含</w:t>
            </w:r>
            <w:r>
              <w:rPr>
                <w:rFonts w:ascii="Times New Roman" w:hAnsi="Times New Roman" w:eastAsia="Times New Roman" w:cs="Times New Roman"/>
                <w:color w:val="auto"/>
                <w:sz w:val="18"/>
                <w:szCs w:val="18"/>
              </w:rPr>
              <w:t>50</w:t>
            </w:r>
            <w:r>
              <w:rPr>
                <w:color w:val="auto"/>
                <w:sz w:val="18"/>
                <w:szCs w:val="18"/>
              </w:rPr>
              <w:t>台）的。</w:t>
            </w:r>
          </w:p>
          <w:p>
            <w:pPr>
              <w:pStyle w:val="15"/>
              <w:snapToGrid w:val="0"/>
              <w:spacing w:line="240" w:lineRule="auto"/>
              <w:rPr>
                <w:color w:val="auto"/>
                <w:sz w:val="15"/>
                <w:szCs w:val="15"/>
              </w:rPr>
            </w:pPr>
            <w:r>
              <w:rPr>
                <w:color w:val="auto"/>
                <w:sz w:val="15"/>
                <w:szCs w:val="15"/>
              </w:rPr>
              <w:t>注</w:t>
            </w:r>
            <w:r>
              <w:rPr>
                <w:rFonts w:ascii="Times New Roman" w:hAnsi="Times New Roman" w:eastAsia="Times New Roman" w:cs="Times New Roman"/>
                <w:color w:val="auto"/>
                <w:sz w:val="15"/>
                <w:szCs w:val="15"/>
                <w:lang w:val="en-US" w:eastAsia="zh-CN" w:bidi="en-US"/>
              </w:rPr>
              <w:t>2-2</w:t>
            </w:r>
            <w:r>
              <w:rPr>
                <w:color w:val="auto"/>
                <w:sz w:val="15"/>
                <w:szCs w:val="15"/>
                <w:lang w:val="en-US" w:eastAsia="zh-CN" w:bidi="en-US"/>
              </w:rPr>
              <w:t>：</w:t>
            </w:r>
            <w:r>
              <w:rPr>
                <w:color w:val="auto"/>
                <w:sz w:val="15"/>
                <w:szCs w:val="15"/>
              </w:rPr>
              <w:t>为公众提供运营服务的特种设备使用单位，是指以特种设备作为经营工具的使用单位。</w:t>
            </w:r>
          </w:p>
          <w:p>
            <w:pPr>
              <w:pStyle w:val="15"/>
              <w:snapToGrid w:val="0"/>
              <w:spacing w:line="240" w:lineRule="auto"/>
              <w:rPr>
                <w:color w:val="auto"/>
                <w:sz w:val="18"/>
                <w:szCs w:val="18"/>
              </w:rPr>
            </w:pPr>
            <w:r>
              <w:rPr>
                <w:color w:val="auto"/>
                <w:sz w:val="15"/>
                <w:szCs w:val="15"/>
              </w:rPr>
              <w:t>注</w:t>
            </w:r>
            <w:r>
              <w:rPr>
                <w:rFonts w:ascii="Times New Roman" w:hAnsi="Times New Roman" w:eastAsia="Times New Roman" w:cs="Times New Roman"/>
                <w:color w:val="auto"/>
                <w:sz w:val="15"/>
                <w:szCs w:val="15"/>
                <w:lang w:val="en-US" w:eastAsia="zh-CN" w:bidi="en-US"/>
              </w:rPr>
              <w:t>2-3</w:t>
            </w:r>
            <w:r>
              <w:rPr>
                <w:color w:val="auto"/>
                <w:sz w:val="15"/>
                <w:szCs w:val="15"/>
                <w:lang w:val="en-US" w:eastAsia="zh-CN" w:bidi="en-US"/>
              </w:rPr>
              <w:t>：</w:t>
            </w:r>
            <w:r>
              <w:rPr>
                <w:color w:val="auto"/>
                <w:sz w:val="15"/>
                <w:szCs w:val="15"/>
              </w:rPr>
              <w:t>公众聚集场所，是指学校、幼儿园、医疗机构、车站、机场、客运码头、商场、餐饮场所、体育场馆、展览馆、公园、宾馆、影剧院、图书馆、儿童活动中心、公共浴池、养老机构等。</w:t>
            </w:r>
          </w:p>
        </w:tc>
      </w:tr>
      <w:tr>
        <w:trPr>
          <w:trHeight w:val="2991" w:hRule="exact"/>
          <w:jc w:val="center"/>
        </w:trPr>
        <w:tc>
          <w:tcPr>
            <w:tcW w:w="851" w:type="dxa"/>
            <w:shd w:val="clear" w:color="auto" w:fill="FFFFFF"/>
            <w:noWrap w:val="0"/>
            <w:vAlign w:val="center"/>
          </w:tcPr>
          <w:p>
            <w:pPr>
              <w:pStyle w:val="15"/>
              <w:snapToGrid w:val="0"/>
              <w:spacing w:line="240" w:lineRule="auto"/>
              <w:jc w:val="center"/>
              <w:rPr>
                <w:color w:val="auto"/>
                <w:sz w:val="18"/>
                <w:szCs w:val="18"/>
              </w:rPr>
            </w:pPr>
            <w:bookmarkStart w:id="2" w:name="_Hlk53690362"/>
            <w:r>
              <w:rPr>
                <w:color w:val="auto"/>
                <w:sz w:val="18"/>
                <w:szCs w:val="18"/>
              </w:rPr>
              <w:t>管理人员职责与配备</w:t>
            </w:r>
            <w:bookmarkEnd w:id="2"/>
          </w:p>
        </w:tc>
        <w:tc>
          <w:tcPr>
            <w:tcW w:w="709" w:type="dxa"/>
            <w:vMerge w:val="continue"/>
            <w:shd w:val="clear" w:color="auto" w:fill="FFFFFF"/>
            <w:noWrap w:val="0"/>
            <w:vAlign w:val="center"/>
          </w:tcPr>
          <w:p>
            <w:pPr>
              <w:pStyle w:val="15"/>
              <w:snapToGrid w:val="0"/>
              <w:spacing w:line="240" w:lineRule="auto"/>
              <w:jc w:val="both"/>
              <w:rPr>
                <w:color w:val="auto"/>
                <w:sz w:val="18"/>
                <w:szCs w:val="18"/>
              </w:rPr>
            </w:pPr>
          </w:p>
        </w:tc>
        <w:tc>
          <w:tcPr>
            <w:tcW w:w="1177" w:type="dxa"/>
            <w:vMerge w:val="continue"/>
            <w:shd w:val="clear" w:color="auto" w:fill="FFFFFF"/>
            <w:noWrap w:val="0"/>
            <w:vAlign w:val="center"/>
          </w:tcPr>
          <w:p>
            <w:pPr>
              <w:pStyle w:val="15"/>
              <w:snapToGrid w:val="0"/>
              <w:spacing w:line="240" w:lineRule="auto"/>
              <w:jc w:val="center"/>
              <w:rPr>
                <w:color w:val="auto"/>
                <w:sz w:val="18"/>
                <w:szCs w:val="18"/>
              </w:rPr>
            </w:pPr>
          </w:p>
        </w:tc>
        <w:tc>
          <w:tcPr>
            <w:tcW w:w="992"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2.4.1</w:t>
            </w:r>
          </w:p>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2.4.2</w:t>
            </w:r>
          </w:p>
        </w:tc>
        <w:tc>
          <w:tcPr>
            <w:tcW w:w="11212" w:type="dxa"/>
            <w:shd w:val="clear" w:color="auto" w:fill="FFFFFF"/>
            <w:noWrap w:val="0"/>
            <w:vAlign w:val="center"/>
          </w:tcPr>
          <w:p>
            <w:pPr>
              <w:pStyle w:val="15"/>
              <w:snapToGrid w:val="0"/>
              <w:spacing w:line="240" w:lineRule="auto"/>
              <w:rPr>
                <w:color w:val="auto"/>
                <w:sz w:val="18"/>
                <w:szCs w:val="18"/>
              </w:rPr>
            </w:pPr>
            <w:r>
              <w:rPr>
                <w:rFonts w:ascii="Times New Roman" w:hAnsi="Times New Roman" w:eastAsia="Times New Roman" w:cs="Times New Roman"/>
                <w:color w:val="auto"/>
                <w:sz w:val="18"/>
                <w:szCs w:val="18"/>
              </w:rPr>
              <w:t>1</w:t>
            </w:r>
            <w:r>
              <w:rPr>
                <w:color w:val="auto"/>
                <w:sz w:val="18"/>
                <w:szCs w:val="18"/>
              </w:rPr>
              <w:t>主要负责人</w:t>
            </w:r>
            <w:r>
              <w:rPr>
                <w:rFonts w:hint="eastAsia"/>
                <w:color w:val="auto"/>
                <w:sz w:val="18"/>
                <w:szCs w:val="18"/>
                <w:lang w:eastAsia="zh-CN"/>
              </w:rPr>
              <w:t>：</w:t>
            </w:r>
            <w:r>
              <w:rPr>
                <w:color w:val="auto"/>
                <w:sz w:val="18"/>
                <w:szCs w:val="18"/>
              </w:rPr>
              <w:t>主要负责人是指特种设备使用单位的实际最高管理者，对其单位所使用的特种设备安全节能负总责。</w:t>
            </w:r>
          </w:p>
          <w:p>
            <w:pPr>
              <w:pStyle w:val="15"/>
              <w:snapToGrid w:val="0"/>
              <w:spacing w:line="240" w:lineRule="auto"/>
              <w:rPr>
                <w:color w:val="auto"/>
                <w:sz w:val="18"/>
                <w:szCs w:val="18"/>
              </w:rPr>
            </w:pPr>
            <w:r>
              <w:rPr>
                <w:rFonts w:ascii="Times New Roman" w:hAnsi="Times New Roman" w:eastAsia="Times New Roman" w:cs="Times New Roman"/>
                <w:color w:val="auto"/>
                <w:sz w:val="18"/>
                <w:szCs w:val="18"/>
              </w:rPr>
              <w:t>2</w:t>
            </w:r>
            <w:r>
              <w:rPr>
                <w:color w:val="auto"/>
                <w:sz w:val="18"/>
                <w:szCs w:val="18"/>
              </w:rPr>
              <w:t>安全管理人员</w:t>
            </w:r>
          </w:p>
          <w:p>
            <w:pPr>
              <w:pStyle w:val="15"/>
              <w:snapToGrid w:val="0"/>
              <w:spacing w:line="240" w:lineRule="auto"/>
              <w:rPr>
                <w:color w:val="auto"/>
                <w:sz w:val="18"/>
                <w:szCs w:val="18"/>
              </w:rPr>
            </w:pPr>
            <w:r>
              <w:rPr>
                <w:rFonts w:ascii="Times New Roman" w:hAnsi="Times New Roman" w:eastAsia="Times New Roman" w:cs="Times New Roman"/>
                <w:color w:val="auto"/>
                <w:sz w:val="18"/>
                <w:szCs w:val="18"/>
                <w:lang w:val="en-US" w:eastAsia="zh-CN" w:bidi="en-US"/>
              </w:rPr>
              <w:t>2.1</w:t>
            </w:r>
            <w:r>
              <w:rPr>
                <w:color w:val="auto"/>
                <w:sz w:val="18"/>
                <w:szCs w:val="18"/>
              </w:rPr>
              <w:t>安全管理负责人</w:t>
            </w:r>
          </w:p>
          <w:p>
            <w:pPr>
              <w:pStyle w:val="15"/>
              <w:snapToGrid w:val="0"/>
              <w:spacing w:line="240" w:lineRule="auto"/>
              <w:rPr>
                <w:color w:val="auto"/>
                <w:sz w:val="18"/>
                <w:szCs w:val="18"/>
              </w:rPr>
            </w:pPr>
            <w:r>
              <w:rPr>
                <w:color w:val="auto"/>
                <w:sz w:val="18"/>
                <w:szCs w:val="18"/>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安全管理负责人职责如下：</w:t>
            </w:r>
          </w:p>
          <w:p>
            <w:pPr>
              <w:pStyle w:val="15"/>
              <w:tabs>
                <w:tab w:val="left" w:pos="317"/>
              </w:tabs>
              <w:snapToGrid w:val="0"/>
              <w:spacing w:line="240" w:lineRule="auto"/>
              <w:rPr>
                <w:color w:val="auto"/>
                <w:sz w:val="18"/>
                <w:szCs w:val="18"/>
              </w:rPr>
            </w:pPr>
            <w:r>
              <w:rPr>
                <w:rFonts w:ascii="Times New Roman" w:hAnsi="Times New Roman" w:eastAsia="Times New Roman" w:cs="Times New Roman"/>
                <w:color w:val="auto"/>
                <w:sz w:val="18"/>
                <w:szCs w:val="18"/>
              </w:rPr>
              <w:t>（1）</w:t>
            </w:r>
            <w:r>
              <w:rPr>
                <w:color w:val="auto"/>
                <w:sz w:val="18"/>
                <w:szCs w:val="18"/>
              </w:rPr>
              <w:t>协助主要负责人履行本单位特种设备安全的领导职责，确保本单位特种设备的安全使用；</w:t>
            </w:r>
          </w:p>
          <w:p>
            <w:pPr>
              <w:pStyle w:val="15"/>
              <w:tabs>
                <w:tab w:val="left" w:pos="317"/>
              </w:tabs>
              <w:snapToGrid w:val="0"/>
              <w:spacing w:line="240" w:lineRule="auto"/>
              <w:rPr>
                <w:color w:val="auto"/>
                <w:sz w:val="18"/>
                <w:szCs w:val="18"/>
              </w:rPr>
            </w:pPr>
            <w:r>
              <w:rPr>
                <w:rFonts w:ascii="Times New Roman" w:hAnsi="Times New Roman" w:eastAsia="Times New Roman" w:cs="Times New Roman"/>
                <w:color w:val="auto"/>
                <w:sz w:val="18"/>
                <w:szCs w:val="18"/>
              </w:rPr>
              <w:t>（2）</w:t>
            </w:r>
            <w:r>
              <w:rPr>
                <w:color w:val="auto"/>
                <w:sz w:val="18"/>
                <w:szCs w:val="18"/>
              </w:rPr>
              <w:t>宣传、贯彻《中华人民共和国特种设备安全法》以及有关法律、法规、规章和安全技术规范；</w:t>
            </w:r>
          </w:p>
          <w:p>
            <w:pPr>
              <w:pStyle w:val="15"/>
              <w:tabs>
                <w:tab w:val="left" w:pos="317"/>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3）</w:t>
            </w:r>
            <w:r>
              <w:rPr>
                <w:color w:val="auto"/>
                <w:sz w:val="18"/>
                <w:szCs w:val="18"/>
              </w:rPr>
              <w:t>组织制定本单位特种设备安全管理制度，落实特种设备安全管理机构设置、安全管理员配备；</w:t>
            </w:r>
          </w:p>
          <w:p>
            <w:pPr>
              <w:pStyle w:val="15"/>
              <w:tabs>
                <w:tab w:val="left" w:pos="317"/>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4）</w:t>
            </w:r>
            <w:r>
              <w:rPr>
                <w:color w:val="auto"/>
                <w:sz w:val="18"/>
                <w:szCs w:val="18"/>
              </w:rPr>
              <w:t>组织制定特种设备事故应急专项预案,并且定期组织演练；</w:t>
            </w:r>
          </w:p>
          <w:p>
            <w:pPr>
              <w:pStyle w:val="15"/>
              <w:tabs>
                <w:tab w:val="left" w:pos="317"/>
              </w:tabs>
              <w:snapToGrid w:val="0"/>
              <w:spacing w:line="240" w:lineRule="auto"/>
              <w:rPr>
                <w:color w:val="auto"/>
                <w:sz w:val="18"/>
                <w:szCs w:val="18"/>
              </w:rPr>
            </w:pPr>
            <w:r>
              <w:rPr>
                <w:rFonts w:ascii="Times New Roman" w:hAnsi="Times New Roman" w:eastAsia="Times New Roman" w:cs="Times New Roman"/>
                <w:color w:val="auto"/>
                <w:sz w:val="18"/>
                <w:szCs w:val="18"/>
              </w:rPr>
              <w:t>（5）</w:t>
            </w:r>
            <w:r>
              <w:rPr>
                <w:color w:val="auto"/>
                <w:sz w:val="18"/>
                <w:szCs w:val="18"/>
              </w:rPr>
              <w:t>对本单位特种设备安全管理工作实施情况进行检查；</w:t>
            </w:r>
          </w:p>
          <w:p>
            <w:pPr>
              <w:pStyle w:val="15"/>
              <w:tabs>
                <w:tab w:val="left" w:pos="317"/>
              </w:tabs>
              <w:snapToGrid w:val="0"/>
              <w:spacing w:line="240" w:lineRule="auto"/>
              <w:rPr>
                <w:rFonts w:hint="eastAsia"/>
                <w:color w:val="auto"/>
                <w:sz w:val="18"/>
                <w:szCs w:val="18"/>
                <w:lang w:eastAsia="zh-CN"/>
              </w:rPr>
            </w:pPr>
            <w:r>
              <w:rPr>
                <w:rFonts w:ascii="Times New Roman" w:hAnsi="Times New Roman" w:eastAsia="Times New Roman" w:cs="Times New Roman"/>
                <w:color w:val="auto"/>
                <w:sz w:val="18"/>
                <w:szCs w:val="18"/>
              </w:rPr>
              <w:t>（6）</w:t>
            </w:r>
            <w:r>
              <w:rPr>
                <w:color w:val="auto"/>
                <w:sz w:val="18"/>
                <w:szCs w:val="18"/>
              </w:rPr>
              <w:t>组织进行隐患排查,并且提出处理意见；</w:t>
            </w:r>
          </w:p>
          <w:p>
            <w:pPr>
              <w:pStyle w:val="15"/>
              <w:snapToGrid w:val="0"/>
              <w:spacing w:line="240" w:lineRule="auto"/>
              <w:rPr>
                <w:rFonts w:hint="eastAsia"/>
                <w:color w:val="auto"/>
                <w:sz w:val="18"/>
                <w:szCs w:val="18"/>
              </w:rPr>
            </w:pPr>
            <w:r>
              <w:rPr>
                <w:rFonts w:hint="eastAsia"/>
                <w:color w:val="auto"/>
                <w:sz w:val="18"/>
                <w:szCs w:val="18"/>
              </w:rPr>
              <w:t>（</w:t>
            </w:r>
            <w:r>
              <w:rPr>
                <w:rFonts w:hint="eastAsia" w:ascii="Times New Roman" w:hAnsi="Times New Roman" w:cs="Times New Roman"/>
                <w:color w:val="auto"/>
                <w:sz w:val="18"/>
                <w:szCs w:val="18"/>
                <w:lang w:eastAsia="zh-CN"/>
              </w:rPr>
              <w:t>7</w:t>
            </w:r>
            <w:r>
              <w:rPr>
                <w:rFonts w:hint="eastAsia"/>
                <w:color w:val="auto"/>
                <w:sz w:val="18"/>
                <w:szCs w:val="18"/>
              </w:rPr>
              <w:t>）</w:t>
            </w:r>
            <w:r>
              <w:rPr>
                <w:color w:val="auto"/>
                <w:sz w:val="18"/>
                <w:szCs w:val="18"/>
              </w:rPr>
              <w:t>当安全管理员报告特种设备存在事故隐患应当停止使用时，立即作出停止使用特种设备的决定，并且及时报告本单位主要负责人。</w:t>
            </w:r>
          </w:p>
        </w:tc>
      </w:tr>
    </w:tbl>
    <w:p>
      <w:pPr>
        <w:snapToGrid w:val="0"/>
        <w:rPr>
          <w:color w:val="auto"/>
          <w:sz w:val="18"/>
          <w:szCs w:val="18"/>
          <w:lang w:eastAsia="zh-CN"/>
        </w:rPr>
      </w:pPr>
      <w:r>
        <w:rPr>
          <w:color w:val="auto"/>
          <w:sz w:val="18"/>
          <w:szCs w:val="18"/>
          <w:lang w:eastAsia="zh-CN"/>
        </w:rPr>
        <w:br w:type="page"/>
      </w:r>
    </w:p>
    <w:tbl>
      <w:tblPr>
        <w:tblStyle w:val="8"/>
        <w:tblpPr/>
        <w:tblOverlap w:val="never"/>
        <w:tblW w:w="14884" w:type="dxa"/>
        <w:tblInd w:w="-1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6"/>
        <w:gridCol w:w="562"/>
        <w:gridCol w:w="851"/>
        <w:gridCol w:w="1134"/>
        <w:gridCol w:w="11481"/>
      </w:tblGrid>
      <w:tr>
        <w:trPr>
          <w:trHeight w:val="225" w:hRule="exact"/>
        </w:trPr>
        <w:tc>
          <w:tcPr>
            <w:tcW w:w="856"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排查内容</w:t>
            </w:r>
          </w:p>
        </w:tc>
        <w:tc>
          <w:tcPr>
            <w:tcW w:w="562"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 时间</w:t>
            </w:r>
          </w:p>
        </w:tc>
        <w:tc>
          <w:tcPr>
            <w:tcW w:w="1985" w:type="dxa"/>
            <w:gridSpan w:val="2"/>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排查依据</w:t>
            </w:r>
          </w:p>
        </w:tc>
        <w:tc>
          <w:tcPr>
            <w:tcW w:w="11481"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排查要求</w:t>
            </w:r>
          </w:p>
        </w:tc>
      </w:tr>
      <w:tr>
        <w:trPr>
          <w:trHeight w:val="284" w:hRule="exact"/>
        </w:trPr>
        <w:tc>
          <w:tcPr>
            <w:tcW w:w="856" w:type="dxa"/>
            <w:vMerge w:val="continue"/>
            <w:shd w:val="clear" w:color="auto" w:fill="FFFFFF"/>
            <w:noWrap w:val="0"/>
            <w:vAlign w:val="center"/>
          </w:tcPr>
          <w:p>
            <w:pPr>
              <w:snapToGrid w:val="0"/>
              <w:jc w:val="center"/>
              <w:rPr>
                <w:color w:val="auto"/>
                <w:sz w:val="18"/>
                <w:szCs w:val="18"/>
              </w:rPr>
            </w:pPr>
          </w:p>
        </w:tc>
        <w:tc>
          <w:tcPr>
            <w:tcW w:w="562" w:type="dxa"/>
            <w:vMerge w:val="continue"/>
            <w:shd w:val="clear" w:color="auto" w:fill="FFFFFF"/>
            <w:noWrap w:val="0"/>
            <w:vAlign w:val="center"/>
          </w:tcPr>
          <w:p>
            <w:pPr>
              <w:snapToGrid w:val="0"/>
              <w:jc w:val="center"/>
              <w:rPr>
                <w:color w:val="auto"/>
                <w:sz w:val="18"/>
                <w:szCs w:val="18"/>
              </w:rPr>
            </w:pPr>
          </w:p>
        </w:tc>
        <w:tc>
          <w:tcPr>
            <w:tcW w:w="851"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法规标准</w:t>
            </w:r>
          </w:p>
        </w:tc>
        <w:tc>
          <w:tcPr>
            <w:tcW w:w="1134"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适用条款</w:t>
            </w:r>
          </w:p>
        </w:tc>
        <w:tc>
          <w:tcPr>
            <w:tcW w:w="11481" w:type="dxa"/>
            <w:vMerge w:val="continue"/>
            <w:shd w:val="clear" w:color="auto" w:fill="FFFFFF"/>
            <w:noWrap w:val="0"/>
            <w:vAlign w:val="center"/>
          </w:tcPr>
          <w:p>
            <w:pPr>
              <w:snapToGrid w:val="0"/>
              <w:rPr>
                <w:color w:val="auto"/>
                <w:sz w:val="18"/>
                <w:szCs w:val="18"/>
              </w:rPr>
            </w:pPr>
          </w:p>
        </w:tc>
      </w:tr>
      <w:tr>
        <w:trPr>
          <w:trHeight w:val="5539" w:hRule="exact"/>
        </w:trPr>
        <w:tc>
          <w:tcPr>
            <w:tcW w:w="856"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管理人</w:t>
            </w:r>
          </w:p>
          <w:p>
            <w:pPr>
              <w:pStyle w:val="15"/>
              <w:snapToGrid w:val="0"/>
              <w:spacing w:line="240" w:lineRule="auto"/>
              <w:jc w:val="center"/>
              <w:rPr>
                <w:color w:val="auto"/>
                <w:sz w:val="18"/>
                <w:szCs w:val="18"/>
              </w:rPr>
            </w:pPr>
            <w:r>
              <w:rPr>
                <w:color w:val="auto"/>
                <w:sz w:val="18"/>
                <w:szCs w:val="18"/>
              </w:rPr>
              <w:t>员职责</w:t>
            </w:r>
          </w:p>
          <w:p>
            <w:pPr>
              <w:pStyle w:val="15"/>
              <w:snapToGrid w:val="0"/>
              <w:spacing w:line="240" w:lineRule="auto"/>
              <w:jc w:val="center"/>
              <w:rPr>
                <w:color w:val="auto"/>
                <w:sz w:val="18"/>
                <w:szCs w:val="18"/>
              </w:rPr>
            </w:pPr>
            <w:r>
              <w:rPr>
                <w:color w:val="auto"/>
                <w:sz w:val="18"/>
                <w:szCs w:val="18"/>
              </w:rPr>
              <w:t>与配备</w:t>
            </w:r>
          </w:p>
        </w:tc>
        <w:tc>
          <w:tcPr>
            <w:tcW w:w="562" w:type="dxa"/>
            <w:vMerge w:val="restart"/>
            <w:shd w:val="clear" w:color="auto" w:fill="FFFFFF"/>
            <w:noWrap w:val="0"/>
            <w:vAlign w:val="center"/>
          </w:tcPr>
          <w:p>
            <w:pPr>
              <w:pStyle w:val="15"/>
              <w:snapToGrid w:val="0"/>
              <w:spacing w:line="240" w:lineRule="auto"/>
              <w:jc w:val="center"/>
              <w:rPr>
                <w:rFonts w:hint="eastAsia" w:ascii="Times New Roman" w:hAnsi="Times New Roman" w:cs="Times New Roman"/>
                <w:color w:val="auto"/>
                <w:sz w:val="18"/>
                <w:szCs w:val="18"/>
                <w:lang w:eastAsia="zh-CN"/>
              </w:rPr>
            </w:pPr>
            <w:r>
              <w:rPr>
                <w:color w:val="auto"/>
                <w:sz w:val="18"/>
                <w:szCs w:val="18"/>
              </w:rPr>
              <w:t>每</w:t>
            </w:r>
            <w:r>
              <w:rPr>
                <w:rFonts w:hint="eastAsia" w:ascii="Times New Roman" w:hAnsi="Times New Roman" w:cs="Times New Roman"/>
                <w:color w:val="auto"/>
                <w:sz w:val="18"/>
                <w:szCs w:val="18"/>
                <w:lang w:eastAsia="zh-CN"/>
              </w:rPr>
              <w:t>年</w:t>
            </w:r>
          </w:p>
          <w:p>
            <w:pPr>
              <w:pStyle w:val="15"/>
              <w:snapToGrid w:val="0"/>
              <w:spacing w:line="240" w:lineRule="auto"/>
              <w:jc w:val="center"/>
              <w:rPr>
                <w:color w:val="auto"/>
                <w:sz w:val="18"/>
                <w:szCs w:val="18"/>
              </w:rPr>
            </w:pPr>
            <w:r>
              <w:rPr>
                <w:color w:val="auto"/>
                <w:sz w:val="18"/>
                <w:szCs w:val="18"/>
              </w:rPr>
              <w:t>一次</w:t>
            </w:r>
          </w:p>
        </w:tc>
        <w:tc>
          <w:tcPr>
            <w:tcW w:w="851" w:type="dxa"/>
            <w:vMerge w:val="restart"/>
            <w:shd w:val="clear" w:color="auto" w:fill="FFFFFF"/>
            <w:noWrap w:val="0"/>
            <w:vAlign w:val="center"/>
          </w:tcPr>
          <w:p>
            <w:pPr>
              <w:pStyle w:val="15"/>
              <w:snapToGrid w:val="0"/>
              <w:spacing w:line="240" w:lineRule="auto"/>
              <w:jc w:val="center"/>
              <w:rPr>
                <w:rFonts w:hint="eastAsia"/>
                <w:color w:val="auto"/>
                <w:sz w:val="18"/>
                <w:szCs w:val="18"/>
                <w:lang w:eastAsia="zh-CN"/>
              </w:rPr>
            </w:pPr>
            <w:r>
              <w:rPr>
                <w:color w:val="auto"/>
                <w:sz w:val="18"/>
                <w:szCs w:val="18"/>
              </w:rPr>
              <w:t>特种设备使用管理规则</w:t>
            </w:r>
          </w:p>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2.4.1</w:t>
            </w:r>
          </w:p>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2.4.2</w:t>
            </w:r>
          </w:p>
        </w:tc>
        <w:tc>
          <w:tcPr>
            <w:tcW w:w="11481" w:type="dxa"/>
            <w:shd w:val="clear" w:color="auto" w:fill="FFFFFF"/>
            <w:noWrap w:val="0"/>
            <w:vAlign w:val="center"/>
          </w:tcPr>
          <w:p>
            <w:pPr>
              <w:pStyle w:val="15"/>
              <w:snapToGrid w:val="0"/>
              <w:spacing w:line="240" w:lineRule="auto"/>
              <w:rPr>
                <w:color w:val="auto"/>
                <w:sz w:val="18"/>
                <w:szCs w:val="18"/>
              </w:rPr>
            </w:pPr>
            <w:r>
              <w:rPr>
                <w:rFonts w:ascii="Times New Roman" w:hAnsi="Times New Roman" w:eastAsia="Times New Roman" w:cs="Times New Roman"/>
                <w:color w:val="auto"/>
                <w:sz w:val="18"/>
                <w:szCs w:val="18"/>
                <w:lang w:val="en-US" w:eastAsia="zh-CN" w:bidi="en-US"/>
              </w:rPr>
              <w:t>2.2</w:t>
            </w:r>
            <w:r>
              <w:rPr>
                <w:color w:val="auto"/>
                <w:sz w:val="18"/>
                <w:szCs w:val="18"/>
              </w:rPr>
              <w:t>安全管理员</w:t>
            </w:r>
          </w:p>
          <w:p>
            <w:pPr>
              <w:pStyle w:val="15"/>
              <w:snapToGrid w:val="0"/>
              <w:spacing w:line="240" w:lineRule="auto"/>
              <w:rPr>
                <w:color w:val="auto"/>
                <w:sz w:val="18"/>
                <w:szCs w:val="18"/>
              </w:rPr>
            </w:pPr>
            <w:r>
              <w:rPr>
                <w:rFonts w:ascii="Times New Roman" w:hAnsi="Times New Roman" w:eastAsia="Times New Roman" w:cs="Times New Roman"/>
                <w:color w:val="auto"/>
                <w:sz w:val="18"/>
                <w:szCs w:val="18"/>
                <w:lang w:val="en-US" w:eastAsia="zh-CN" w:bidi="en-US"/>
              </w:rPr>
              <w:t>2.2.1</w:t>
            </w:r>
            <w:r>
              <w:rPr>
                <w:color w:val="auto"/>
                <w:sz w:val="18"/>
                <w:szCs w:val="18"/>
              </w:rPr>
              <w:t>安全管理员职责</w:t>
            </w:r>
          </w:p>
          <w:p>
            <w:pPr>
              <w:pStyle w:val="15"/>
              <w:snapToGrid w:val="0"/>
              <w:spacing w:line="240" w:lineRule="auto"/>
              <w:rPr>
                <w:color w:val="auto"/>
                <w:sz w:val="18"/>
                <w:szCs w:val="18"/>
              </w:rPr>
            </w:pPr>
            <w:r>
              <w:rPr>
                <w:color w:val="auto"/>
                <w:sz w:val="18"/>
                <w:szCs w:val="18"/>
              </w:rPr>
              <w:t>特种设备安全管理员是指具体负责特种设备使用安全管理的人员。安全管理员的主要职责如下：</w:t>
            </w:r>
          </w:p>
          <w:p>
            <w:pPr>
              <w:pStyle w:val="15"/>
              <w:numPr>
                <w:ilvl w:val="0"/>
                <w:numId w:val="4"/>
              </w:numPr>
              <w:tabs>
                <w:tab w:val="left" w:pos="317"/>
              </w:tabs>
              <w:snapToGrid w:val="0"/>
              <w:spacing w:line="240" w:lineRule="auto"/>
              <w:rPr>
                <w:color w:val="auto"/>
                <w:sz w:val="18"/>
                <w:szCs w:val="18"/>
              </w:rPr>
            </w:pPr>
            <w:r>
              <w:rPr>
                <w:color w:val="auto"/>
                <w:sz w:val="18"/>
                <w:szCs w:val="18"/>
              </w:rPr>
              <w:t>组织建立特种设备安全技术档案；</w:t>
            </w:r>
          </w:p>
          <w:p>
            <w:pPr>
              <w:pStyle w:val="15"/>
              <w:numPr>
                <w:ilvl w:val="0"/>
                <w:numId w:val="4"/>
              </w:numPr>
              <w:tabs>
                <w:tab w:val="left" w:pos="317"/>
              </w:tabs>
              <w:snapToGrid w:val="0"/>
              <w:spacing w:line="240" w:lineRule="auto"/>
              <w:rPr>
                <w:color w:val="auto"/>
                <w:sz w:val="18"/>
                <w:szCs w:val="18"/>
              </w:rPr>
            </w:pPr>
            <w:r>
              <w:rPr>
                <w:color w:val="auto"/>
                <w:sz w:val="18"/>
                <w:szCs w:val="18"/>
              </w:rPr>
              <w:t>办理特种设备使用登记；</w:t>
            </w:r>
          </w:p>
          <w:p>
            <w:pPr>
              <w:pStyle w:val="15"/>
              <w:numPr>
                <w:ilvl w:val="0"/>
                <w:numId w:val="4"/>
              </w:numPr>
              <w:tabs>
                <w:tab w:val="left" w:pos="317"/>
              </w:tabs>
              <w:snapToGrid w:val="0"/>
              <w:spacing w:line="240" w:lineRule="auto"/>
              <w:rPr>
                <w:color w:val="auto"/>
                <w:sz w:val="18"/>
                <w:szCs w:val="18"/>
              </w:rPr>
            </w:pPr>
            <w:r>
              <w:rPr>
                <w:color w:val="auto"/>
                <w:sz w:val="18"/>
                <w:szCs w:val="18"/>
              </w:rPr>
              <w:t>组织制定特种设备操作规程；</w:t>
            </w:r>
          </w:p>
          <w:p>
            <w:pPr>
              <w:pStyle w:val="15"/>
              <w:numPr>
                <w:ilvl w:val="0"/>
                <w:numId w:val="4"/>
              </w:numPr>
              <w:tabs>
                <w:tab w:val="left" w:pos="317"/>
              </w:tabs>
              <w:snapToGrid w:val="0"/>
              <w:spacing w:line="240" w:lineRule="auto"/>
              <w:rPr>
                <w:color w:val="auto"/>
                <w:sz w:val="18"/>
                <w:szCs w:val="18"/>
              </w:rPr>
            </w:pPr>
            <w:r>
              <w:rPr>
                <w:color w:val="auto"/>
                <w:sz w:val="18"/>
                <w:szCs w:val="18"/>
              </w:rPr>
              <w:t>组织开展特种设备安全教育和技能培训；</w:t>
            </w:r>
          </w:p>
          <w:p>
            <w:pPr>
              <w:pStyle w:val="15"/>
              <w:numPr>
                <w:ilvl w:val="0"/>
                <w:numId w:val="4"/>
              </w:numPr>
              <w:tabs>
                <w:tab w:val="left" w:pos="317"/>
              </w:tabs>
              <w:snapToGrid w:val="0"/>
              <w:spacing w:line="240" w:lineRule="auto"/>
              <w:rPr>
                <w:color w:val="auto"/>
                <w:sz w:val="18"/>
                <w:szCs w:val="18"/>
              </w:rPr>
            </w:pPr>
            <w:r>
              <w:rPr>
                <w:color w:val="auto"/>
                <w:sz w:val="18"/>
                <w:szCs w:val="18"/>
              </w:rPr>
              <w:t>组织开展特种设备定期自行检查；</w:t>
            </w:r>
          </w:p>
          <w:p>
            <w:pPr>
              <w:pStyle w:val="15"/>
              <w:numPr>
                <w:ilvl w:val="0"/>
                <w:numId w:val="4"/>
              </w:numPr>
              <w:tabs>
                <w:tab w:val="left" w:pos="322"/>
              </w:tabs>
              <w:snapToGrid w:val="0"/>
              <w:spacing w:line="240" w:lineRule="auto"/>
              <w:rPr>
                <w:color w:val="auto"/>
                <w:sz w:val="18"/>
                <w:szCs w:val="18"/>
              </w:rPr>
            </w:pPr>
            <w:r>
              <w:rPr>
                <w:color w:val="auto"/>
                <w:sz w:val="18"/>
                <w:szCs w:val="18"/>
              </w:rPr>
              <w:t>编制特种设备定期检验计划，督促落实定期检验和隐患治理工作；</w:t>
            </w:r>
          </w:p>
          <w:p>
            <w:pPr>
              <w:pStyle w:val="15"/>
              <w:numPr>
                <w:ilvl w:val="0"/>
                <w:numId w:val="4"/>
              </w:numPr>
              <w:tabs>
                <w:tab w:val="left" w:pos="317"/>
              </w:tabs>
              <w:snapToGrid w:val="0"/>
              <w:spacing w:line="240" w:lineRule="auto"/>
              <w:rPr>
                <w:color w:val="auto"/>
                <w:sz w:val="18"/>
                <w:szCs w:val="18"/>
              </w:rPr>
            </w:pPr>
            <w:r>
              <w:rPr>
                <w:color w:val="auto"/>
                <w:sz w:val="18"/>
                <w:szCs w:val="18"/>
              </w:rPr>
              <w:t>按照规定报告特种设备事故，参加特种设备事故救援，协助进行事故调查和善后处理；</w:t>
            </w:r>
          </w:p>
          <w:p>
            <w:pPr>
              <w:pStyle w:val="15"/>
              <w:numPr>
                <w:ilvl w:val="0"/>
                <w:numId w:val="4"/>
              </w:numPr>
              <w:tabs>
                <w:tab w:val="left" w:pos="331"/>
              </w:tabs>
              <w:snapToGrid w:val="0"/>
              <w:spacing w:line="240" w:lineRule="auto"/>
              <w:rPr>
                <w:color w:val="auto"/>
                <w:sz w:val="18"/>
                <w:szCs w:val="18"/>
              </w:rPr>
            </w:pPr>
            <w:r>
              <w:rPr>
                <w:color w:val="auto"/>
                <w:sz w:val="18"/>
                <w:szCs w:val="18"/>
              </w:rPr>
              <w:t>发现特种设备事故隐患，立即进行处理，情况紧急时，可以决定停止使用特种设备,并且及时报告本单位安全管理负责人；</w:t>
            </w:r>
          </w:p>
          <w:p>
            <w:pPr>
              <w:pStyle w:val="15"/>
              <w:numPr>
                <w:ilvl w:val="0"/>
                <w:numId w:val="4"/>
              </w:numPr>
              <w:tabs>
                <w:tab w:val="left" w:pos="322"/>
              </w:tabs>
              <w:snapToGrid w:val="0"/>
              <w:spacing w:line="240" w:lineRule="auto"/>
              <w:rPr>
                <w:color w:val="auto"/>
                <w:sz w:val="18"/>
                <w:szCs w:val="18"/>
              </w:rPr>
            </w:pPr>
            <w:r>
              <w:rPr>
                <w:color w:val="auto"/>
                <w:sz w:val="18"/>
                <w:szCs w:val="18"/>
              </w:rPr>
              <w:t>纠正和制止特种设备作业人员的违章行为。</w:t>
            </w:r>
          </w:p>
          <w:p>
            <w:pPr>
              <w:pStyle w:val="15"/>
              <w:snapToGrid w:val="0"/>
              <w:spacing w:line="240" w:lineRule="auto"/>
              <w:rPr>
                <w:color w:val="auto"/>
                <w:sz w:val="18"/>
                <w:szCs w:val="18"/>
              </w:rPr>
            </w:pPr>
            <w:r>
              <w:rPr>
                <w:rFonts w:ascii="Times New Roman" w:hAnsi="Times New Roman" w:eastAsia="Times New Roman" w:cs="Times New Roman"/>
                <w:color w:val="auto"/>
                <w:sz w:val="18"/>
                <w:szCs w:val="18"/>
                <w:lang w:val="en-US" w:eastAsia="zh-CN" w:bidi="en-US"/>
              </w:rPr>
              <w:t>2.2.2</w:t>
            </w:r>
            <w:r>
              <w:rPr>
                <w:color w:val="auto"/>
                <w:sz w:val="18"/>
                <w:szCs w:val="18"/>
              </w:rPr>
              <w:t>安全管理员配备</w:t>
            </w:r>
          </w:p>
          <w:p>
            <w:pPr>
              <w:pStyle w:val="15"/>
              <w:snapToGrid w:val="0"/>
              <w:spacing w:line="240" w:lineRule="auto"/>
              <w:jc w:val="both"/>
              <w:rPr>
                <w:color w:val="auto"/>
                <w:sz w:val="18"/>
                <w:szCs w:val="18"/>
              </w:rPr>
            </w:pPr>
            <w:r>
              <w:rPr>
                <w:color w:val="auto"/>
                <w:sz w:val="18"/>
                <w:szCs w:val="18"/>
              </w:rPr>
              <w:t>特种设备使用单位应当根据本单位特种设备的数量、特性等配备适当数量的安全管理员。按照本规则要求设置安全管理机构的使用单位以及符合下列条件之一的特种设备使用单位，应当配备专职安全管理员，并且取得相应的特种设备安全管理人员资格证书：</w:t>
            </w:r>
          </w:p>
          <w:p>
            <w:pPr>
              <w:pStyle w:val="15"/>
              <w:numPr>
                <w:ilvl w:val="0"/>
                <w:numId w:val="5"/>
              </w:numPr>
              <w:tabs>
                <w:tab w:val="left" w:pos="312"/>
              </w:tabs>
              <w:snapToGrid w:val="0"/>
              <w:spacing w:line="240" w:lineRule="auto"/>
              <w:jc w:val="both"/>
              <w:rPr>
                <w:color w:val="auto"/>
                <w:sz w:val="18"/>
                <w:szCs w:val="18"/>
              </w:rPr>
            </w:pPr>
            <w:r>
              <w:rPr>
                <w:color w:val="auto"/>
                <w:sz w:val="18"/>
                <w:szCs w:val="18"/>
              </w:rPr>
              <w:t>使用额定工作压力大于或者等于</w:t>
            </w:r>
            <w:r>
              <w:rPr>
                <w:rFonts w:ascii="Times New Roman" w:hAnsi="Times New Roman" w:eastAsia="Times New Roman" w:cs="Times New Roman"/>
                <w:color w:val="auto"/>
                <w:sz w:val="18"/>
                <w:szCs w:val="18"/>
                <w:lang w:val="en-US" w:eastAsia="zh-CN" w:bidi="en-US"/>
              </w:rPr>
              <w:t>2.5 MPa</w:t>
            </w:r>
            <w:r>
              <w:rPr>
                <w:color w:val="auto"/>
                <w:sz w:val="18"/>
                <w:szCs w:val="18"/>
              </w:rPr>
              <w:t>锅炉的；</w:t>
            </w:r>
          </w:p>
          <w:p>
            <w:pPr>
              <w:pStyle w:val="15"/>
              <w:numPr>
                <w:ilvl w:val="0"/>
                <w:numId w:val="5"/>
              </w:numPr>
              <w:tabs>
                <w:tab w:val="left" w:pos="312"/>
              </w:tabs>
              <w:snapToGrid w:val="0"/>
              <w:spacing w:line="240" w:lineRule="auto"/>
              <w:jc w:val="both"/>
              <w:rPr>
                <w:color w:val="auto"/>
                <w:sz w:val="18"/>
                <w:szCs w:val="18"/>
              </w:rPr>
            </w:pPr>
            <w:r>
              <w:rPr>
                <w:color w:val="auto"/>
                <w:sz w:val="18"/>
                <w:szCs w:val="18"/>
              </w:rPr>
              <w:t>使用</w:t>
            </w:r>
            <w:r>
              <w:rPr>
                <w:rFonts w:ascii="Times New Roman" w:hAnsi="Times New Roman" w:eastAsia="Times New Roman" w:cs="Times New Roman"/>
                <w:color w:val="auto"/>
                <w:sz w:val="18"/>
                <w:szCs w:val="18"/>
              </w:rPr>
              <w:t>5</w:t>
            </w:r>
            <w:r>
              <w:rPr>
                <w:color w:val="auto"/>
                <w:sz w:val="18"/>
                <w:szCs w:val="18"/>
              </w:rPr>
              <w:t>台以上(含</w:t>
            </w:r>
            <w:r>
              <w:rPr>
                <w:rFonts w:ascii="Times New Roman" w:hAnsi="Times New Roman" w:eastAsia="Times New Roman" w:cs="Times New Roman"/>
                <w:color w:val="auto"/>
                <w:sz w:val="18"/>
                <w:szCs w:val="18"/>
              </w:rPr>
              <w:t>5</w:t>
            </w:r>
            <w:r>
              <w:rPr>
                <w:color w:val="auto"/>
                <w:sz w:val="18"/>
                <w:szCs w:val="18"/>
              </w:rPr>
              <w:t>台)第</w:t>
            </w:r>
            <w:r>
              <w:rPr>
                <w:rFonts w:ascii="Times New Roman" w:hAnsi="Times New Roman" w:eastAsia="Times New Roman" w:cs="Times New Roman"/>
                <w:color w:val="auto"/>
                <w:sz w:val="18"/>
                <w:szCs w:val="18"/>
                <w:lang w:val="en-US" w:eastAsia="zh-CN" w:bidi="en-US"/>
              </w:rPr>
              <w:t>m</w:t>
            </w:r>
            <w:r>
              <w:rPr>
                <w:color w:val="auto"/>
                <w:sz w:val="18"/>
                <w:szCs w:val="18"/>
              </w:rPr>
              <w:t>类固定式压力容器的；</w:t>
            </w:r>
          </w:p>
          <w:p>
            <w:pPr>
              <w:pStyle w:val="15"/>
              <w:numPr>
                <w:ilvl w:val="0"/>
                <w:numId w:val="5"/>
              </w:numPr>
              <w:tabs>
                <w:tab w:val="left" w:pos="312"/>
              </w:tabs>
              <w:snapToGrid w:val="0"/>
              <w:spacing w:line="240" w:lineRule="auto"/>
              <w:jc w:val="both"/>
              <w:rPr>
                <w:color w:val="auto"/>
                <w:sz w:val="18"/>
                <w:szCs w:val="18"/>
              </w:rPr>
            </w:pPr>
            <w:r>
              <w:rPr>
                <w:color w:val="auto"/>
                <w:sz w:val="18"/>
                <w:szCs w:val="18"/>
              </w:rPr>
              <w:t>从事移动式压力容器或者气瓶充装的；</w:t>
            </w:r>
          </w:p>
          <w:p>
            <w:pPr>
              <w:pStyle w:val="15"/>
              <w:numPr>
                <w:ilvl w:val="0"/>
                <w:numId w:val="5"/>
              </w:numPr>
              <w:tabs>
                <w:tab w:val="left" w:pos="312"/>
              </w:tabs>
              <w:snapToGrid w:val="0"/>
              <w:spacing w:line="240" w:lineRule="auto"/>
              <w:jc w:val="both"/>
              <w:rPr>
                <w:color w:val="auto"/>
                <w:sz w:val="18"/>
                <w:szCs w:val="18"/>
              </w:rPr>
            </w:pPr>
            <w:r>
              <w:rPr>
                <w:color w:val="auto"/>
                <w:sz w:val="18"/>
                <w:szCs w:val="18"/>
              </w:rPr>
              <w:t>使用</w:t>
            </w:r>
            <w:r>
              <w:rPr>
                <w:rFonts w:ascii="Times New Roman" w:hAnsi="Times New Roman" w:eastAsia="Times New Roman" w:cs="Times New Roman"/>
                <w:color w:val="auto"/>
                <w:sz w:val="18"/>
                <w:szCs w:val="18"/>
              </w:rPr>
              <w:t>10</w:t>
            </w:r>
            <w:r>
              <w:rPr>
                <w:color w:val="auto"/>
                <w:sz w:val="18"/>
                <w:szCs w:val="18"/>
              </w:rPr>
              <w:t>公里以上(含</w:t>
            </w:r>
            <w:r>
              <w:rPr>
                <w:rFonts w:ascii="Times New Roman" w:hAnsi="Times New Roman" w:eastAsia="Times New Roman" w:cs="Times New Roman"/>
                <w:color w:val="auto"/>
                <w:sz w:val="18"/>
                <w:szCs w:val="18"/>
              </w:rPr>
              <w:t>10</w:t>
            </w:r>
            <w:r>
              <w:rPr>
                <w:color w:val="auto"/>
                <w:sz w:val="18"/>
                <w:szCs w:val="18"/>
              </w:rPr>
              <w:t>公里)工业管道的；</w:t>
            </w:r>
          </w:p>
          <w:p>
            <w:pPr>
              <w:pStyle w:val="15"/>
              <w:numPr>
                <w:ilvl w:val="0"/>
                <w:numId w:val="5"/>
              </w:numPr>
              <w:tabs>
                <w:tab w:val="left" w:pos="312"/>
              </w:tabs>
              <w:snapToGrid w:val="0"/>
              <w:spacing w:line="240" w:lineRule="auto"/>
              <w:rPr>
                <w:rFonts w:hint="eastAsia"/>
                <w:color w:val="auto"/>
                <w:sz w:val="18"/>
                <w:szCs w:val="18"/>
              </w:rPr>
            </w:pPr>
            <w:r>
              <w:rPr>
                <w:color w:val="auto"/>
                <w:sz w:val="18"/>
                <w:szCs w:val="18"/>
              </w:rPr>
              <w:t>使用移动式压力容器，或者客运拖牵索道，或者大型游乐设施的；</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(6)</w:t>
            </w:r>
            <w:r>
              <w:rPr>
                <w:color w:val="auto"/>
                <w:sz w:val="18"/>
                <w:szCs w:val="18"/>
              </w:rPr>
              <w:t>使用</w:t>
            </w:r>
            <w:r>
              <w:rPr>
                <w:rFonts w:hint="eastAsia"/>
                <w:color w:val="auto"/>
                <w:sz w:val="18"/>
                <w:szCs w:val="18"/>
                <w:lang w:eastAsia="zh-CN"/>
              </w:rPr>
              <w:t>的</w:t>
            </w:r>
            <w:r>
              <w:rPr>
                <w:color w:val="auto"/>
                <w:sz w:val="18"/>
                <w:szCs w:val="18"/>
              </w:rPr>
              <w:t>特种设备(不含气瓶)总量</w:t>
            </w:r>
            <w:r>
              <w:rPr>
                <w:rFonts w:ascii="Times New Roman" w:hAnsi="Times New Roman" w:eastAsia="Times New Roman" w:cs="Times New Roman"/>
                <w:color w:val="auto"/>
                <w:sz w:val="18"/>
                <w:szCs w:val="18"/>
              </w:rPr>
              <w:t>20</w:t>
            </w:r>
            <w:r>
              <w:rPr>
                <w:color w:val="auto"/>
                <w:sz w:val="18"/>
                <w:szCs w:val="18"/>
              </w:rPr>
              <w:t>台以上(含</w:t>
            </w:r>
            <w:r>
              <w:rPr>
                <w:rFonts w:ascii="Times New Roman" w:hAnsi="Times New Roman" w:eastAsia="Times New Roman" w:cs="Times New Roman"/>
                <w:color w:val="auto"/>
                <w:sz w:val="18"/>
                <w:szCs w:val="18"/>
              </w:rPr>
              <w:t>20</w:t>
            </w:r>
            <w:r>
              <w:rPr>
                <w:color w:val="auto"/>
                <w:sz w:val="18"/>
                <w:szCs w:val="18"/>
              </w:rPr>
              <w:t>台)的。</w:t>
            </w:r>
          </w:p>
          <w:p>
            <w:pPr>
              <w:pStyle w:val="15"/>
              <w:tabs>
                <w:tab w:val="left" w:pos="312"/>
              </w:tabs>
              <w:snapToGrid w:val="0"/>
              <w:spacing w:line="240" w:lineRule="auto"/>
              <w:rPr>
                <w:color w:val="auto"/>
                <w:sz w:val="18"/>
                <w:szCs w:val="18"/>
              </w:rPr>
            </w:pPr>
            <w:r>
              <w:rPr>
                <w:color w:val="auto"/>
                <w:sz w:val="18"/>
                <w:szCs w:val="18"/>
              </w:rPr>
              <w:t>除前款规定以外的使用单位可以配备兼职安全管理员，也可以委托具有特种设备安全管理人员资格的人员负责使用管理，但是特种设备安全使用的责任主体仍然是使用单位。</w:t>
            </w:r>
          </w:p>
        </w:tc>
      </w:tr>
      <w:tr>
        <w:trPr>
          <w:trHeight w:val="3038" w:hRule="exact"/>
        </w:trPr>
        <w:tc>
          <w:tcPr>
            <w:tcW w:w="856" w:type="dxa"/>
            <w:shd w:val="clear" w:color="auto" w:fill="FFFFFF"/>
            <w:noWrap w:val="0"/>
            <w:vAlign w:val="center"/>
          </w:tcPr>
          <w:p>
            <w:pPr>
              <w:pStyle w:val="15"/>
              <w:snapToGrid w:val="0"/>
              <w:spacing w:line="240" w:lineRule="auto"/>
              <w:jc w:val="center"/>
              <w:rPr>
                <w:color w:val="auto"/>
                <w:sz w:val="18"/>
                <w:szCs w:val="18"/>
              </w:rPr>
            </w:pPr>
            <w:bookmarkStart w:id="3" w:name="_Hlk53690394"/>
            <w:r>
              <w:rPr>
                <w:color w:val="auto"/>
                <w:sz w:val="18"/>
                <w:szCs w:val="18"/>
              </w:rPr>
              <w:t>作业人员职责与配备</w:t>
            </w:r>
            <w:bookmarkEnd w:id="3"/>
          </w:p>
        </w:tc>
        <w:tc>
          <w:tcPr>
            <w:tcW w:w="562" w:type="dxa"/>
            <w:vMerge w:val="continue"/>
            <w:shd w:val="clear" w:color="auto" w:fill="FFFFFF"/>
            <w:noWrap w:val="0"/>
            <w:vAlign w:val="center"/>
          </w:tcPr>
          <w:p>
            <w:pPr>
              <w:pStyle w:val="15"/>
              <w:snapToGrid w:val="0"/>
              <w:spacing w:line="240" w:lineRule="auto"/>
              <w:jc w:val="center"/>
              <w:rPr>
                <w:color w:val="auto"/>
                <w:sz w:val="18"/>
                <w:szCs w:val="18"/>
              </w:rPr>
            </w:pPr>
          </w:p>
        </w:tc>
        <w:tc>
          <w:tcPr>
            <w:tcW w:w="851" w:type="dxa"/>
            <w:vMerge w:val="continue"/>
            <w:shd w:val="clear" w:color="auto" w:fill="FFFFFF"/>
            <w:noWrap w:val="0"/>
            <w:vAlign w:val="center"/>
          </w:tcPr>
          <w:p>
            <w:pPr>
              <w:pStyle w:val="15"/>
              <w:snapToGrid w:val="0"/>
              <w:spacing w:line="240" w:lineRule="auto"/>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2.4.4</w:t>
            </w:r>
          </w:p>
        </w:tc>
        <w:tc>
          <w:tcPr>
            <w:tcW w:w="11481" w:type="dxa"/>
            <w:shd w:val="clear" w:color="auto" w:fill="FFFFFF"/>
            <w:noWrap w:val="0"/>
            <w:vAlign w:val="center"/>
          </w:tcPr>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1</w:t>
            </w:r>
            <w:r>
              <w:rPr>
                <w:color w:val="auto"/>
                <w:sz w:val="18"/>
                <w:szCs w:val="18"/>
              </w:rPr>
              <w:t>作业人员职责</w:t>
            </w:r>
          </w:p>
          <w:p>
            <w:pPr>
              <w:pStyle w:val="15"/>
              <w:snapToGrid w:val="0"/>
              <w:spacing w:line="240" w:lineRule="auto"/>
              <w:jc w:val="both"/>
              <w:rPr>
                <w:color w:val="auto"/>
                <w:sz w:val="18"/>
                <w:szCs w:val="18"/>
              </w:rPr>
            </w:pPr>
            <w:r>
              <w:rPr>
                <w:color w:val="auto"/>
                <w:sz w:val="18"/>
                <w:szCs w:val="18"/>
              </w:rPr>
              <w:t>特种设备作业人员应当取得相应的特种设备作业人员资格证书，其主要职责如下：</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w:t>
            </w:r>
            <w:r>
              <w:rPr>
                <w:rFonts w:hint="eastAsia"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rFonts w:hint="eastAsia" w:ascii="Times New Roman" w:hAnsi="Times New Roman" w:cs="Times New Roman"/>
                <w:color w:val="auto"/>
                <w:sz w:val="18"/>
                <w:szCs w:val="18"/>
                <w:lang w:eastAsia="zh-CN"/>
              </w:rPr>
              <w:t xml:space="preserve">  </w:t>
            </w:r>
            <w:r>
              <w:rPr>
                <w:color w:val="auto"/>
                <w:sz w:val="18"/>
                <w:szCs w:val="18"/>
              </w:rPr>
              <w:t>严格执行特种设备有关安全管理制度，并且按照操作规程进行操作；</w:t>
            </w:r>
          </w:p>
          <w:p>
            <w:pPr>
              <w:pStyle w:val="15"/>
              <w:numPr>
                <w:ilvl w:val="0"/>
                <w:numId w:val="6"/>
              </w:numPr>
              <w:tabs>
                <w:tab w:val="left" w:pos="322"/>
              </w:tabs>
              <w:snapToGrid w:val="0"/>
              <w:spacing w:line="240" w:lineRule="auto"/>
              <w:jc w:val="both"/>
              <w:rPr>
                <w:color w:val="auto"/>
                <w:sz w:val="18"/>
                <w:szCs w:val="18"/>
              </w:rPr>
            </w:pPr>
            <w:r>
              <w:rPr>
                <w:color w:val="auto"/>
                <w:sz w:val="18"/>
                <w:szCs w:val="18"/>
              </w:rPr>
              <w:t>按照规定填写作业、交接班等记录；</w:t>
            </w:r>
          </w:p>
          <w:p>
            <w:pPr>
              <w:pStyle w:val="15"/>
              <w:numPr>
                <w:ilvl w:val="0"/>
                <w:numId w:val="6"/>
              </w:numPr>
              <w:tabs>
                <w:tab w:val="left" w:pos="312"/>
              </w:tabs>
              <w:snapToGrid w:val="0"/>
              <w:spacing w:line="240" w:lineRule="auto"/>
              <w:jc w:val="both"/>
              <w:rPr>
                <w:color w:val="auto"/>
                <w:sz w:val="18"/>
                <w:szCs w:val="18"/>
              </w:rPr>
            </w:pPr>
            <w:r>
              <w:rPr>
                <w:color w:val="auto"/>
                <w:sz w:val="18"/>
                <w:szCs w:val="18"/>
              </w:rPr>
              <w:t>参加安全教育和技能培训；</w:t>
            </w:r>
          </w:p>
          <w:p>
            <w:pPr>
              <w:pStyle w:val="15"/>
              <w:numPr>
                <w:ilvl w:val="0"/>
                <w:numId w:val="6"/>
              </w:numPr>
              <w:tabs>
                <w:tab w:val="left" w:pos="317"/>
              </w:tabs>
              <w:snapToGrid w:val="0"/>
              <w:spacing w:line="240" w:lineRule="auto"/>
              <w:jc w:val="both"/>
              <w:rPr>
                <w:color w:val="auto"/>
                <w:sz w:val="18"/>
                <w:szCs w:val="18"/>
              </w:rPr>
            </w:pPr>
            <w:r>
              <w:rPr>
                <w:color w:val="auto"/>
                <w:sz w:val="18"/>
                <w:szCs w:val="18"/>
              </w:rPr>
              <w:t>进行经常性维护保养，对发现的异常情况及时处理，并且作出记录；</w:t>
            </w:r>
          </w:p>
          <w:p>
            <w:pPr>
              <w:pStyle w:val="15"/>
              <w:numPr>
                <w:ilvl w:val="0"/>
                <w:numId w:val="6"/>
              </w:numPr>
              <w:tabs>
                <w:tab w:val="left" w:pos="322"/>
              </w:tabs>
              <w:snapToGrid w:val="0"/>
              <w:spacing w:line="240" w:lineRule="auto"/>
              <w:jc w:val="both"/>
              <w:rPr>
                <w:color w:val="auto"/>
                <w:sz w:val="18"/>
                <w:szCs w:val="18"/>
              </w:rPr>
            </w:pPr>
            <w:r>
              <w:rPr>
                <w:color w:val="auto"/>
                <w:sz w:val="18"/>
                <w:szCs w:val="18"/>
              </w:rPr>
              <w:t>作业过程中发现事故隐患或者其他不安全因素，应当立即采取紧急措施，并且按照规定的程序向特种设备安全管理人员和单位有关负责人报告；</w:t>
            </w:r>
          </w:p>
          <w:p>
            <w:pPr>
              <w:pStyle w:val="15"/>
              <w:numPr>
                <w:ilvl w:val="0"/>
                <w:numId w:val="6"/>
              </w:numPr>
              <w:tabs>
                <w:tab w:val="left" w:pos="312"/>
              </w:tabs>
              <w:snapToGrid w:val="0"/>
              <w:spacing w:line="240" w:lineRule="auto"/>
              <w:jc w:val="both"/>
              <w:rPr>
                <w:color w:val="auto"/>
                <w:sz w:val="18"/>
                <w:szCs w:val="18"/>
              </w:rPr>
            </w:pPr>
            <w:r>
              <w:rPr>
                <w:color w:val="auto"/>
                <w:sz w:val="18"/>
                <w:szCs w:val="18"/>
              </w:rPr>
              <w:t>参加应急演练，掌握相应的应急处置技能。</w:t>
            </w:r>
          </w:p>
          <w:p>
            <w:pPr>
              <w:pStyle w:val="15"/>
              <w:snapToGrid w:val="0"/>
              <w:spacing w:line="240" w:lineRule="auto"/>
              <w:jc w:val="both"/>
              <w:rPr>
                <w:color w:val="auto"/>
                <w:sz w:val="18"/>
                <w:szCs w:val="18"/>
              </w:rPr>
            </w:pPr>
            <w:r>
              <w:rPr>
                <w:color w:val="auto"/>
                <w:sz w:val="18"/>
                <w:szCs w:val="18"/>
              </w:rPr>
              <w:t>锅炉作业人员应当严格执行锅炉节能管理制度，参加锅炉节能教育和技术培训。</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2</w:t>
            </w:r>
            <w:r>
              <w:rPr>
                <w:color w:val="auto"/>
                <w:sz w:val="18"/>
                <w:szCs w:val="18"/>
              </w:rPr>
              <w:t>作业人员配备</w:t>
            </w:r>
          </w:p>
          <w:p>
            <w:pPr>
              <w:pStyle w:val="15"/>
              <w:snapToGrid w:val="0"/>
              <w:spacing w:line="240" w:lineRule="auto"/>
              <w:jc w:val="both"/>
              <w:rPr>
                <w:color w:val="auto"/>
                <w:sz w:val="18"/>
                <w:szCs w:val="18"/>
              </w:rPr>
            </w:pPr>
            <w:r>
              <w:rPr>
                <w:color w:val="auto"/>
                <w:sz w:val="18"/>
                <w:szCs w:val="18"/>
              </w:rPr>
              <w:t>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p>
            <w:pPr>
              <w:pStyle w:val="15"/>
              <w:snapToGrid w:val="0"/>
              <w:spacing w:line="240" w:lineRule="auto"/>
              <w:rPr>
                <w:color w:val="auto"/>
                <w:sz w:val="18"/>
                <w:szCs w:val="18"/>
              </w:rPr>
            </w:pPr>
            <w:r>
              <w:rPr>
                <w:color w:val="auto"/>
                <w:sz w:val="18"/>
                <w:szCs w:val="18"/>
              </w:rPr>
              <w:t>医院病床电梯、直接用于旅游观光的额定速度大于</w:t>
            </w:r>
            <w:r>
              <w:rPr>
                <w:rFonts w:ascii="Times New Roman" w:hAnsi="Times New Roman" w:eastAsia="Times New Roman" w:cs="Times New Roman"/>
                <w:color w:val="auto"/>
                <w:sz w:val="18"/>
                <w:szCs w:val="18"/>
                <w:lang w:val="en-US" w:eastAsia="zh-CN" w:bidi="en-US"/>
              </w:rPr>
              <w:t>2.5 m/s</w:t>
            </w:r>
            <w:r>
              <w:rPr>
                <w:color w:val="auto"/>
                <w:sz w:val="18"/>
                <w:szCs w:val="18"/>
              </w:rPr>
              <w:t>的乘客电梯以及需要司机操作的电梯，应当由持有相应特种设备作业人员证的人员操作。</w:t>
            </w:r>
          </w:p>
        </w:tc>
      </w:tr>
    </w:tbl>
    <w:p>
      <w:pPr>
        <w:snapToGrid w:val="0"/>
        <w:rPr>
          <w:color w:val="auto"/>
          <w:sz w:val="18"/>
          <w:szCs w:val="18"/>
          <w:lang w:eastAsia="zh-CN"/>
        </w:rPr>
      </w:pPr>
    </w:p>
    <w:p>
      <w:pPr>
        <w:snapToGrid w:val="0"/>
        <w:rPr>
          <w:color w:val="auto"/>
          <w:sz w:val="18"/>
          <w:szCs w:val="18"/>
          <w:lang w:eastAsia="zh-CN"/>
        </w:rPr>
      </w:pPr>
      <w:r>
        <w:rPr>
          <w:color w:val="auto"/>
          <w:sz w:val="18"/>
          <w:szCs w:val="18"/>
          <w:lang w:eastAsia="zh-CN"/>
        </w:rPr>
        <w:br w:type="page"/>
      </w:r>
    </w:p>
    <w:tbl>
      <w:tblPr>
        <w:tblStyle w:val="8"/>
        <w:tblpPr/>
        <w:tblOverlap w:val="never"/>
        <w:tblW w:w="14884" w:type="dxa"/>
        <w:tblInd w:w="-1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62"/>
        <w:gridCol w:w="556"/>
        <w:gridCol w:w="851"/>
        <w:gridCol w:w="850"/>
        <w:gridCol w:w="11765"/>
      </w:tblGrid>
      <w:tr>
        <w:trPr>
          <w:trHeight w:val="298" w:hRule="exact"/>
        </w:trPr>
        <w:tc>
          <w:tcPr>
            <w:tcW w:w="862"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排查内容</w:t>
            </w:r>
          </w:p>
        </w:tc>
        <w:tc>
          <w:tcPr>
            <w:tcW w:w="556"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lang w:eastAsia="zh-CN"/>
              </w:rPr>
            </w:pPr>
            <w:r>
              <w:rPr>
                <w:rFonts w:ascii="黑体" w:hAnsi="黑体" w:eastAsia="黑体"/>
                <w:b/>
                <w:color w:val="auto"/>
                <w:sz w:val="18"/>
                <w:szCs w:val="18"/>
              </w:rPr>
              <w:t>排查</w:t>
            </w:r>
          </w:p>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时间</w:t>
            </w:r>
          </w:p>
        </w:tc>
        <w:tc>
          <w:tcPr>
            <w:tcW w:w="1701" w:type="dxa"/>
            <w:gridSpan w:val="2"/>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排查依据</w:t>
            </w:r>
          </w:p>
        </w:tc>
        <w:tc>
          <w:tcPr>
            <w:tcW w:w="11765"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排查要求</w:t>
            </w:r>
          </w:p>
        </w:tc>
      </w:tr>
      <w:tr>
        <w:trPr>
          <w:trHeight w:val="356" w:hRule="exact"/>
        </w:trPr>
        <w:tc>
          <w:tcPr>
            <w:tcW w:w="862" w:type="dxa"/>
            <w:vMerge w:val="continue"/>
            <w:shd w:val="clear" w:color="auto" w:fill="FFFFFF"/>
            <w:noWrap w:val="0"/>
            <w:vAlign w:val="center"/>
          </w:tcPr>
          <w:p>
            <w:pPr>
              <w:snapToGrid w:val="0"/>
              <w:jc w:val="center"/>
              <w:rPr>
                <w:color w:val="auto"/>
                <w:sz w:val="18"/>
                <w:szCs w:val="18"/>
              </w:rPr>
            </w:pPr>
          </w:p>
        </w:tc>
        <w:tc>
          <w:tcPr>
            <w:tcW w:w="556" w:type="dxa"/>
            <w:vMerge w:val="continue"/>
            <w:shd w:val="clear" w:color="auto" w:fill="FFFFFF"/>
            <w:noWrap w:val="0"/>
            <w:vAlign w:val="center"/>
          </w:tcPr>
          <w:p>
            <w:pPr>
              <w:snapToGrid w:val="0"/>
              <w:jc w:val="center"/>
              <w:rPr>
                <w:color w:val="auto"/>
                <w:sz w:val="18"/>
                <w:szCs w:val="18"/>
              </w:rPr>
            </w:pPr>
          </w:p>
        </w:tc>
        <w:tc>
          <w:tcPr>
            <w:tcW w:w="851"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法规标准</w:t>
            </w:r>
          </w:p>
        </w:tc>
        <w:tc>
          <w:tcPr>
            <w:tcW w:w="850"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适用条款</w:t>
            </w:r>
          </w:p>
        </w:tc>
        <w:tc>
          <w:tcPr>
            <w:tcW w:w="11765" w:type="dxa"/>
            <w:vMerge w:val="continue"/>
            <w:shd w:val="clear" w:color="auto" w:fill="FFFFFF"/>
            <w:noWrap w:val="0"/>
            <w:vAlign w:val="center"/>
          </w:tcPr>
          <w:p>
            <w:pPr>
              <w:snapToGrid w:val="0"/>
              <w:rPr>
                <w:color w:val="auto"/>
                <w:sz w:val="18"/>
                <w:szCs w:val="18"/>
              </w:rPr>
            </w:pPr>
          </w:p>
        </w:tc>
      </w:tr>
      <w:tr>
        <w:trPr>
          <w:trHeight w:val="3549" w:hRule="exact"/>
        </w:trPr>
        <w:tc>
          <w:tcPr>
            <w:tcW w:w="862"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档案管理</w:t>
            </w:r>
          </w:p>
        </w:tc>
        <w:tc>
          <w:tcPr>
            <w:tcW w:w="556" w:type="dxa"/>
            <w:vMerge w:val="restart"/>
            <w:shd w:val="clear" w:color="auto" w:fill="FFFFFF"/>
            <w:noWrap w:val="0"/>
            <w:vAlign w:val="center"/>
          </w:tcPr>
          <w:p>
            <w:pPr>
              <w:pStyle w:val="15"/>
              <w:snapToGrid w:val="0"/>
              <w:spacing w:line="240" w:lineRule="auto"/>
              <w:jc w:val="center"/>
              <w:rPr>
                <w:color w:val="auto"/>
                <w:sz w:val="18"/>
                <w:szCs w:val="18"/>
              </w:rPr>
            </w:pPr>
            <w:r>
              <w:rPr>
                <w:color w:val="auto"/>
                <w:sz w:val="18"/>
                <w:szCs w:val="18"/>
              </w:rPr>
              <w:t>每</w:t>
            </w:r>
            <w:r>
              <w:rPr>
                <w:rFonts w:hint="eastAsia" w:ascii="Times New Roman" w:hAnsi="Times New Roman" w:cs="Times New Roman"/>
                <w:color w:val="auto"/>
                <w:sz w:val="18"/>
                <w:szCs w:val="18"/>
                <w:lang w:eastAsia="zh-CN"/>
              </w:rPr>
              <w:t>年</w:t>
            </w:r>
            <w:r>
              <w:rPr>
                <w:color w:val="auto"/>
                <w:sz w:val="18"/>
                <w:szCs w:val="18"/>
              </w:rPr>
              <w:t>一次</w:t>
            </w:r>
          </w:p>
        </w:tc>
        <w:tc>
          <w:tcPr>
            <w:tcW w:w="851" w:type="dxa"/>
            <w:vMerge w:val="restart"/>
            <w:shd w:val="clear" w:color="auto" w:fill="FFFFFF"/>
            <w:noWrap w:val="0"/>
            <w:vAlign w:val="center"/>
          </w:tcPr>
          <w:p>
            <w:pPr>
              <w:pStyle w:val="15"/>
              <w:snapToGrid w:val="0"/>
              <w:spacing w:line="240" w:lineRule="auto"/>
              <w:jc w:val="center"/>
              <w:rPr>
                <w:rFonts w:hint="eastAsia"/>
                <w:color w:val="auto"/>
                <w:sz w:val="18"/>
                <w:szCs w:val="18"/>
                <w:lang w:eastAsia="zh-CN"/>
              </w:rPr>
            </w:pPr>
            <w:r>
              <w:rPr>
                <w:color w:val="auto"/>
                <w:sz w:val="18"/>
                <w:szCs w:val="18"/>
              </w:rPr>
              <w:t>特种设备使用管理规则</w:t>
            </w:r>
          </w:p>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850"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2.5</w:t>
            </w:r>
          </w:p>
        </w:tc>
        <w:tc>
          <w:tcPr>
            <w:tcW w:w="11765" w:type="dxa"/>
            <w:shd w:val="clear" w:color="auto" w:fill="FFFFFF"/>
            <w:noWrap w:val="0"/>
            <w:vAlign w:val="center"/>
          </w:tcPr>
          <w:p>
            <w:pPr>
              <w:pStyle w:val="15"/>
              <w:tabs>
                <w:tab w:val="left" w:pos="336"/>
              </w:tabs>
              <w:snapToGrid w:val="0"/>
              <w:spacing w:line="240" w:lineRule="auto"/>
              <w:rPr>
                <w:color w:val="auto"/>
                <w:sz w:val="18"/>
                <w:szCs w:val="18"/>
              </w:rPr>
            </w:pPr>
            <w:r>
              <w:rPr>
                <w:rFonts w:hint="eastAsia"/>
                <w:color w:val="auto"/>
                <w:sz w:val="18"/>
                <w:szCs w:val="18"/>
              </w:rPr>
              <w:t>使用单位应当逐台建立特种设备安全与节能技术档案。安全技术档案至少包括以下内容：</w:t>
            </w:r>
          </w:p>
          <w:p>
            <w:pPr>
              <w:pStyle w:val="15"/>
              <w:snapToGrid w:val="0"/>
              <w:spacing w:line="240" w:lineRule="auto"/>
              <w:rPr>
                <w:color w:val="auto"/>
                <w:sz w:val="18"/>
                <w:szCs w:val="18"/>
              </w:rPr>
            </w:pPr>
            <w:r>
              <w:rPr>
                <w:color w:val="auto"/>
                <w:sz w:val="18"/>
                <w:szCs w:val="18"/>
              </w:rPr>
              <w:t>（</w:t>
            </w:r>
            <w:r>
              <w:rPr>
                <w:rFonts w:hint="eastAsia"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rFonts w:hint="eastAsia"/>
                <w:color w:val="auto"/>
                <w:sz w:val="18"/>
                <w:szCs w:val="18"/>
              </w:rPr>
              <w:t>使用登记证；</w:t>
            </w:r>
          </w:p>
          <w:p>
            <w:pPr>
              <w:pStyle w:val="15"/>
              <w:tabs>
                <w:tab w:val="left" w:pos="336"/>
              </w:tabs>
              <w:snapToGrid w:val="0"/>
              <w:spacing w:line="240" w:lineRule="auto"/>
              <w:rPr>
                <w:rFonts w:hint="eastAsia"/>
                <w:color w:val="auto"/>
                <w:sz w:val="18"/>
                <w:szCs w:val="18"/>
                <w:lang w:eastAsia="zh-CN"/>
              </w:rPr>
            </w:pPr>
            <w:r>
              <w:rPr>
                <w:color w:val="auto"/>
                <w:sz w:val="18"/>
                <w:szCs w:val="18"/>
              </w:rPr>
              <w:t>（</w:t>
            </w:r>
            <w:r>
              <w:rPr>
                <w:rFonts w:hint="eastAsia" w:ascii="Times New Roman" w:hAnsi="Times New Roman" w:cs="Times New Roman"/>
                <w:color w:val="auto"/>
                <w:sz w:val="18"/>
                <w:szCs w:val="18"/>
                <w:lang w:eastAsia="zh-CN"/>
              </w:rPr>
              <w:t>2</w:t>
            </w:r>
            <w:r>
              <w:rPr>
                <w:rFonts w:ascii="Times New Roman" w:hAnsi="Times New Roman" w:eastAsia="Times New Roman" w:cs="Times New Roman"/>
                <w:color w:val="auto"/>
                <w:sz w:val="18"/>
                <w:szCs w:val="18"/>
              </w:rPr>
              <w:t>）</w:t>
            </w:r>
            <w:r>
              <w:rPr>
                <w:rFonts w:hint="eastAsia"/>
                <w:color w:val="auto"/>
                <w:sz w:val="18"/>
                <w:szCs w:val="18"/>
              </w:rPr>
              <w:t>《特种设备使用登记表》；</w:t>
            </w:r>
          </w:p>
          <w:p>
            <w:pPr>
              <w:pStyle w:val="15"/>
              <w:tabs>
                <w:tab w:val="left" w:pos="336"/>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3）</w:t>
            </w:r>
            <w:r>
              <w:rPr>
                <w:color w:val="auto"/>
                <w:sz w:val="18"/>
                <w:szCs w:val="18"/>
              </w:rPr>
              <w:t>特种设备设计、制造技术资料和文件,包括设计文件、产品质量合格证明（含合格证及其数据表、质量证明书）、 安装及使用维护保养说明、监督检验证书、型式试验证书等；</w:t>
            </w:r>
          </w:p>
          <w:p>
            <w:pPr>
              <w:pStyle w:val="15"/>
              <w:tabs>
                <w:tab w:val="left" w:pos="336"/>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4）</w:t>
            </w:r>
            <w:r>
              <w:rPr>
                <w:color w:val="auto"/>
                <w:sz w:val="18"/>
                <w:szCs w:val="18"/>
              </w:rPr>
              <w:t>特种设备安装、改造和修理的方案、图样（包括压力管道单线图或轴测图）、材料质量证明书和施工质量证明文件、安装改造修理监督检验报告、验收报告等技术资料；</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5）</w:t>
            </w:r>
            <w:r>
              <w:rPr>
                <w:color w:val="auto"/>
                <w:sz w:val="18"/>
                <w:szCs w:val="18"/>
              </w:rPr>
              <w:t>特种设备定期自行检查记录和定期检验报告；</w:t>
            </w:r>
          </w:p>
          <w:p>
            <w:pPr>
              <w:pStyle w:val="15"/>
              <w:tabs>
                <w:tab w:val="left" w:pos="322"/>
              </w:tabs>
              <w:snapToGrid w:val="0"/>
              <w:spacing w:line="240" w:lineRule="auto"/>
              <w:rPr>
                <w:color w:val="auto"/>
                <w:sz w:val="18"/>
                <w:szCs w:val="18"/>
              </w:rPr>
            </w:pPr>
            <w:r>
              <w:rPr>
                <w:rFonts w:ascii="Times New Roman" w:hAnsi="Times New Roman" w:eastAsia="Times New Roman" w:cs="Times New Roman"/>
                <w:color w:val="auto"/>
                <w:sz w:val="18"/>
                <w:szCs w:val="18"/>
              </w:rPr>
              <w:t>（6）</w:t>
            </w:r>
            <w:r>
              <w:rPr>
                <w:color w:val="auto"/>
                <w:sz w:val="18"/>
                <w:szCs w:val="18"/>
              </w:rPr>
              <w:t>特种设备日常使用状况记录；</w:t>
            </w:r>
          </w:p>
          <w:p>
            <w:pPr>
              <w:pStyle w:val="15"/>
              <w:snapToGrid w:val="0"/>
              <w:spacing w:line="240" w:lineRule="auto"/>
              <w:rPr>
                <w:color w:val="auto"/>
                <w:sz w:val="18"/>
                <w:szCs w:val="18"/>
              </w:rPr>
            </w:pPr>
            <w:r>
              <w:rPr>
                <w:rFonts w:ascii="Times New Roman" w:hAnsi="Times New Roman" w:eastAsia="Times New Roman" w:cs="Times New Roman"/>
                <w:color w:val="auto"/>
                <w:sz w:val="18"/>
                <w:szCs w:val="18"/>
              </w:rPr>
              <w:t>（</w:t>
            </w:r>
            <w:r>
              <w:rPr>
                <w:rFonts w:ascii="Times New Roman" w:hAnsi="Times New Roman" w:eastAsia="Times New Roman" w:cs="Times New Roman"/>
                <w:color w:val="auto"/>
                <w:sz w:val="18"/>
                <w:szCs w:val="18"/>
                <w:lang w:val="en-US" w:eastAsia="zh-CN" w:bidi="en-US"/>
              </w:rPr>
              <w:t>7）</w:t>
            </w:r>
            <w:r>
              <w:rPr>
                <w:color w:val="auto"/>
                <w:sz w:val="18"/>
                <w:szCs w:val="18"/>
              </w:rPr>
              <w:t>特种设备及其附属仪器仪表维护保养记录；</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8）</w:t>
            </w:r>
            <w:r>
              <w:rPr>
                <w:color w:val="auto"/>
                <w:sz w:val="18"/>
                <w:szCs w:val="18"/>
              </w:rPr>
              <w:t>特种设备安全附件和安全保护装置校验、检修、更换记录和有关报告；</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9）</w:t>
            </w:r>
            <w:r>
              <w:rPr>
                <w:color w:val="auto"/>
                <w:sz w:val="18"/>
                <w:szCs w:val="18"/>
              </w:rPr>
              <w:t>特种设备运行故障和事故记录（报告）及事故处理报告。</w:t>
            </w:r>
          </w:p>
          <w:p>
            <w:pPr>
              <w:pStyle w:val="15"/>
              <w:snapToGrid w:val="0"/>
              <w:spacing w:line="240" w:lineRule="auto"/>
              <w:rPr>
                <w:color w:val="auto"/>
                <w:sz w:val="18"/>
                <w:szCs w:val="18"/>
              </w:rPr>
            </w:pPr>
            <w:r>
              <w:rPr>
                <w:color w:val="auto"/>
                <w:sz w:val="18"/>
                <w:szCs w:val="18"/>
              </w:rPr>
              <w:t>特种设备节能技术档案包括锅炉能效测试报告、高耗能特种设备节能改造技术资料等。</w:t>
            </w:r>
          </w:p>
          <w:p>
            <w:pPr>
              <w:pStyle w:val="15"/>
              <w:snapToGrid w:val="0"/>
              <w:spacing w:line="240" w:lineRule="auto"/>
              <w:rPr>
                <w:color w:val="auto"/>
                <w:sz w:val="18"/>
                <w:szCs w:val="18"/>
              </w:rPr>
            </w:pPr>
            <w:r>
              <w:rPr>
                <w:color w:val="auto"/>
                <w:sz w:val="18"/>
                <w:szCs w:val="18"/>
              </w:rPr>
              <w:t>使用单位应当在设备使用地保存上述（</w:t>
            </w:r>
            <w:r>
              <w:rPr>
                <w:rFonts w:ascii="Times New Roman" w:hAnsi="Times New Roman" w:eastAsia="Times New Roman" w:cs="Times New Roman"/>
                <w:color w:val="auto"/>
                <w:sz w:val="18"/>
                <w:szCs w:val="18"/>
              </w:rPr>
              <w:t>1</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2</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5</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6</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7</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8</w:t>
            </w:r>
            <w:r>
              <w:rPr>
                <w:rFonts w:hint="eastAsia"/>
                <w:color w:val="auto"/>
                <w:sz w:val="18"/>
                <w:szCs w:val="18"/>
              </w:rPr>
              <w:t>）</w:t>
            </w:r>
            <w:r>
              <w:rPr>
                <w:color w:val="auto"/>
                <w:sz w:val="18"/>
                <w:szCs w:val="18"/>
              </w:rPr>
              <w:t>、（</w:t>
            </w:r>
            <w:r>
              <w:rPr>
                <w:rFonts w:ascii="Times New Roman" w:hAnsi="Times New Roman" w:eastAsia="Times New Roman" w:cs="Times New Roman"/>
                <w:color w:val="auto"/>
                <w:sz w:val="18"/>
                <w:szCs w:val="18"/>
              </w:rPr>
              <w:t>9</w:t>
            </w:r>
            <w:r>
              <w:rPr>
                <w:rFonts w:hint="eastAsia"/>
                <w:color w:val="auto"/>
                <w:sz w:val="18"/>
                <w:szCs w:val="18"/>
              </w:rPr>
              <w:t>）</w:t>
            </w:r>
            <w:r>
              <w:rPr>
                <w:color w:val="auto"/>
                <w:sz w:val="18"/>
                <w:szCs w:val="18"/>
              </w:rPr>
              <w:t>规定的资料和特种设备节能技术档案的原件或者复印件，以便备查。</w:t>
            </w:r>
          </w:p>
        </w:tc>
      </w:tr>
      <w:tr>
        <w:trPr>
          <w:trHeight w:val="2570" w:hRule="exact"/>
        </w:trPr>
        <w:tc>
          <w:tcPr>
            <w:tcW w:w="862" w:type="dxa"/>
            <w:shd w:val="clear" w:color="auto" w:fill="FFFFFF"/>
            <w:noWrap w:val="0"/>
            <w:vAlign w:val="center"/>
          </w:tcPr>
          <w:p>
            <w:pPr>
              <w:pStyle w:val="15"/>
              <w:snapToGrid w:val="0"/>
              <w:spacing w:line="240" w:lineRule="auto"/>
              <w:jc w:val="center"/>
              <w:rPr>
                <w:color w:val="auto"/>
                <w:sz w:val="18"/>
                <w:szCs w:val="18"/>
              </w:rPr>
            </w:pPr>
            <w:bookmarkStart w:id="4" w:name="_Hlk53690422"/>
            <w:r>
              <w:rPr>
                <w:color w:val="auto"/>
                <w:sz w:val="18"/>
                <w:szCs w:val="18"/>
              </w:rPr>
              <w:t>管理制度建立</w:t>
            </w:r>
            <w:bookmarkEnd w:id="4"/>
          </w:p>
        </w:tc>
        <w:tc>
          <w:tcPr>
            <w:tcW w:w="556" w:type="dxa"/>
            <w:vMerge w:val="continue"/>
            <w:shd w:val="clear" w:color="auto" w:fill="FFFFFF"/>
            <w:noWrap w:val="0"/>
            <w:vAlign w:val="center"/>
          </w:tcPr>
          <w:p>
            <w:pPr>
              <w:pStyle w:val="15"/>
              <w:snapToGrid w:val="0"/>
              <w:jc w:val="center"/>
              <w:rPr>
                <w:color w:val="auto"/>
                <w:sz w:val="18"/>
                <w:szCs w:val="18"/>
              </w:rPr>
            </w:pPr>
          </w:p>
        </w:tc>
        <w:tc>
          <w:tcPr>
            <w:tcW w:w="851" w:type="dxa"/>
            <w:vMerge w:val="continue"/>
            <w:shd w:val="clear" w:color="auto" w:fill="FFFFFF"/>
            <w:noWrap w:val="0"/>
            <w:vAlign w:val="center"/>
          </w:tcPr>
          <w:p>
            <w:pPr>
              <w:pStyle w:val="15"/>
              <w:snapToGrid w:val="0"/>
              <w:jc w:val="center"/>
              <w:rPr>
                <w:color w:val="auto"/>
                <w:sz w:val="18"/>
                <w:szCs w:val="18"/>
              </w:rPr>
            </w:pPr>
          </w:p>
        </w:tc>
        <w:tc>
          <w:tcPr>
            <w:tcW w:w="850"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2.6.</w:t>
            </w:r>
            <w:r>
              <w:rPr>
                <w:rFonts w:ascii="Times New Roman" w:hAnsi="Times New Roman" w:eastAsia="Times New Roman" w:cs="Times New Roman"/>
                <w:color w:val="auto"/>
                <w:sz w:val="18"/>
                <w:szCs w:val="18"/>
              </w:rPr>
              <w:t>1</w:t>
            </w:r>
          </w:p>
        </w:tc>
        <w:tc>
          <w:tcPr>
            <w:tcW w:w="11765" w:type="dxa"/>
            <w:shd w:val="clear" w:color="auto" w:fill="FFFFFF"/>
            <w:noWrap w:val="0"/>
            <w:vAlign w:val="center"/>
          </w:tcPr>
          <w:p>
            <w:pPr>
              <w:pStyle w:val="15"/>
              <w:snapToGrid w:val="0"/>
              <w:spacing w:line="240" w:lineRule="auto"/>
              <w:rPr>
                <w:color w:val="auto"/>
                <w:sz w:val="18"/>
                <w:szCs w:val="18"/>
              </w:rPr>
            </w:pPr>
            <w:r>
              <w:rPr>
                <w:color w:val="auto"/>
                <w:sz w:val="18"/>
                <w:szCs w:val="18"/>
              </w:rPr>
              <w:t>特种设备使用单位应当按照特种设备相关法律、法规、规章和安全技术规范的要求，建立健全特种设备使用安全节能管理制度。</w:t>
            </w:r>
          </w:p>
          <w:p>
            <w:pPr>
              <w:pStyle w:val="15"/>
              <w:snapToGrid w:val="0"/>
              <w:spacing w:line="240" w:lineRule="auto"/>
              <w:rPr>
                <w:color w:val="auto"/>
                <w:sz w:val="18"/>
                <w:szCs w:val="18"/>
              </w:rPr>
            </w:pPr>
            <w:r>
              <w:rPr>
                <w:color w:val="auto"/>
                <w:sz w:val="18"/>
                <w:szCs w:val="18"/>
              </w:rPr>
              <w:t>管理制度至少包括以下内容：</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1）</w:t>
            </w:r>
            <w:r>
              <w:rPr>
                <w:color w:val="auto"/>
                <w:sz w:val="18"/>
                <w:szCs w:val="18"/>
              </w:rPr>
              <w:t>特种设备安全管理机构（需要设置时）和相关人员岗位职责；</w:t>
            </w:r>
          </w:p>
          <w:p>
            <w:pPr>
              <w:pStyle w:val="15"/>
              <w:tabs>
                <w:tab w:val="left" w:pos="322"/>
              </w:tabs>
              <w:snapToGrid w:val="0"/>
              <w:spacing w:line="240" w:lineRule="auto"/>
              <w:rPr>
                <w:color w:val="auto"/>
                <w:sz w:val="18"/>
                <w:szCs w:val="18"/>
              </w:rPr>
            </w:pPr>
            <w:r>
              <w:rPr>
                <w:rFonts w:ascii="Times New Roman" w:hAnsi="Times New Roman" w:eastAsia="Times New Roman" w:cs="Times New Roman"/>
                <w:color w:val="auto"/>
                <w:sz w:val="18"/>
                <w:szCs w:val="18"/>
              </w:rPr>
              <w:t>（2）</w:t>
            </w:r>
            <w:r>
              <w:rPr>
                <w:color w:val="auto"/>
                <w:sz w:val="18"/>
                <w:szCs w:val="18"/>
              </w:rPr>
              <w:t>特种设备经常性维护保养、定期自行检查和有关记录制度；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3）</w:t>
            </w:r>
            <w:r>
              <w:rPr>
                <w:color w:val="auto"/>
                <w:sz w:val="18"/>
                <w:szCs w:val="18"/>
              </w:rPr>
              <w:t>特种设备使用登记、定期检验、锅炉能效测试申请实施管理制度；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4）</w:t>
            </w:r>
            <w:r>
              <w:rPr>
                <w:color w:val="auto"/>
                <w:sz w:val="18"/>
                <w:szCs w:val="18"/>
              </w:rPr>
              <w:t>特种设备隐患排查治理制度；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5）</w:t>
            </w:r>
            <w:r>
              <w:rPr>
                <w:color w:val="auto"/>
                <w:sz w:val="18"/>
                <w:szCs w:val="18"/>
              </w:rPr>
              <w:t>特种设备安全管理人员与作业人员管理和培训制度；</w:t>
            </w:r>
          </w:p>
          <w:p>
            <w:pPr>
              <w:pStyle w:val="15"/>
              <w:tabs>
                <w:tab w:val="left" w:pos="322"/>
              </w:tabs>
              <w:snapToGrid w:val="0"/>
              <w:spacing w:line="240" w:lineRule="auto"/>
              <w:rPr>
                <w:color w:val="auto"/>
                <w:sz w:val="18"/>
                <w:szCs w:val="18"/>
              </w:rPr>
            </w:pPr>
            <w:r>
              <w:rPr>
                <w:rFonts w:ascii="Times New Roman" w:hAnsi="Times New Roman" w:eastAsia="Times New Roman" w:cs="Times New Roman"/>
                <w:color w:val="auto"/>
                <w:sz w:val="18"/>
                <w:szCs w:val="18"/>
              </w:rPr>
              <w:t>（6）</w:t>
            </w:r>
            <w:r>
              <w:rPr>
                <w:color w:val="auto"/>
                <w:sz w:val="18"/>
                <w:szCs w:val="18"/>
              </w:rPr>
              <w:t>特种设备采购、安装、改造、修理、报废等管理制度；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7）</w:t>
            </w:r>
            <w:r>
              <w:rPr>
                <w:color w:val="auto"/>
                <w:sz w:val="18"/>
                <w:szCs w:val="18"/>
              </w:rPr>
              <w:t>特种设备应急救援管理制度；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8）</w:t>
            </w:r>
            <w:r>
              <w:rPr>
                <w:color w:val="auto"/>
                <w:sz w:val="18"/>
                <w:szCs w:val="18"/>
              </w:rPr>
              <w:t>特种设备事故报告和处理制度；</w:t>
            </w:r>
          </w:p>
          <w:p>
            <w:pPr>
              <w:pStyle w:val="15"/>
              <w:tabs>
                <w:tab w:val="left" w:pos="322"/>
              </w:tabs>
              <w:snapToGrid w:val="0"/>
              <w:spacing w:line="240" w:lineRule="auto"/>
              <w:rPr>
                <w:color w:val="auto"/>
                <w:sz w:val="18"/>
                <w:szCs w:val="18"/>
              </w:rPr>
            </w:pPr>
            <w:r>
              <w:rPr>
                <w:color w:val="auto"/>
                <w:sz w:val="18"/>
                <w:szCs w:val="18"/>
              </w:rPr>
              <w:t>（</w:t>
            </w:r>
            <w:r>
              <w:rPr>
                <w:rFonts w:ascii="Times New Roman" w:hAnsi="Times New Roman" w:eastAsia="Times New Roman" w:cs="Times New Roman"/>
                <w:color w:val="auto"/>
                <w:sz w:val="18"/>
                <w:szCs w:val="18"/>
              </w:rPr>
              <w:t>9）</w:t>
            </w:r>
            <w:r>
              <w:rPr>
                <w:color w:val="auto"/>
                <w:sz w:val="18"/>
                <w:szCs w:val="18"/>
              </w:rPr>
              <w:t>高耗能特种设备节能管理制度。</w:t>
            </w:r>
          </w:p>
        </w:tc>
      </w:tr>
      <w:tr>
        <w:trPr>
          <w:trHeight w:val="495" w:hRule="exact"/>
        </w:trPr>
        <w:tc>
          <w:tcPr>
            <w:tcW w:w="862" w:type="dxa"/>
            <w:shd w:val="clear" w:color="auto" w:fill="FFFFFF"/>
            <w:noWrap w:val="0"/>
            <w:vAlign w:val="center"/>
          </w:tcPr>
          <w:p>
            <w:pPr>
              <w:pStyle w:val="15"/>
              <w:snapToGrid w:val="0"/>
              <w:spacing w:line="240" w:lineRule="auto"/>
              <w:jc w:val="center"/>
              <w:rPr>
                <w:color w:val="auto"/>
                <w:sz w:val="18"/>
                <w:szCs w:val="18"/>
              </w:rPr>
            </w:pPr>
            <w:bookmarkStart w:id="5" w:name="_Hlk53690440"/>
            <w:r>
              <w:rPr>
                <w:color w:val="auto"/>
                <w:sz w:val="18"/>
                <w:szCs w:val="18"/>
              </w:rPr>
              <w:t>操作规程制定</w:t>
            </w:r>
            <w:bookmarkEnd w:id="5"/>
          </w:p>
        </w:tc>
        <w:tc>
          <w:tcPr>
            <w:tcW w:w="556" w:type="dxa"/>
            <w:vMerge w:val="continue"/>
            <w:shd w:val="clear" w:color="auto" w:fill="FFFFFF"/>
            <w:noWrap w:val="0"/>
            <w:vAlign w:val="center"/>
          </w:tcPr>
          <w:p>
            <w:pPr>
              <w:pStyle w:val="15"/>
              <w:snapToGrid w:val="0"/>
              <w:jc w:val="center"/>
              <w:rPr>
                <w:color w:val="auto"/>
                <w:sz w:val="18"/>
                <w:szCs w:val="18"/>
              </w:rPr>
            </w:pPr>
          </w:p>
        </w:tc>
        <w:tc>
          <w:tcPr>
            <w:tcW w:w="851" w:type="dxa"/>
            <w:vMerge w:val="continue"/>
            <w:shd w:val="clear" w:color="auto" w:fill="FFFFFF"/>
            <w:noWrap w:val="0"/>
            <w:vAlign w:val="center"/>
          </w:tcPr>
          <w:p>
            <w:pPr>
              <w:pStyle w:val="15"/>
              <w:snapToGrid w:val="0"/>
              <w:jc w:val="center"/>
              <w:rPr>
                <w:color w:val="auto"/>
                <w:sz w:val="18"/>
                <w:szCs w:val="18"/>
              </w:rPr>
            </w:pPr>
          </w:p>
        </w:tc>
        <w:tc>
          <w:tcPr>
            <w:tcW w:w="850"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2.6.2</w:t>
            </w:r>
          </w:p>
        </w:tc>
        <w:tc>
          <w:tcPr>
            <w:tcW w:w="11765"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使用单位应当根据所使用设备运行特点等，制定操作规程。操作规程一般包括设备运行参数、操作程序和方法、维护保养妥求、安全注意事项、巡回检查和异常情况处置规定，以及相应记录等。</w:t>
            </w:r>
          </w:p>
        </w:tc>
      </w:tr>
      <w:tr>
        <w:trPr>
          <w:trHeight w:val="1887" w:hRule="exact"/>
        </w:trPr>
        <w:tc>
          <w:tcPr>
            <w:tcW w:w="862" w:type="dxa"/>
            <w:shd w:val="clear" w:color="auto" w:fill="FFFFFF"/>
            <w:noWrap w:val="0"/>
            <w:vAlign w:val="center"/>
          </w:tcPr>
          <w:p>
            <w:pPr>
              <w:pStyle w:val="15"/>
              <w:snapToGrid w:val="0"/>
              <w:spacing w:line="240" w:lineRule="auto"/>
              <w:jc w:val="center"/>
              <w:rPr>
                <w:color w:val="auto"/>
                <w:sz w:val="18"/>
                <w:szCs w:val="18"/>
              </w:rPr>
            </w:pPr>
            <w:r>
              <w:rPr>
                <w:color w:val="auto"/>
                <w:sz w:val="18"/>
                <w:szCs w:val="18"/>
              </w:rPr>
              <w:t>维护保养与检查</w:t>
            </w:r>
          </w:p>
        </w:tc>
        <w:tc>
          <w:tcPr>
            <w:tcW w:w="556" w:type="dxa"/>
            <w:vMerge w:val="continue"/>
            <w:shd w:val="clear" w:color="auto" w:fill="FFFFFF"/>
            <w:noWrap w:val="0"/>
            <w:vAlign w:val="center"/>
          </w:tcPr>
          <w:p>
            <w:pPr>
              <w:pStyle w:val="15"/>
              <w:snapToGrid w:val="0"/>
              <w:spacing w:line="240" w:lineRule="auto"/>
              <w:jc w:val="center"/>
              <w:rPr>
                <w:color w:val="auto"/>
                <w:sz w:val="18"/>
                <w:szCs w:val="18"/>
              </w:rPr>
            </w:pPr>
          </w:p>
        </w:tc>
        <w:tc>
          <w:tcPr>
            <w:tcW w:w="851" w:type="dxa"/>
            <w:vMerge w:val="continue"/>
            <w:shd w:val="clear" w:color="auto" w:fill="FFFFFF"/>
            <w:noWrap w:val="0"/>
            <w:vAlign w:val="center"/>
          </w:tcPr>
          <w:p>
            <w:pPr>
              <w:pStyle w:val="15"/>
              <w:snapToGrid w:val="0"/>
              <w:spacing w:line="240" w:lineRule="auto"/>
              <w:jc w:val="center"/>
              <w:rPr>
                <w:color w:val="auto"/>
                <w:sz w:val="18"/>
                <w:szCs w:val="18"/>
              </w:rPr>
            </w:pPr>
          </w:p>
        </w:tc>
        <w:tc>
          <w:tcPr>
            <w:tcW w:w="850"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2.7</w:t>
            </w:r>
          </w:p>
        </w:tc>
        <w:tc>
          <w:tcPr>
            <w:tcW w:w="11765" w:type="dxa"/>
            <w:shd w:val="clear" w:color="auto" w:fill="FFFFFF"/>
            <w:noWrap w:val="0"/>
            <w:vAlign w:val="center"/>
          </w:tcPr>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1</w:t>
            </w:r>
            <w:r>
              <w:rPr>
                <w:color w:val="auto"/>
                <w:sz w:val="18"/>
                <w:szCs w:val="18"/>
              </w:rPr>
              <w:t>经常性维护保养</w:t>
            </w:r>
            <w:r>
              <w:rPr>
                <w:rFonts w:hint="eastAsia"/>
                <w:color w:val="auto"/>
                <w:sz w:val="18"/>
                <w:szCs w:val="18"/>
                <w:lang w:eastAsia="zh-CN"/>
              </w:rPr>
              <w:t>：</w:t>
            </w:r>
            <w:r>
              <w:rPr>
                <w:color w:val="auto"/>
                <w:sz w:val="18"/>
                <w:szCs w:val="18"/>
              </w:rPr>
              <w:t>使用单位应当根据设备特点和使用状况对特种设备进行经常性维护保养，维护保养应当符合有关安全技术规范和</w:t>
            </w:r>
            <w:r>
              <w:rPr>
                <w:rFonts w:hint="eastAsia"/>
                <w:color w:val="auto"/>
                <w:sz w:val="18"/>
                <w:szCs w:val="18"/>
                <w:lang w:val="zh-CN" w:eastAsia="zh-CN" w:bidi="zh-CN"/>
              </w:rPr>
              <w:t>产</w:t>
            </w:r>
            <w:r>
              <w:rPr>
                <w:color w:val="auto"/>
                <w:sz w:val="18"/>
                <w:szCs w:val="18"/>
                <w:lang w:val="zh-CN" w:eastAsia="zh-CN" w:bidi="zh-CN"/>
              </w:rPr>
              <w:t>品</w:t>
            </w:r>
            <w:r>
              <w:rPr>
                <w:color w:val="auto"/>
                <w:sz w:val="18"/>
                <w:szCs w:val="18"/>
              </w:rPr>
              <w:t>使用维护保养说明的要求。对发现的异常情况及时处理，并且作出记录，保证在用特种设备始终处于正常使用状态。</w:t>
            </w:r>
          </w:p>
          <w:p>
            <w:pPr>
              <w:pStyle w:val="15"/>
              <w:snapToGrid w:val="0"/>
              <w:spacing w:line="240" w:lineRule="auto"/>
              <w:jc w:val="both"/>
              <w:rPr>
                <w:color w:val="auto"/>
                <w:sz w:val="18"/>
                <w:szCs w:val="18"/>
              </w:rPr>
            </w:pPr>
            <w:r>
              <w:rPr>
                <w:color w:val="auto"/>
                <w:sz w:val="18"/>
                <w:szCs w:val="18"/>
              </w:rPr>
              <w:t>法律对维护保养单位有专门资质要求的,使用单位应当选择具有相应资质的单位实施维护保养。鼓励其他特种设备使用单位选择具有相应能力的专业化、社会化维护保养单位进行维护保养。</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2</w:t>
            </w:r>
            <w:r>
              <w:rPr>
                <w:color w:val="auto"/>
                <w:sz w:val="18"/>
                <w:szCs w:val="18"/>
              </w:rPr>
              <w:t>定期自行检查</w:t>
            </w:r>
            <w:r>
              <w:rPr>
                <w:rFonts w:hint="eastAsia"/>
                <w:color w:val="auto"/>
                <w:sz w:val="18"/>
                <w:szCs w:val="18"/>
                <w:lang w:eastAsia="zh-CN"/>
              </w:rPr>
              <w:t>：</w:t>
            </w:r>
            <w:r>
              <w:rPr>
                <w:color w:val="auto"/>
                <w:sz w:val="18"/>
                <w:szCs w:val="18"/>
              </w:rPr>
              <w:t>为保证特种设备的安全运行，特种设备使用单位应当根据所使用特种设备的类别、品种和特性进行定期自行检查。定期自行检查的时间、内容和要求应当符合有关安全技术规范的规定及产品使用维护保养说明的要求。</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3</w:t>
            </w:r>
            <w:r>
              <w:rPr>
                <w:color w:val="auto"/>
                <w:sz w:val="18"/>
                <w:szCs w:val="18"/>
              </w:rPr>
              <w:t>试运行安全检查</w:t>
            </w:r>
            <w:r>
              <w:rPr>
                <w:rFonts w:hint="eastAsia"/>
                <w:color w:val="auto"/>
                <w:sz w:val="18"/>
                <w:szCs w:val="18"/>
                <w:lang w:eastAsia="zh-CN"/>
              </w:rPr>
              <w:t>：</w:t>
            </w:r>
            <w:r>
              <w:rPr>
                <w:color w:val="auto"/>
                <w:sz w:val="18"/>
                <w:szCs w:val="18"/>
              </w:rPr>
              <w:t>客运索道、大型游乐设施在每日投入使用前，其运营使用单位应当按照有关安全技术规范和产品使用维护保养说明的要求，开展设备运营前的试运行检查和例行安全检查，对安全保护装置进行检查确认，并且作出记录。</w:t>
            </w:r>
          </w:p>
        </w:tc>
      </w:tr>
    </w:tbl>
    <w:p>
      <w:pPr>
        <w:snapToGrid w:val="0"/>
        <w:rPr>
          <w:rFonts w:hint="eastAsia" w:eastAsia="宋体"/>
          <w:color w:val="auto"/>
          <w:sz w:val="18"/>
          <w:szCs w:val="18"/>
          <w:lang w:eastAsia="zh-CN"/>
        </w:rPr>
      </w:pPr>
    </w:p>
    <w:p>
      <w:pPr>
        <w:snapToGrid w:val="0"/>
        <w:rPr>
          <w:rFonts w:hint="eastAsia" w:eastAsia="宋体"/>
          <w:color w:val="auto"/>
          <w:sz w:val="18"/>
          <w:szCs w:val="18"/>
          <w:lang w:eastAsia="zh-CN"/>
        </w:rPr>
      </w:pPr>
    </w:p>
    <w:tbl>
      <w:tblPr>
        <w:tblStyle w:val="8"/>
        <w:tblpPr/>
        <w:tblOverlap w:val="never"/>
        <w:tblW w:w="148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
        <w:gridCol w:w="847"/>
        <w:gridCol w:w="567"/>
        <w:gridCol w:w="850"/>
        <w:gridCol w:w="1134"/>
        <w:gridCol w:w="11482"/>
      </w:tblGrid>
      <w:tr>
        <w:trPr>
          <w:gridBefore w:val="1"/>
          <w:wBefore w:w="5" w:type="dxa"/>
          <w:trHeight w:val="370" w:hRule="exact"/>
          <w:jc w:val="center"/>
        </w:trPr>
        <w:tc>
          <w:tcPr>
            <w:tcW w:w="852"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排查内容</w:t>
            </w:r>
          </w:p>
        </w:tc>
        <w:tc>
          <w:tcPr>
            <w:tcW w:w="567"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lang w:eastAsia="zh-CN"/>
              </w:rPr>
            </w:pPr>
            <w:r>
              <w:rPr>
                <w:rFonts w:ascii="黑体" w:hAnsi="黑体" w:eastAsia="黑体"/>
                <w:b/>
                <w:color w:val="auto"/>
                <w:sz w:val="18"/>
                <w:szCs w:val="18"/>
              </w:rPr>
              <w:t>排查</w:t>
            </w:r>
          </w:p>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时间</w:t>
            </w:r>
          </w:p>
        </w:tc>
        <w:tc>
          <w:tcPr>
            <w:tcW w:w="1984" w:type="dxa"/>
            <w:gridSpan w:val="2"/>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排查依据</w:t>
            </w:r>
          </w:p>
        </w:tc>
        <w:tc>
          <w:tcPr>
            <w:tcW w:w="11482" w:type="dxa"/>
            <w:vMerge w:val="restart"/>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排查要求</w:t>
            </w:r>
          </w:p>
        </w:tc>
      </w:tr>
      <w:tr>
        <w:trPr>
          <w:trHeight w:val="413" w:hRule="exact"/>
          <w:jc w:val="center"/>
        </w:trPr>
        <w:tc>
          <w:tcPr>
            <w:tcW w:w="852" w:type="dxa"/>
            <w:gridSpan w:val="2"/>
            <w:vMerge w:val="continue"/>
            <w:shd w:val="clear" w:color="auto" w:fill="FFFFFF"/>
            <w:noWrap w:val="0"/>
            <w:vAlign w:val="center"/>
          </w:tcPr>
          <w:p>
            <w:pPr>
              <w:snapToGrid w:val="0"/>
              <w:jc w:val="center"/>
              <w:rPr>
                <w:rFonts w:ascii="黑体" w:hAnsi="黑体" w:eastAsia="黑体"/>
                <w:b/>
                <w:color w:val="auto"/>
                <w:sz w:val="18"/>
                <w:szCs w:val="18"/>
              </w:rPr>
            </w:pPr>
          </w:p>
        </w:tc>
        <w:tc>
          <w:tcPr>
            <w:tcW w:w="567" w:type="dxa"/>
            <w:vMerge w:val="continue"/>
            <w:shd w:val="clear" w:color="auto" w:fill="FFFFFF"/>
            <w:noWrap w:val="0"/>
            <w:vAlign w:val="center"/>
          </w:tcPr>
          <w:p>
            <w:pPr>
              <w:snapToGrid w:val="0"/>
              <w:jc w:val="center"/>
              <w:rPr>
                <w:rFonts w:ascii="黑体" w:hAnsi="黑体" w:eastAsia="黑体"/>
                <w:b/>
                <w:color w:val="auto"/>
                <w:sz w:val="18"/>
                <w:szCs w:val="18"/>
              </w:rPr>
            </w:pPr>
          </w:p>
        </w:tc>
        <w:tc>
          <w:tcPr>
            <w:tcW w:w="850"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法规标准</w:t>
            </w:r>
          </w:p>
        </w:tc>
        <w:tc>
          <w:tcPr>
            <w:tcW w:w="1134" w:type="dxa"/>
            <w:shd w:val="clear" w:color="auto" w:fill="FFFFFF"/>
            <w:noWrap w:val="0"/>
            <w:vAlign w:val="center"/>
          </w:tcPr>
          <w:p>
            <w:pPr>
              <w:pStyle w:val="15"/>
              <w:snapToGrid w:val="0"/>
              <w:spacing w:line="240" w:lineRule="auto"/>
              <w:jc w:val="center"/>
              <w:rPr>
                <w:rFonts w:ascii="黑体" w:hAnsi="黑体" w:eastAsia="黑体"/>
                <w:b/>
                <w:color w:val="auto"/>
                <w:sz w:val="18"/>
                <w:szCs w:val="18"/>
              </w:rPr>
            </w:pPr>
            <w:r>
              <w:rPr>
                <w:rFonts w:ascii="黑体" w:hAnsi="黑体" w:eastAsia="黑体"/>
                <w:b/>
                <w:color w:val="auto"/>
                <w:sz w:val="18"/>
                <w:szCs w:val="18"/>
              </w:rPr>
              <w:t>适用条款</w:t>
            </w:r>
          </w:p>
        </w:tc>
        <w:tc>
          <w:tcPr>
            <w:tcW w:w="11482" w:type="dxa"/>
            <w:vMerge w:val="continue"/>
            <w:shd w:val="clear" w:color="auto" w:fill="FFFFFF"/>
            <w:noWrap w:val="0"/>
            <w:vAlign w:val="center"/>
          </w:tcPr>
          <w:p>
            <w:pPr>
              <w:snapToGrid w:val="0"/>
              <w:rPr>
                <w:color w:val="auto"/>
                <w:sz w:val="18"/>
                <w:szCs w:val="18"/>
              </w:rPr>
            </w:pPr>
          </w:p>
        </w:tc>
      </w:tr>
      <w:tr>
        <w:trPr>
          <w:trHeight w:val="523"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bookmarkStart w:id="6" w:name="_Hlk53690472"/>
            <w:r>
              <w:rPr>
                <w:color w:val="auto"/>
                <w:sz w:val="18"/>
                <w:szCs w:val="18"/>
              </w:rPr>
              <w:t>水(介)质要求</w:t>
            </w:r>
            <w:bookmarkEnd w:id="6"/>
          </w:p>
        </w:tc>
        <w:tc>
          <w:tcPr>
            <w:tcW w:w="567" w:type="dxa"/>
            <w:vMerge w:val="restart"/>
            <w:shd w:val="clear" w:color="auto" w:fill="FFFFFF"/>
            <w:noWrap w:val="0"/>
            <w:vAlign w:val="center"/>
          </w:tcPr>
          <w:p>
            <w:pPr>
              <w:pStyle w:val="15"/>
              <w:snapToGrid w:val="0"/>
              <w:spacing w:line="240" w:lineRule="auto"/>
              <w:jc w:val="center"/>
              <w:rPr>
                <w:rFonts w:hint="eastAsia" w:ascii="Times New Roman" w:hAnsi="Times New Roman" w:cs="Times New Roman"/>
                <w:color w:val="auto"/>
                <w:sz w:val="18"/>
                <w:szCs w:val="18"/>
                <w:lang w:eastAsia="zh-CN"/>
              </w:rPr>
            </w:pPr>
            <w:r>
              <w:rPr>
                <w:color w:val="auto"/>
                <w:sz w:val="18"/>
                <w:szCs w:val="18"/>
              </w:rPr>
              <w:t>每</w:t>
            </w:r>
            <w:r>
              <w:rPr>
                <w:rFonts w:hint="eastAsia" w:ascii="Times New Roman" w:hAnsi="Times New Roman" w:cs="Times New Roman"/>
                <w:color w:val="auto"/>
                <w:sz w:val="18"/>
                <w:szCs w:val="18"/>
                <w:lang w:eastAsia="zh-CN"/>
              </w:rPr>
              <w:t>年</w:t>
            </w:r>
          </w:p>
          <w:p>
            <w:pPr>
              <w:pStyle w:val="15"/>
              <w:snapToGrid w:val="0"/>
              <w:spacing w:line="240" w:lineRule="auto"/>
              <w:jc w:val="center"/>
              <w:rPr>
                <w:color w:val="auto"/>
                <w:sz w:val="18"/>
                <w:szCs w:val="18"/>
              </w:rPr>
            </w:pPr>
            <w:r>
              <w:rPr>
                <w:color w:val="auto"/>
                <w:sz w:val="18"/>
                <w:szCs w:val="18"/>
              </w:rPr>
              <w:t>一次</w:t>
            </w:r>
          </w:p>
        </w:tc>
        <w:tc>
          <w:tcPr>
            <w:tcW w:w="850" w:type="dxa"/>
            <w:vMerge w:val="restart"/>
            <w:shd w:val="clear" w:color="auto" w:fill="FFFFFF"/>
            <w:noWrap w:val="0"/>
            <w:vAlign w:val="center"/>
          </w:tcPr>
          <w:p>
            <w:pPr>
              <w:pStyle w:val="15"/>
              <w:snapToGrid w:val="0"/>
              <w:spacing w:line="240" w:lineRule="auto"/>
              <w:jc w:val="center"/>
              <w:rPr>
                <w:rFonts w:hint="eastAsia"/>
                <w:color w:val="auto"/>
                <w:sz w:val="18"/>
                <w:szCs w:val="18"/>
                <w:lang w:eastAsia="zh-CN"/>
              </w:rPr>
            </w:pPr>
            <w:r>
              <w:rPr>
                <w:color w:val="auto"/>
                <w:sz w:val="18"/>
                <w:szCs w:val="18"/>
              </w:rPr>
              <w:t>特种设备使用管理规则</w:t>
            </w:r>
          </w:p>
          <w:p>
            <w:pPr>
              <w:pStyle w:val="15"/>
              <w:snapToGrid w:val="0"/>
              <w:jc w:val="center"/>
              <w:rPr>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2.8</w:t>
            </w:r>
          </w:p>
        </w:tc>
        <w:tc>
          <w:tcPr>
            <w:tcW w:w="11482"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锅炉以及以水为介质产生蒸汽的压力容器的使用单位，应当做好锅炉水(介)质、压力容器水质的处理和监测工作， 保证水(介)质质量符合相关要求。</w:t>
            </w:r>
          </w:p>
        </w:tc>
      </w:tr>
      <w:tr>
        <w:trPr>
          <w:trHeight w:val="616"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bookmarkStart w:id="7" w:name="_Hlk53690484"/>
            <w:r>
              <w:rPr>
                <w:color w:val="auto"/>
                <w:sz w:val="18"/>
                <w:szCs w:val="18"/>
              </w:rPr>
              <w:t>安全警示</w:t>
            </w:r>
            <w:bookmarkEnd w:id="7"/>
          </w:p>
        </w:tc>
        <w:tc>
          <w:tcPr>
            <w:tcW w:w="567" w:type="dxa"/>
            <w:vMerge w:val="continue"/>
            <w:shd w:val="clear" w:color="auto" w:fill="FFFFFF"/>
            <w:noWrap w:val="0"/>
            <w:vAlign w:val="center"/>
          </w:tcPr>
          <w:p>
            <w:pPr>
              <w:pStyle w:val="15"/>
              <w:snapToGrid w:val="0"/>
              <w:jc w:val="center"/>
              <w:rPr>
                <w:color w:val="auto"/>
                <w:sz w:val="18"/>
                <w:szCs w:val="18"/>
              </w:rPr>
            </w:pPr>
          </w:p>
        </w:tc>
        <w:tc>
          <w:tcPr>
            <w:tcW w:w="850" w:type="dxa"/>
            <w:vMerge w:val="continue"/>
            <w:shd w:val="clear" w:color="auto" w:fill="FFFFFF"/>
            <w:noWrap w:val="0"/>
            <w:vAlign w:val="center"/>
          </w:tcPr>
          <w:p>
            <w:pPr>
              <w:pStyle w:val="15"/>
              <w:snapToGrid w:val="0"/>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2.9</w:t>
            </w:r>
          </w:p>
        </w:tc>
        <w:tc>
          <w:tcPr>
            <w:tcW w:w="11482"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电梯、客运索道、大型游乐设施的运营使用单位应当将安全使用说明、安全注意事项和警示标志置于易于引起乘客注意的位置。</w:t>
            </w:r>
          </w:p>
          <w:p>
            <w:pPr>
              <w:pStyle w:val="15"/>
              <w:snapToGrid w:val="0"/>
              <w:spacing w:line="240" w:lineRule="auto"/>
              <w:jc w:val="both"/>
              <w:rPr>
                <w:color w:val="auto"/>
                <w:sz w:val="18"/>
                <w:szCs w:val="18"/>
              </w:rPr>
            </w:pPr>
            <w:r>
              <w:rPr>
                <w:color w:val="auto"/>
                <w:sz w:val="18"/>
                <w:szCs w:val="18"/>
              </w:rPr>
              <w:t>除前款以外的其他特种设备应当根据设备特点和使用环境、场所，设置安全使用说明、安全注意事项和安全警示标志。</w:t>
            </w:r>
          </w:p>
        </w:tc>
      </w:tr>
      <w:tr>
        <w:trPr>
          <w:trHeight w:val="1702"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bookmarkStart w:id="8" w:name="_Hlk53690502"/>
            <w:r>
              <w:rPr>
                <w:color w:val="auto"/>
                <w:sz w:val="18"/>
                <w:szCs w:val="18"/>
              </w:rPr>
              <w:t>定期检验程序</w:t>
            </w:r>
            <w:bookmarkEnd w:id="8"/>
          </w:p>
        </w:tc>
        <w:tc>
          <w:tcPr>
            <w:tcW w:w="567" w:type="dxa"/>
            <w:vMerge w:val="continue"/>
            <w:shd w:val="clear" w:color="auto" w:fill="FFFFFF"/>
            <w:noWrap w:val="0"/>
            <w:vAlign w:val="center"/>
          </w:tcPr>
          <w:p>
            <w:pPr>
              <w:pStyle w:val="15"/>
              <w:snapToGrid w:val="0"/>
              <w:jc w:val="center"/>
              <w:rPr>
                <w:color w:val="auto"/>
                <w:sz w:val="18"/>
                <w:szCs w:val="18"/>
              </w:rPr>
            </w:pPr>
          </w:p>
        </w:tc>
        <w:tc>
          <w:tcPr>
            <w:tcW w:w="850" w:type="dxa"/>
            <w:vMerge w:val="continue"/>
            <w:shd w:val="clear" w:color="auto" w:fill="FFFFFF"/>
            <w:noWrap w:val="0"/>
            <w:vAlign w:val="center"/>
          </w:tcPr>
          <w:p>
            <w:pPr>
              <w:pStyle w:val="15"/>
              <w:snapToGrid w:val="0"/>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2.10</w:t>
            </w:r>
          </w:p>
        </w:tc>
        <w:tc>
          <w:tcPr>
            <w:tcW w:w="11482" w:type="dxa"/>
            <w:shd w:val="clear" w:color="auto" w:fill="FFFFFF"/>
            <w:noWrap w:val="0"/>
            <w:vAlign w:val="center"/>
          </w:tcPr>
          <w:p>
            <w:pPr>
              <w:pStyle w:val="15"/>
              <w:tabs>
                <w:tab w:val="left" w:pos="331"/>
              </w:tabs>
              <w:snapToGrid w:val="0"/>
              <w:spacing w:line="240" w:lineRule="auto"/>
              <w:jc w:val="both"/>
              <w:rPr>
                <w:color w:val="auto"/>
                <w:sz w:val="18"/>
                <w:szCs w:val="18"/>
              </w:rPr>
            </w:pPr>
            <w:r>
              <w:rPr>
                <w:rFonts w:ascii="Times New Roman" w:hAnsi="Times New Roman" w:eastAsia="Times New Roman" w:cs="Times New Roman"/>
                <w:color w:val="auto"/>
                <w:sz w:val="18"/>
                <w:szCs w:val="18"/>
              </w:rPr>
              <w:t>（1）</w:t>
            </w:r>
            <w:r>
              <w:rPr>
                <w:color w:val="auto"/>
                <w:sz w:val="18"/>
                <w:szCs w:val="18"/>
              </w:rPr>
              <w:t>使用单位应当在特种设备定期检验有效期届满的</w:t>
            </w:r>
            <w:r>
              <w:rPr>
                <w:rFonts w:ascii="Times New Roman" w:hAnsi="Times New Roman" w:eastAsia="Times New Roman" w:cs="Times New Roman"/>
                <w:color w:val="auto"/>
                <w:sz w:val="18"/>
                <w:szCs w:val="18"/>
              </w:rPr>
              <w:t>1</w:t>
            </w:r>
            <w:r>
              <w:rPr>
                <w:color w:val="auto"/>
                <w:sz w:val="18"/>
                <w:szCs w:val="18"/>
              </w:rPr>
              <w:t>个月以前，向特种设备检验机构提出定期检验申请，并且做好相关的准备工作；</w:t>
            </w:r>
          </w:p>
          <w:p>
            <w:pPr>
              <w:pStyle w:val="15"/>
              <w:tabs>
                <w:tab w:val="left" w:pos="350"/>
              </w:tabs>
              <w:snapToGrid w:val="0"/>
              <w:spacing w:line="240" w:lineRule="auto"/>
              <w:jc w:val="both"/>
              <w:rPr>
                <w:color w:val="auto"/>
                <w:sz w:val="18"/>
                <w:szCs w:val="18"/>
              </w:rPr>
            </w:pPr>
            <w:r>
              <w:rPr>
                <w:rFonts w:ascii="Times New Roman" w:hAnsi="Times New Roman" w:eastAsia="Times New Roman" w:cs="Times New Roman"/>
                <w:color w:val="auto"/>
                <w:sz w:val="18"/>
                <w:szCs w:val="18"/>
              </w:rPr>
              <w:t>（2）</w:t>
            </w:r>
            <w:r>
              <w:rPr>
                <w:color w:val="auto"/>
                <w:sz w:val="18"/>
                <w:szCs w:val="18"/>
              </w:rPr>
              <w:t>移动式（流动式）特种设备,如果无法返回使用登记地进行定期检验的，可以在异地（指不在使用登记地）进行， 检验后，使用单位应当在收到检验报告之日起</w:t>
            </w:r>
            <w:r>
              <w:rPr>
                <w:rFonts w:ascii="Times New Roman" w:hAnsi="Times New Roman" w:eastAsia="Times New Roman" w:cs="Times New Roman"/>
                <w:color w:val="auto"/>
                <w:sz w:val="18"/>
                <w:szCs w:val="18"/>
              </w:rPr>
              <w:t>30</w:t>
            </w:r>
            <w:r>
              <w:rPr>
                <w:color w:val="auto"/>
                <w:sz w:val="18"/>
                <w:szCs w:val="18"/>
              </w:rPr>
              <w:t>日内将检验报告（复印件）报送使用登记机关；</w:t>
            </w:r>
          </w:p>
          <w:p>
            <w:pPr>
              <w:pStyle w:val="15"/>
              <w:tabs>
                <w:tab w:val="left" w:pos="326"/>
              </w:tabs>
              <w:snapToGrid w:val="0"/>
              <w:spacing w:line="240" w:lineRule="auto"/>
              <w:jc w:val="both"/>
              <w:rPr>
                <w:color w:val="auto"/>
                <w:sz w:val="18"/>
                <w:szCs w:val="18"/>
              </w:rPr>
            </w:pPr>
            <w:r>
              <w:rPr>
                <w:color w:val="auto"/>
                <w:sz w:val="18"/>
                <w:szCs w:val="18"/>
              </w:rPr>
              <w:t>（</w:t>
            </w:r>
            <w:r>
              <w:rPr>
                <w:rFonts w:ascii="Times New Roman" w:hAnsi="Times New Roman" w:eastAsia="Times New Roman" w:cs="Times New Roman"/>
                <w:color w:val="auto"/>
                <w:sz w:val="18"/>
                <w:szCs w:val="18"/>
              </w:rPr>
              <w:t>3）</w:t>
            </w:r>
            <w:r>
              <w:rPr>
                <w:color w:val="auto"/>
                <w:sz w:val="18"/>
                <w:szCs w:val="18"/>
              </w:rPr>
              <w:t>定期检验完成后,使用单位应当组织进行特种设备管路连接、密封、附件（含零部件、安全附件、安全保护装置、 仪器仪表等）和内件安装、试运行等工作，并且对其安全性负责；</w:t>
            </w:r>
          </w:p>
          <w:p>
            <w:pPr>
              <w:pStyle w:val="15"/>
              <w:tabs>
                <w:tab w:val="left" w:pos="317"/>
              </w:tabs>
              <w:snapToGrid w:val="0"/>
              <w:spacing w:line="240" w:lineRule="auto"/>
              <w:jc w:val="both"/>
              <w:rPr>
                <w:color w:val="auto"/>
                <w:sz w:val="18"/>
                <w:szCs w:val="18"/>
              </w:rPr>
            </w:pPr>
            <w:r>
              <w:rPr>
                <w:color w:val="auto"/>
                <w:sz w:val="18"/>
                <w:szCs w:val="18"/>
              </w:rPr>
              <w:t>（</w:t>
            </w:r>
            <w:r>
              <w:rPr>
                <w:rFonts w:ascii="Times New Roman" w:hAnsi="Times New Roman" w:eastAsia="Times New Roman" w:cs="Times New Roman"/>
                <w:color w:val="auto"/>
                <w:sz w:val="18"/>
                <w:szCs w:val="18"/>
              </w:rPr>
              <w:t>4）</w:t>
            </w:r>
            <w:r>
              <w:rPr>
                <w:color w:val="auto"/>
                <w:sz w:val="18"/>
                <w:szCs w:val="18"/>
              </w:rPr>
              <w:t>检验结论为合格时（注</w:t>
            </w:r>
            <w:r>
              <w:rPr>
                <w:rFonts w:ascii="Times New Roman" w:hAnsi="Times New Roman" w:eastAsia="Times New Roman" w:cs="Times New Roman"/>
                <w:color w:val="auto"/>
                <w:sz w:val="18"/>
                <w:szCs w:val="18"/>
              </w:rPr>
              <w:t>2-5）</w:t>
            </w:r>
            <w:r>
              <w:rPr>
                <w:rFonts w:hint="eastAsia" w:ascii="Times New Roman" w:hAnsi="Times New Roman" w:cs="Times New Roman"/>
                <w:color w:val="auto"/>
                <w:sz w:val="18"/>
                <w:szCs w:val="18"/>
                <w:lang w:eastAsia="zh-CN"/>
              </w:rPr>
              <w:t>，</w:t>
            </w:r>
            <w:r>
              <w:rPr>
                <w:color w:val="auto"/>
                <w:sz w:val="18"/>
                <w:szCs w:val="18"/>
              </w:rPr>
              <w:t>使用单位应当按照检验结论确定的参数使用特种设备。</w:t>
            </w:r>
          </w:p>
          <w:p>
            <w:pPr>
              <w:pStyle w:val="15"/>
              <w:snapToGrid w:val="0"/>
              <w:spacing w:line="240" w:lineRule="auto"/>
              <w:jc w:val="both"/>
              <w:rPr>
                <w:color w:val="auto"/>
                <w:sz w:val="15"/>
                <w:szCs w:val="15"/>
              </w:rPr>
            </w:pPr>
            <w:r>
              <w:rPr>
                <w:color w:val="auto"/>
                <w:sz w:val="15"/>
                <w:szCs w:val="15"/>
              </w:rPr>
              <w:t>注</w:t>
            </w:r>
            <w:r>
              <w:rPr>
                <w:rFonts w:ascii="Times New Roman" w:hAnsi="Times New Roman" w:eastAsia="Times New Roman" w:cs="Times New Roman"/>
                <w:color w:val="auto"/>
                <w:sz w:val="15"/>
                <w:szCs w:val="15"/>
              </w:rPr>
              <w:t>2</w:t>
            </w:r>
            <w:r>
              <w:rPr>
                <w:rFonts w:hint="eastAsia"/>
                <w:color w:val="auto"/>
                <w:sz w:val="15"/>
                <w:szCs w:val="15"/>
                <w:lang w:eastAsia="zh-CN"/>
              </w:rPr>
              <w:t>-</w:t>
            </w:r>
            <w:r>
              <w:rPr>
                <w:rFonts w:ascii="Times New Roman" w:hAnsi="Times New Roman" w:eastAsia="Times New Roman" w:cs="Times New Roman"/>
                <w:color w:val="auto"/>
                <w:sz w:val="15"/>
                <w:szCs w:val="15"/>
              </w:rPr>
              <w:t>5</w:t>
            </w:r>
            <w:r>
              <w:rPr>
                <w:color w:val="auto"/>
                <w:sz w:val="15"/>
                <w:szCs w:val="15"/>
              </w:rPr>
              <w:t>：有关安全技术规范中检验结论为</w:t>
            </w:r>
            <w:r>
              <w:rPr>
                <w:color w:val="auto"/>
                <w:sz w:val="15"/>
                <w:szCs w:val="15"/>
                <w:lang w:val="zh-CN" w:eastAsia="zh-CN" w:bidi="zh-CN"/>
              </w:rPr>
              <w:t>“合格”“复</w:t>
            </w:r>
            <w:r>
              <w:rPr>
                <w:color w:val="auto"/>
                <w:sz w:val="15"/>
                <w:szCs w:val="15"/>
              </w:rPr>
              <w:t>检合格</w:t>
            </w:r>
            <w:r>
              <w:rPr>
                <w:color w:val="auto"/>
                <w:sz w:val="15"/>
                <w:szCs w:val="15"/>
                <w:lang w:val="zh-CN" w:eastAsia="zh-CN" w:bidi="zh-CN"/>
              </w:rPr>
              <w:t>”“符</w:t>
            </w:r>
            <w:r>
              <w:rPr>
                <w:color w:val="auto"/>
                <w:sz w:val="15"/>
                <w:szCs w:val="15"/>
              </w:rPr>
              <w:t>合要求</w:t>
            </w:r>
            <w:r>
              <w:rPr>
                <w:color w:val="auto"/>
                <w:sz w:val="15"/>
                <w:szCs w:val="15"/>
                <w:lang w:val="zh-CN" w:eastAsia="zh-CN" w:bidi="zh-CN"/>
              </w:rPr>
              <w:t>”“基</w:t>
            </w:r>
            <w:r>
              <w:rPr>
                <w:color w:val="auto"/>
                <w:sz w:val="15"/>
                <w:szCs w:val="15"/>
              </w:rPr>
              <w:t>本符合要求</w:t>
            </w:r>
            <w:r>
              <w:rPr>
                <w:color w:val="auto"/>
                <w:sz w:val="15"/>
                <w:szCs w:val="15"/>
                <w:lang w:val="zh-CN" w:eastAsia="zh-CN" w:bidi="zh-CN"/>
              </w:rPr>
              <w:t>”“允</w:t>
            </w:r>
            <w:r>
              <w:rPr>
                <w:color w:val="auto"/>
                <w:sz w:val="15"/>
                <w:szCs w:val="15"/>
              </w:rPr>
              <w:t>许使用</w:t>
            </w:r>
            <w:r>
              <w:rPr>
                <w:color w:val="auto"/>
                <w:sz w:val="15"/>
                <w:szCs w:val="15"/>
                <w:lang w:val="zh-CN" w:eastAsia="zh-CN" w:bidi="zh-CN"/>
              </w:rPr>
              <w:t>”统</w:t>
            </w:r>
            <w:r>
              <w:rPr>
                <w:color w:val="auto"/>
                <w:sz w:val="15"/>
                <w:szCs w:val="15"/>
              </w:rPr>
              <w:t>称为合格。</w:t>
            </w:r>
          </w:p>
        </w:tc>
      </w:tr>
      <w:tr>
        <w:trPr>
          <w:trHeight w:val="1655"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r>
              <w:rPr>
                <w:color w:val="auto"/>
                <w:sz w:val="18"/>
                <w:szCs w:val="18"/>
              </w:rPr>
              <w:t>隐患排查与治理</w:t>
            </w:r>
          </w:p>
        </w:tc>
        <w:tc>
          <w:tcPr>
            <w:tcW w:w="567" w:type="dxa"/>
            <w:vMerge w:val="continue"/>
            <w:shd w:val="clear" w:color="auto" w:fill="FFFFFF"/>
            <w:noWrap w:val="0"/>
            <w:vAlign w:val="center"/>
          </w:tcPr>
          <w:p>
            <w:pPr>
              <w:pStyle w:val="15"/>
              <w:snapToGrid w:val="0"/>
              <w:jc w:val="center"/>
              <w:rPr>
                <w:color w:val="auto"/>
                <w:sz w:val="18"/>
                <w:szCs w:val="18"/>
              </w:rPr>
            </w:pPr>
          </w:p>
        </w:tc>
        <w:tc>
          <w:tcPr>
            <w:tcW w:w="850" w:type="dxa"/>
            <w:vMerge w:val="continue"/>
            <w:shd w:val="clear" w:color="auto" w:fill="FFFFFF"/>
            <w:noWrap w:val="0"/>
            <w:vAlign w:val="center"/>
          </w:tcPr>
          <w:p>
            <w:pPr>
              <w:pStyle w:val="15"/>
              <w:snapToGrid w:val="0"/>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2.11</w:t>
            </w:r>
          </w:p>
        </w:tc>
        <w:tc>
          <w:tcPr>
            <w:tcW w:w="11482" w:type="dxa"/>
            <w:shd w:val="clear" w:color="auto" w:fill="FFFFFF"/>
            <w:noWrap w:val="0"/>
            <w:vAlign w:val="center"/>
          </w:tcPr>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1</w:t>
            </w:r>
            <w:r>
              <w:rPr>
                <w:color w:val="auto"/>
                <w:sz w:val="18"/>
                <w:szCs w:val="18"/>
              </w:rPr>
              <w:t>隐患排查</w:t>
            </w:r>
          </w:p>
          <w:p>
            <w:pPr>
              <w:pStyle w:val="15"/>
              <w:snapToGrid w:val="0"/>
              <w:spacing w:line="240" w:lineRule="auto"/>
              <w:jc w:val="both"/>
              <w:rPr>
                <w:color w:val="auto"/>
                <w:sz w:val="18"/>
                <w:szCs w:val="18"/>
              </w:rPr>
            </w:pPr>
            <w:r>
              <w:rPr>
                <w:color w:val="auto"/>
                <w:sz w:val="18"/>
                <w:szCs w:val="18"/>
              </w:rPr>
              <w:t>使用单位应当按照隐患排查治理制度进行隐患排查，发现事故隐患应当及时消除,待隐患消除后，方可继续使用。</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2</w:t>
            </w:r>
            <w:r>
              <w:rPr>
                <w:color w:val="auto"/>
                <w:sz w:val="18"/>
                <w:szCs w:val="18"/>
              </w:rPr>
              <w:t>异常情况处理</w:t>
            </w:r>
          </w:p>
          <w:p>
            <w:pPr>
              <w:pStyle w:val="15"/>
              <w:snapToGrid w:val="0"/>
              <w:spacing w:line="240" w:lineRule="auto"/>
              <w:jc w:val="both"/>
              <w:rPr>
                <w:color w:val="auto"/>
                <w:sz w:val="18"/>
                <w:szCs w:val="18"/>
              </w:rPr>
            </w:pPr>
            <w:r>
              <w:rPr>
                <w:color w:val="auto"/>
                <w:sz w:val="18"/>
                <w:szCs w:val="18"/>
              </w:rPr>
              <w:t>特种设备在使用中发现异常情况的，作业人员或者维护保养人员应当立即采取应急措施，并且按照规定的程序向使用单位特种设备安全管理人员和单位有关负责人报告。</w:t>
            </w:r>
          </w:p>
          <w:p>
            <w:pPr>
              <w:pStyle w:val="15"/>
              <w:snapToGrid w:val="0"/>
              <w:spacing w:line="240" w:lineRule="auto"/>
              <w:jc w:val="both"/>
              <w:rPr>
                <w:color w:val="auto"/>
                <w:sz w:val="18"/>
                <w:szCs w:val="18"/>
              </w:rPr>
            </w:pPr>
            <w:r>
              <w:rPr>
                <w:color w:val="auto"/>
                <w:sz w:val="18"/>
                <w:szCs w:val="18"/>
              </w:rPr>
              <w:t>使用单位应当对出现故障或者发生异常情况的特种设备及时进行全面检查，查明故障和异常情况原因，并且及时采取有效措施，必要时停止运行，安排检验、检测，不得带病运行、冒险作业</w:t>
            </w:r>
            <w:r>
              <w:rPr>
                <w:rFonts w:hint="eastAsia"/>
                <w:color w:val="auto"/>
                <w:sz w:val="18"/>
                <w:szCs w:val="18"/>
                <w:lang w:eastAsia="zh-CN"/>
              </w:rPr>
              <w:t>，</w:t>
            </w:r>
            <w:r>
              <w:rPr>
                <w:color w:val="auto"/>
                <w:sz w:val="18"/>
                <w:szCs w:val="18"/>
              </w:rPr>
              <w:t>待故障、异常情况消除后，方可继续使用。</w:t>
            </w:r>
          </w:p>
        </w:tc>
      </w:tr>
      <w:tr>
        <w:trPr>
          <w:trHeight w:val="1990"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r>
              <w:rPr>
                <w:color w:val="auto"/>
                <w:sz w:val="18"/>
                <w:szCs w:val="18"/>
              </w:rPr>
              <w:t>预案与事故管理</w:t>
            </w:r>
          </w:p>
        </w:tc>
        <w:tc>
          <w:tcPr>
            <w:tcW w:w="567" w:type="dxa"/>
            <w:vMerge w:val="continue"/>
            <w:shd w:val="clear" w:color="auto" w:fill="FFFFFF"/>
            <w:noWrap w:val="0"/>
            <w:vAlign w:val="center"/>
          </w:tcPr>
          <w:p>
            <w:pPr>
              <w:pStyle w:val="15"/>
              <w:snapToGrid w:val="0"/>
              <w:jc w:val="center"/>
              <w:rPr>
                <w:color w:val="auto"/>
                <w:sz w:val="18"/>
                <w:szCs w:val="18"/>
              </w:rPr>
            </w:pPr>
          </w:p>
        </w:tc>
        <w:tc>
          <w:tcPr>
            <w:tcW w:w="850" w:type="dxa"/>
            <w:vMerge w:val="continue"/>
            <w:shd w:val="clear" w:color="auto" w:fill="FFFFFF"/>
            <w:noWrap w:val="0"/>
            <w:vAlign w:val="center"/>
          </w:tcPr>
          <w:p>
            <w:pPr>
              <w:pStyle w:val="15"/>
              <w:snapToGrid w:val="0"/>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2.12</w:t>
            </w:r>
          </w:p>
        </w:tc>
        <w:tc>
          <w:tcPr>
            <w:tcW w:w="11482" w:type="dxa"/>
            <w:shd w:val="clear" w:color="auto" w:fill="FFFFFF"/>
            <w:noWrap w:val="0"/>
            <w:vAlign w:val="center"/>
          </w:tcPr>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1</w:t>
            </w:r>
            <w:r>
              <w:rPr>
                <w:color w:val="auto"/>
                <w:sz w:val="18"/>
                <w:szCs w:val="18"/>
              </w:rPr>
              <w:t>应急预案</w:t>
            </w:r>
          </w:p>
          <w:p>
            <w:pPr>
              <w:pStyle w:val="15"/>
              <w:snapToGrid w:val="0"/>
              <w:spacing w:line="240" w:lineRule="auto"/>
              <w:jc w:val="both"/>
              <w:rPr>
                <w:color w:val="auto"/>
                <w:sz w:val="18"/>
                <w:szCs w:val="18"/>
              </w:rPr>
            </w:pPr>
            <w:r>
              <w:rPr>
                <w:color w:val="auto"/>
                <w:sz w:val="18"/>
                <w:szCs w:val="18"/>
              </w:rPr>
              <w:t>按照本规则要求设置特种设备安全管理机构和配备专职安全管理员的使用单位，应当制定特种设备事故应急专项 预案，每年至少演练一次，并且作出记录；其他使用单位可以在综合应急预案中编制特种设备事故应急的内容，适时开展特种设备事故应急演练，并且作出记录。</w:t>
            </w:r>
          </w:p>
          <w:p>
            <w:pPr>
              <w:pStyle w:val="15"/>
              <w:snapToGrid w:val="0"/>
              <w:spacing w:line="240" w:lineRule="auto"/>
              <w:jc w:val="both"/>
              <w:rPr>
                <w:color w:val="auto"/>
                <w:sz w:val="18"/>
                <w:szCs w:val="18"/>
              </w:rPr>
            </w:pPr>
            <w:r>
              <w:rPr>
                <w:rFonts w:ascii="Times New Roman" w:hAnsi="Times New Roman" w:eastAsia="Times New Roman" w:cs="Times New Roman"/>
                <w:color w:val="auto"/>
                <w:sz w:val="18"/>
                <w:szCs w:val="18"/>
              </w:rPr>
              <w:t>2</w:t>
            </w:r>
            <w:r>
              <w:rPr>
                <w:color w:val="auto"/>
                <w:sz w:val="18"/>
                <w:szCs w:val="18"/>
              </w:rPr>
              <w:t>事故处置</w:t>
            </w:r>
          </w:p>
          <w:p>
            <w:pPr>
              <w:pStyle w:val="15"/>
              <w:snapToGrid w:val="0"/>
              <w:spacing w:line="240" w:lineRule="auto"/>
              <w:jc w:val="both"/>
              <w:rPr>
                <w:color w:val="auto"/>
                <w:sz w:val="18"/>
                <w:szCs w:val="18"/>
              </w:rPr>
            </w:pPr>
            <w:r>
              <w:rPr>
                <w:color w:val="auto"/>
                <w:sz w:val="18"/>
                <w:szCs w:val="18"/>
              </w:rPr>
              <w:t>发生特种设备事故的使用单位，应当根据应急预案，立即采取应急措施，组织抢救，防止事故扩大，减少人员伤亡和 财产损失，并且按照《特种设备事故报告和调查处理规定》的要求，向特种设备安全监管部门和有关部门报告，同时 配合事故调查和做好善后处理工作。</w:t>
            </w:r>
          </w:p>
          <w:p>
            <w:pPr>
              <w:pStyle w:val="15"/>
              <w:snapToGrid w:val="0"/>
              <w:spacing w:line="240" w:lineRule="auto"/>
              <w:jc w:val="both"/>
              <w:rPr>
                <w:color w:val="auto"/>
                <w:sz w:val="18"/>
                <w:szCs w:val="18"/>
              </w:rPr>
            </w:pPr>
            <w:r>
              <w:rPr>
                <w:color w:val="auto"/>
                <w:sz w:val="18"/>
                <w:szCs w:val="18"/>
              </w:rPr>
              <w:t>发生自然灾害危及特种设备安全时，使用单位应当立即疏散、撤离有关人员，采取防止危害扩大的必要措施，同时 向特种设备安全监管部门和有关部门报告。</w:t>
            </w:r>
          </w:p>
        </w:tc>
      </w:tr>
      <w:tr>
        <w:trPr>
          <w:trHeight w:val="700"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bookmarkStart w:id="9" w:name="_Hlk53690557"/>
            <w:r>
              <w:rPr>
                <w:color w:val="auto"/>
                <w:sz w:val="18"/>
                <w:szCs w:val="18"/>
              </w:rPr>
              <w:t>移装管理</w:t>
            </w:r>
            <w:bookmarkEnd w:id="9"/>
          </w:p>
        </w:tc>
        <w:tc>
          <w:tcPr>
            <w:tcW w:w="567" w:type="dxa"/>
            <w:vMerge w:val="continue"/>
            <w:shd w:val="clear" w:color="auto" w:fill="FFFFFF"/>
            <w:noWrap w:val="0"/>
            <w:vAlign w:val="center"/>
          </w:tcPr>
          <w:p>
            <w:pPr>
              <w:pStyle w:val="15"/>
              <w:snapToGrid w:val="0"/>
              <w:jc w:val="center"/>
              <w:rPr>
                <w:color w:val="auto"/>
                <w:sz w:val="18"/>
                <w:szCs w:val="18"/>
              </w:rPr>
            </w:pPr>
          </w:p>
        </w:tc>
        <w:tc>
          <w:tcPr>
            <w:tcW w:w="850" w:type="dxa"/>
            <w:vMerge w:val="continue"/>
            <w:shd w:val="clear" w:color="auto" w:fill="FFFFFF"/>
            <w:noWrap w:val="0"/>
            <w:vAlign w:val="center"/>
          </w:tcPr>
          <w:p>
            <w:pPr>
              <w:pStyle w:val="15"/>
              <w:snapToGrid w:val="0"/>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2.13</w:t>
            </w:r>
          </w:p>
        </w:tc>
        <w:tc>
          <w:tcPr>
            <w:tcW w:w="11482"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特秒设备移装后,使用单位应当办理使用登记变更。整体移装的，使用单位应当进行自行检查</w:t>
            </w:r>
            <w:r>
              <w:rPr>
                <w:rFonts w:hint="eastAsia"/>
                <w:color w:val="auto"/>
                <w:sz w:val="18"/>
                <w:szCs w:val="18"/>
                <w:lang w:eastAsia="zh-CN"/>
              </w:rPr>
              <w:t>；</w:t>
            </w:r>
            <w:r>
              <w:rPr>
                <w:color w:val="auto"/>
                <w:sz w:val="18"/>
                <w:szCs w:val="18"/>
              </w:rPr>
              <w:t xml:space="preserve">拆卸后移装的，使用单位应当选择取得相应许可的单位进行安装。按照有关安全技术规范要求，拆卸后移装需要进行检验的，应当向 </w:t>
            </w:r>
            <w:r>
              <w:rPr>
                <w:rFonts w:hint="eastAsia"/>
                <w:color w:val="auto"/>
                <w:sz w:val="18"/>
                <w:szCs w:val="18"/>
                <w:lang w:eastAsia="zh-CN"/>
              </w:rPr>
              <w:t>特</w:t>
            </w:r>
            <w:r>
              <w:rPr>
                <w:color w:val="auto"/>
                <w:sz w:val="18"/>
                <w:szCs w:val="18"/>
              </w:rPr>
              <w:t>种设备检验机构申请检验。</w:t>
            </w:r>
          </w:p>
        </w:tc>
      </w:tr>
      <w:tr>
        <w:trPr>
          <w:trHeight w:val="896" w:hRule="exact"/>
          <w:jc w:val="center"/>
        </w:trPr>
        <w:tc>
          <w:tcPr>
            <w:tcW w:w="852" w:type="dxa"/>
            <w:gridSpan w:val="2"/>
            <w:shd w:val="clear" w:color="auto" w:fill="FFFFFF"/>
            <w:noWrap w:val="0"/>
            <w:vAlign w:val="center"/>
          </w:tcPr>
          <w:p>
            <w:pPr>
              <w:pStyle w:val="15"/>
              <w:snapToGrid w:val="0"/>
              <w:spacing w:line="240" w:lineRule="auto"/>
              <w:jc w:val="center"/>
              <w:rPr>
                <w:color w:val="auto"/>
                <w:sz w:val="18"/>
                <w:szCs w:val="18"/>
              </w:rPr>
            </w:pPr>
            <w:bookmarkStart w:id="10" w:name="_Hlk53690577"/>
            <w:r>
              <w:rPr>
                <w:color w:val="auto"/>
                <w:sz w:val="18"/>
                <w:szCs w:val="18"/>
              </w:rPr>
              <w:t>使用年限审查</w:t>
            </w:r>
            <w:bookmarkEnd w:id="10"/>
          </w:p>
        </w:tc>
        <w:tc>
          <w:tcPr>
            <w:tcW w:w="567" w:type="dxa"/>
            <w:vMerge w:val="continue"/>
            <w:shd w:val="clear" w:color="auto" w:fill="FFFFFF"/>
            <w:noWrap w:val="0"/>
            <w:vAlign w:val="center"/>
          </w:tcPr>
          <w:p>
            <w:pPr>
              <w:pStyle w:val="15"/>
              <w:snapToGrid w:val="0"/>
              <w:spacing w:line="240" w:lineRule="auto"/>
              <w:jc w:val="center"/>
              <w:rPr>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color w:val="auto"/>
                <w:sz w:val="18"/>
                <w:szCs w:val="18"/>
              </w:rPr>
            </w:pPr>
          </w:p>
        </w:tc>
        <w:tc>
          <w:tcPr>
            <w:tcW w:w="1134" w:type="dxa"/>
            <w:shd w:val="clear" w:color="auto" w:fill="FFFFFF"/>
            <w:noWrap w:val="0"/>
            <w:vAlign w:val="center"/>
          </w:tcPr>
          <w:p>
            <w:pPr>
              <w:pStyle w:val="15"/>
              <w:snapToGrid w:val="0"/>
              <w:spacing w:line="240" w:lineRule="auto"/>
              <w:jc w:val="center"/>
              <w:rPr>
                <w:color w:val="auto"/>
                <w:sz w:val="18"/>
                <w:szCs w:val="18"/>
              </w:rPr>
            </w:pPr>
            <w:r>
              <w:rPr>
                <w:rFonts w:ascii="Times New Roman" w:hAnsi="Times New Roman" w:eastAsia="Times New Roman" w:cs="Times New Roman"/>
                <w:color w:val="auto"/>
                <w:sz w:val="18"/>
                <w:szCs w:val="18"/>
                <w:lang w:val="en-US" w:eastAsia="en-US" w:bidi="en-US"/>
              </w:rPr>
              <w:t>2.14</w:t>
            </w:r>
          </w:p>
        </w:tc>
        <w:tc>
          <w:tcPr>
            <w:tcW w:w="11482" w:type="dxa"/>
            <w:shd w:val="clear" w:color="auto" w:fill="FFFFFF"/>
            <w:noWrap w:val="0"/>
            <w:vAlign w:val="center"/>
          </w:tcPr>
          <w:p>
            <w:pPr>
              <w:pStyle w:val="15"/>
              <w:snapToGrid w:val="0"/>
              <w:spacing w:line="240" w:lineRule="auto"/>
              <w:jc w:val="both"/>
              <w:rPr>
                <w:color w:val="auto"/>
                <w:sz w:val="18"/>
                <w:szCs w:val="18"/>
              </w:rPr>
            </w:pPr>
            <w:r>
              <w:rPr>
                <w:color w:val="auto"/>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r>
    </w:tbl>
    <w:p>
      <w:pPr>
        <w:pStyle w:val="14"/>
        <w:snapToGrid w:val="0"/>
        <w:spacing w:after="120" w:afterLines="50" w:line="240" w:lineRule="auto"/>
        <w:jc w:val="center"/>
        <w:rPr>
          <w:color w:val="auto"/>
          <w:sz w:val="18"/>
          <w:szCs w:val="18"/>
          <w:lang w:eastAsia="zh-CN"/>
        </w:rPr>
      </w:pPr>
    </w:p>
    <w:p>
      <w:pPr>
        <w:pStyle w:val="14"/>
        <w:snapToGrid w:val="0"/>
        <w:spacing w:after="120" w:afterLines="50" w:line="240" w:lineRule="auto"/>
        <w:jc w:val="center"/>
        <w:rPr>
          <w:color w:val="auto"/>
          <w:sz w:val="18"/>
          <w:szCs w:val="18"/>
          <w:lang w:eastAsia="zh-CN"/>
        </w:rPr>
      </w:pPr>
    </w:p>
    <w:p>
      <w:pPr>
        <w:pStyle w:val="14"/>
        <w:snapToGrid w:val="0"/>
        <w:spacing w:after="120" w:afterLines="50" w:line="240" w:lineRule="auto"/>
        <w:jc w:val="center"/>
        <w:rPr>
          <w:color w:val="auto"/>
          <w:sz w:val="18"/>
          <w:szCs w:val="18"/>
          <w:lang w:eastAsia="zh-CN"/>
        </w:rPr>
      </w:pPr>
    </w:p>
    <w:p>
      <w:pPr>
        <w:pStyle w:val="14"/>
        <w:snapToGrid w:val="0"/>
        <w:spacing w:after="120" w:afterLines="50" w:line="240" w:lineRule="auto"/>
        <w:jc w:val="center"/>
        <w:rPr>
          <w:rFonts w:ascii="Times New Roman" w:hAnsi="Times New Roman" w:cs="Times New Roman"/>
          <w:color w:val="auto"/>
          <w:sz w:val="18"/>
          <w:szCs w:val="18"/>
        </w:rPr>
      </w:pPr>
      <w:r>
        <w:rPr>
          <w:rFonts w:ascii="Times New Roman" w:hAnsi="黑体" w:eastAsia="黑体" w:cs="Times New Roman"/>
          <w:b/>
          <w:color w:val="auto"/>
          <w:sz w:val="21"/>
          <w:szCs w:val="21"/>
        </w:rPr>
        <w:t>表</w:t>
      </w:r>
      <w:r>
        <w:rPr>
          <w:rFonts w:ascii="Times New Roman" w:hAnsi="Times New Roman" w:eastAsia="黑体" w:cs="Times New Roman"/>
          <w:b/>
          <w:color w:val="auto"/>
          <w:sz w:val="21"/>
          <w:szCs w:val="21"/>
          <w:lang w:val="en-US" w:eastAsia="zh-CN" w:bidi="en-US"/>
        </w:rPr>
        <w:t xml:space="preserve">B.1  </w:t>
      </w:r>
      <w:r>
        <w:rPr>
          <w:rFonts w:ascii="Times New Roman" w:hAnsi="黑体" w:eastAsia="黑体" w:cs="Times New Roman"/>
          <w:b/>
          <w:color w:val="auto"/>
          <w:sz w:val="21"/>
          <w:szCs w:val="21"/>
        </w:rPr>
        <w:t>特种设备</w:t>
      </w:r>
      <w:r>
        <w:rPr>
          <w:rFonts w:ascii="Times New Roman" w:hAnsi="黑体" w:eastAsia="黑体" w:cs="Times New Roman"/>
          <w:b/>
          <w:color w:val="auto"/>
          <w:sz w:val="21"/>
          <w:szCs w:val="21"/>
          <w:lang w:eastAsia="zh-CN"/>
        </w:rPr>
        <w:t>隐患排查清单</w:t>
      </w:r>
      <w:r>
        <w:rPr>
          <w:rFonts w:ascii="Times New Roman" w:hAnsi="Times New Roman" w:eastAsia="黑体" w:cs="Times New Roman"/>
          <w:b/>
          <w:color w:val="auto"/>
          <w:sz w:val="21"/>
          <w:szCs w:val="21"/>
          <w:lang w:eastAsia="zh-CN"/>
        </w:rPr>
        <w:t>——</w:t>
      </w:r>
      <w:r>
        <w:rPr>
          <w:rFonts w:ascii="Times New Roman" w:hAnsi="黑体" w:eastAsia="黑体" w:cs="Times New Roman"/>
          <w:b/>
          <w:color w:val="auto"/>
          <w:sz w:val="21"/>
          <w:szCs w:val="21"/>
          <w:lang w:eastAsia="zh-CN"/>
        </w:rPr>
        <w:t>锅炉专项</w:t>
      </w:r>
      <w:r>
        <w:rPr>
          <w:rFonts w:ascii="Times New Roman" w:hAnsi="黑体" w:eastAsia="黑体" w:cs="Times New Roman"/>
          <w:b/>
          <w:color w:val="auto"/>
          <w:sz w:val="21"/>
          <w:szCs w:val="21"/>
        </w:rPr>
        <w:t>要求</w:t>
      </w:r>
    </w:p>
    <w:tbl>
      <w:tblPr>
        <w:tblStyle w:val="8"/>
        <w:tblpPr/>
        <w:tblOverlap w:val="never"/>
        <w:tblW w:w="144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43"/>
        <w:gridCol w:w="670"/>
        <w:gridCol w:w="850"/>
        <w:gridCol w:w="1418"/>
        <w:gridCol w:w="850"/>
        <w:gridCol w:w="9847"/>
      </w:tblGrid>
      <w:tr>
        <w:trPr>
          <w:trHeight w:val="329" w:hRule="exact"/>
          <w:jc w:val="center"/>
        </w:trPr>
        <w:tc>
          <w:tcPr>
            <w:tcW w:w="843"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67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268"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84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6" w:hRule="exact"/>
          <w:jc w:val="center"/>
        </w:trPr>
        <w:tc>
          <w:tcPr>
            <w:tcW w:w="843" w:type="dxa"/>
            <w:vMerge w:val="continue"/>
            <w:shd w:val="clear" w:color="auto" w:fill="FFFFFF"/>
            <w:noWrap w:val="0"/>
            <w:vAlign w:val="center"/>
          </w:tcPr>
          <w:p>
            <w:pPr>
              <w:snapToGrid w:val="0"/>
              <w:jc w:val="center"/>
              <w:rPr>
                <w:color w:val="auto"/>
                <w:sz w:val="18"/>
                <w:szCs w:val="18"/>
              </w:rPr>
            </w:pPr>
          </w:p>
        </w:tc>
        <w:tc>
          <w:tcPr>
            <w:tcW w:w="670" w:type="dxa"/>
            <w:vMerge w:val="continue"/>
            <w:shd w:val="clear" w:color="auto" w:fill="FFFFFF"/>
            <w:noWrap w:val="0"/>
            <w:vAlign w:val="center"/>
          </w:tcPr>
          <w:p>
            <w:pPr>
              <w:snapToGrid w:val="0"/>
              <w:jc w:val="center"/>
              <w:rPr>
                <w:color w:val="auto"/>
                <w:sz w:val="18"/>
                <w:szCs w:val="18"/>
              </w:rPr>
            </w:pPr>
          </w:p>
        </w:tc>
        <w:tc>
          <w:tcPr>
            <w:tcW w:w="850" w:type="dxa"/>
            <w:vMerge w:val="continue"/>
            <w:shd w:val="clear" w:color="auto" w:fill="FFFFFF"/>
            <w:noWrap w:val="0"/>
            <w:vAlign w:val="center"/>
          </w:tcPr>
          <w:p>
            <w:pPr>
              <w:snapToGrid w:val="0"/>
              <w:jc w:val="center"/>
              <w:rPr>
                <w:color w:val="auto"/>
                <w:sz w:val="18"/>
                <w:szCs w:val="18"/>
              </w:rPr>
            </w:pPr>
          </w:p>
        </w:tc>
        <w:tc>
          <w:tcPr>
            <w:tcW w:w="1418"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847" w:type="dxa"/>
            <w:vMerge w:val="continue"/>
            <w:shd w:val="clear" w:color="auto" w:fill="FFFFFF"/>
            <w:noWrap w:val="0"/>
            <w:vAlign w:val="center"/>
          </w:tcPr>
          <w:p>
            <w:pPr>
              <w:snapToGrid w:val="0"/>
              <w:rPr>
                <w:color w:val="auto"/>
                <w:sz w:val="18"/>
                <w:szCs w:val="18"/>
              </w:rPr>
            </w:pPr>
          </w:p>
        </w:tc>
      </w:tr>
      <w:tr>
        <w:trPr>
          <w:trHeight w:val="704" w:hRule="exact"/>
          <w:jc w:val="center"/>
        </w:trPr>
        <w:tc>
          <w:tcPr>
            <w:tcW w:w="84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11" w:name="_Hlk53690652"/>
            <w:r>
              <w:rPr>
                <w:rFonts w:ascii="Times New Roman" w:cs="Times New Roman"/>
                <w:color w:val="auto"/>
                <w:sz w:val="18"/>
                <w:szCs w:val="18"/>
              </w:rPr>
              <w:t>改造修理</w:t>
            </w:r>
            <w:bookmarkEnd w:id="11"/>
          </w:p>
        </w:tc>
        <w:tc>
          <w:tcPr>
            <w:tcW w:w="67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使用单位自定（每年至少一次）</w:t>
            </w:r>
          </w:p>
        </w:tc>
        <w:tc>
          <w:tcPr>
            <w:tcW w:w="14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锅炉安全技术规程</w:t>
            </w: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cs="Times New Roman"/>
                <w:color w:val="auto"/>
                <w:sz w:val="18"/>
                <w:szCs w:val="18"/>
              </w:rPr>
              <w:t>）</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7.3</w:t>
            </w:r>
          </w:p>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7.4</w:t>
            </w:r>
          </w:p>
        </w:tc>
        <w:tc>
          <w:tcPr>
            <w:tcW w:w="9847"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锅炉的改造、修理技术要求参照相应锅炉专业技术标准和有关技术规定。锅炉改造后不应当提高额定工作压力；不应当将热水锅炉改为蒸汽锅炉。锅炉</w:t>
            </w:r>
            <w:r>
              <w:rPr>
                <w:rFonts w:ascii="Times New Roman" w:cs="Times New Roman"/>
                <w:color w:val="auto"/>
                <w:sz w:val="18"/>
                <w:szCs w:val="18"/>
                <w:lang w:eastAsia="zh-CN"/>
              </w:rPr>
              <w:t>不应当在有压力或者锅水温度较高的情况下修理受压元（部）件</w:t>
            </w:r>
            <w:r>
              <w:rPr>
                <w:rFonts w:ascii="Times New Roman" w:cs="Times New Roman"/>
                <w:color w:val="auto"/>
                <w:sz w:val="18"/>
                <w:szCs w:val="18"/>
              </w:rPr>
              <w:t>。</w:t>
            </w:r>
            <w:r>
              <w:rPr>
                <w:rFonts w:ascii="Times New Roman" w:cs="Times New Roman"/>
                <w:color w:val="auto"/>
                <w:sz w:val="18"/>
                <w:szCs w:val="18"/>
                <w:lang w:eastAsia="zh-CN"/>
              </w:rPr>
              <w:t>锅炉受压元（部）件采用挖补修理时，补板应当是规则的形状。</w:t>
            </w:r>
          </w:p>
        </w:tc>
      </w:tr>
      <w:tr>
        <w:trPr>
          <w:trHeight w:val="621" w:hRule="exact"/>
          <w:jc w:val="center"/>
        </w:trPr>
        <w:tc>
          <w:tcPr>
            <w:tcW w:w="843" w:type="dxa"/>
            <w:vMerge w:val="continue"/>
            <w:shd w:val="clear" w:color="auto" w:fill="FFFFFF"/>
            <w:noWrap w:val="0"/>
            <w:vAlign w:val="center"/>
          </w:tcPr>
          <w:p>
            <w:pPr>
              <w:snapToGrid w:val="0"/>
              <w:jc w:val="center"/>
              <w:rPr>
                <w:color w:val="auto"/>
                <w:sz w:val="18"/>
                <w:szCs w:val="18"/>
                <w:lang w:eastAsia="zh-CN"/>
              </w:rPr>
            </w:pPr>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4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《特种设备安全监察条例》</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第二十一</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条</w:t>
            </w:r>
          </w:p>
        </w:tc>
        <w:tc>
          <w:tcPr>
            <w:tcW w:w="9847"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锅炉安装、改造、重大修理过程，必须经国务院特种设备安全监督管理部门核准的检验检测机构按照安全技术规范的要求进行监督检验，未经监督检验合格的不得交付使用。</w:t>
            </w:r>
          </w:p>
        </w:tc>
      </w:tr>
      <w:tr>
        <w:trPr>
          <w:trHeight w:val="462" w:hRule="exact"/>
          <w:jc w:val="center"/>
        </w:trPr>
        <w:tc>
          <w:tcPr>
            <w:tcW w:w="8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12" w:name="_Hlk53690672"/>
            <w:r>
              <w:rPr>
                <w:rFonts w:ascii="Times New Roman" w:cs="Times New Roman"/>
                <w:color w:val="auto"/>
                <w:sz w:val="18"/>
                <w:szCs w:val="18"/>
              </w:rPr>
              <w:t>安全管理人员和操作人员</w:t>
            </w:r>
            <w:bookmarkEnd w:id="12"/>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418"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锅炉安全技术规程</w:t>
            </w: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cs="Times New Roman"/>
                <w:color w:val="auto"/>
                <w:sz w:val="18"/>
                <w:szCs w:val="18"/>
              </w:rPr>
              <w:t>）</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bidi="en-US"/>
              </w:rPr>
              <w:t>8.2</w:t>
            </w:r>
          </w:p>
        </w:tc>
        <w:tc>
          <w:tcPr>
            <w:tcW w:w="9847"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lang w:eastAsia="zh-CN"/>
              </w:rPr>
              <w:t>锅炉作业人员应当严格执行操作规程和有关安全规章制度。</w:t>
            </w:r>
            <w:r>
              <w:rPr>
                <w:rFonts w:ascii="Times New Roman" w:hAnsi="Times New Roman" w:eastAsia="Times New Roman" w:cs="Times New Roman"/>
                <w:color w:val="auto"/>
                <w:sz w:val="18"/>
                <w:szCs w:val="18"/>
                <w:lang w:val="en-US" w:eastAsia="zh-CN" w:bidi="en-US"/>
              </w:rPr>
              <w:t>B</w:t>
            </w:r>
            <w:r>
              <w:rPr>
                <w:rFonts w:ascii="Times New Roman" w:cs="Times New Roman"/>
                <w:color w:val="auto"/>
                <w:sz w:val="18"/>
                <w:szCs w:val="18"/>
              </w:rPr>
              <w:t>级及以下全自动锅炉可以不设跟班锅炉运行操作人员，但是应当建立定期巡回检查制度。</w:t>
            </w:r>
          </w:p>
        </w:tc>
      </w:tr>
      <w:tr>
        <w:trPr>
          <w:trHeight w:val="2664" w:hRule="atLeast"/>
          <w:jc w:val="center"/>
        </w:trPr>
        <w:tc>
          <w:tcPr>
            <w:tcW w:w="843" w:type="dxa"/>
            <w:tcBorders>
              <w:bottom w:val="single" w:color="auto" w:sz="6"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13" w:name="_Hlk53690686"/>
            <w:r>
              <w:rPr>
                <w:rFonts w:ascii="Times New Roman" w:cs="Times New Roman"/>
                <w:color w:val="auto"/>
                <w:sz w:val="18"/>
                <w:szCs w:val="18"/>
              </w:rPr>
              <w:t>管理制度</w:t>
            </w:r>
            <w:bookmarkEnd w:id="13"/>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4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tcBorders>
              <w:bottom w:val="single" w:color="auto" w:sz="6"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4</w:t>
            </w:r>
          </w:p>
        </w:tc>
        <w:tc>
          <w:tcPr>
            <w:tcW w:w="9847" w:type="dxa"/>
            <w:tcBorders>
              <w:bottom w:val="single" w:color="auto" w:sz="6" w:space="0"/>
            </w:tcBorders>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锅炉使用管理应当有以下制度</w:t>
            </w:r>
            <w:r>
              <w:rPr>
                <w:rFonts w:ascii="Times New Roman" w:cs="Times New Roman"/>
                <w:color w:val="auto"/>
                <w:sz w:val="18"/>
                <w:szCs w:val="18"/>
                <w:lang w:eastAsia="zh-CN"/>
              </w:rPr>
              <w:t>和</w:t>
            </w:r>
            <w:r>
              <w:rPr>
                <w:rFonts w:ascii="Times New Roman" w:cs="Times New Roman"/>
                <w:color w:val="auto"/>
                <w:sz w:val="18"/>
                <w:szCs w:val="18"/>
              </w:rPr>
              <w:t>规程：</w:t>
            </w:r>
          </w:p>
          <w:p>
            <w:pPr>
              <w:pStyle w:val="15"/>
              <w:tabs>
                <w:tab w:val="left" w:pos="336"/>
              </w:tabs>
              <w:snapToGrid w:val="0"/>
              <w:spacing w:line="240" w:lineRule="auto"/>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岗位责任制，包括锅炉安全管理人员、班组长、运行</w:t>
            </w:r>
            <w:r>
              <w:rPr>
                <w:rFonts w:ascii="Times New Roman" w:cs="Times New Roman"/>
                <w:color w:val="auto"/>
                <w:sz w:val="18"/>
                <w:szCs w:val="18"/>
                <w:lang w:eastAsia="zh-CN"/>
              </w:rPr>
              <w:t>作业</w:t>
            </w:r>
            <w:r>
              <w:rPr>
                <w:rFonts w:ascii="Times New Roman" w:cs="Times New Roman"/>
                <w:color w:val="auto"/>
                <w:sz w:val="18"/>
                <w:szCs w:val="18"/>
              </w:rPr>
              <w:t>人员、维修人员、水处理作业人员等职责范围内的任务和要求；</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巡回检查制度，明确定时检查的内容、路线和记录的项目；</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交接班制度，明确交接班要求、检查内容和交接班手续；</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）锅炉及辅助设备的操作规程，包括设备投运前的检查及准备工作、启动和正常运行的操作方法、正常停运和紧急停运的操作方法；</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）设备维修保养制度，规定锅炉停（备）用防锈蚀内容和要求以及锅炉本体、安全附件、安全保护装置、自动仪表及燃烧和辅助设备的维护保养周期、内容和要求；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）水（介）质管理制度，明确水（介）质定时检测的项目和合格标准；</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）安全管理制度，明确防火、防爆和防止非作业人员随意进入锅炉房的要求，保证通道畅通的措施以及事故应急预案和事故处理办法等；</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）节能管理制度，符合锅炉节能管理有关安全技术规范的规定。</w:t>
            </w:r>
          </w:p>
        </w:tc>
      </w:tr>
      <w:tr>
        <w:trPr>
          <w:trHeight w:val="1869" w:hRule="exact"/>
          <w:jc w:val="center"/>
        </w:trPr>
        <w:tc>
          <w:tcPr>
            <w:tcW w:w="8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管理记录</w:t>
            </w:r>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8.5</w:t>
            </w:r>
          </w:p>
        </w:tc>
        <w:tc>
          <w:tcPr>
            <w:tcW w:w="984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锅炉使用管理记录：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）锅炉及燃烧和辅助设备运行记录；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）水处理设备运行及汽水品质化验记录；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）交接班记录；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）锅炉及燃烧和辅助设备维修保养记录；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）锅炉及燃烧和辅助设备检查记录；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）锅炉运行故障及事故记录；</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）锅炉停炉保养记录。</w:t>
            </w:r>
          </w:p>
        </w:tc>
      </w:tr>
      <w:tr>
        <w:trPr>
          <w:trHeight w:val="240" w:hRule="exact"/>
          <w:jc w:val="center"/>
        </w:trPr>
        <w:tc>
          <w:tcPr>
            <w:tcW w:w="8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14" w:name="_Hlk53690733"/>
            <w:r>
              <w:rPr>
                <w:rFonts w:ascii="Times New Roman" w:cs="Times New Roman"/>
                <w:color w:val="auto"/>
                <w:sz w:val="18"/>
                <w:szCs w:val="18"/>
              </w:rPr>
              <w:t>应急管理</w:t>
            </w:r>
            <w:bookmarkEnd w:id="14"/>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13</w:t>
            </w:r>
          </w:p>
        </w:tc>
        <w:tc>
          <w:tcPr>
            <w:tcW w:w="984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锅炉使用单位应当制定事故应急措施和救援预案，包括组织方案、责任制度、报警系统及紧急状态下抢险救援的实施方案。</w:t>
            </w:r>
          </w:p>
        </w:tc>
      </w:tr>
      <w:tr>
        <w:trPr>
          <w:trHeight w:val="2125" w:hRule="exact"/>
          <w:jc w:val="center"/>
        </w:trPr>
        <w:tc>
          <w:tcPr>
            <w:tcW w:w="8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技术档案</w:t>
            </w:r>
          </w:p>
        </w:tc>
        <w:tc>
          <w:tcPr>
            <w:tcW w:w="67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3</w:t>
            </w:r>
          </w:p>
        </w:tc>
        <w:tc>
          <w:tcPr>
            <w:tcW w:w="984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锅炉使用单位应当逐台建立安全技术档案，安全技术档案至少包括以下内容：</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1</w:t>
            </w:r>
            <w:r>
              <w:rPr>
                <w:rFonts w:ascii="Times New Roman" w:hAnsi="Times New Roman" w:cs="Times New Roman"/>
                <w:color w:val="auto"/>
                <w:sz w:val="18"/>
                <w:szCs w:val="18"/>
                <w:lang w:eastAsia="zh-CN"/>
              </w:rPr>
              <w:t>）特种设备使用登记证和特种设备使用登记表；</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2</w:t>
            </w:r>
            <w:r>
              <w:rPr>
                <w:rFonts w:ascii="Times New Roman" w:hAnsi="Times New Roman" w:cs="Times New Roman"/>
                <w:color w:val="auto"/>
                <w:sz w:val="18"/>
                <w:szCs w:val="18"/>
              </w:rPr>
              <w:t>）锅炉的出厂技术</w:t>
            </w:r>
            <w:r>
              <w:rPr>
                <w:rFonts w:ascii="Times New Roman" w:hAnsi="Times New Roman" w:cs="Times New Roman"/>
                <w:color w:val="auto"/>
                <w:sz w:val="18"/>
                <w:szCs w:val="18"/>
                <w:lang w:eastAsia="zh-CN"/>
              </w:rPr>
              <w:t>资料</w:t>
            </w:r>
            <w:r>
              <w:rPr>
                <w:rFonts w:ascii="Times New Roman" w:hAnsi="Times New Roman" w:cs="Times New Roman"/>
                <w:color w:val="auto"/>
                <w:sz w:val="18"/>
                <w:szCs w:val="18"/>
              </w:rPr>
              <w:t>及</w:t>
            </w:r>
            <w:r>
              <w:rPr>
                <w:rFonts w:ascii="Times New Roman" w:hAnsi="Times New Roman" w:cs="Times New Roman"/>
                <w:color w:val="auto"/>
                <w:sz w:val="18"/>
                <w:szCs w:val="18"/>
                <w:lang w:eastAsia="zh-CN"/>
              </w:rPr>
              <w:t>监督检验证书</w:t>
            </w:r>
            <w:r>
              <w:rPr>
                <w:rFonts w:ascii="Times New Roman" w:hAnsi="Times New Roman" w:cs="Times New Roman"/>
                <w:color w:val="auto"/>
                <w:sz w:val="18"/>
                <w:szCs w:val="18"/>
              </w:rPr>
              <w:t>；</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3</w:t>
            </w:r>
            <w:r>
              <w:rPr>
                <w:rFonts w:ascii="Times New Roman" w:hAnsi="Times New Roman" w:cs="Times New Roman"/>
                <w:color w:val="auto"/>
                <w:sz w:val="18"/>
                <w:szCs w:val="18"/>
              </w:rPr>
              <w:t>）锅炉安装、改造、修理</w:t>
            </w:r>
            <w:r>
              <w:rPr>
                <w:rFonts w:ascii="Times New Roman" w:hAnsi="Times New Roman" w:cs="Times New Roman"/>
                <w:color w:val="auto"/>
                <w:sz w:val="18"/>
                <w:szCs w:val="18"/>
                <w:lang w:eastAsia="zh-CN"/>
              </w:rPr>
              <w:t>、化学清洗</w:t>
            </w:r>
            <w:r>
              <w:rPr>
                <w:rFonts w:ascii="Times New Roman" w:hAnsi="Times New Roman" w:cs="Times New Roman"/>
                <w:color w:val="auto"/>
                <w:sz w:val="18"/>
                <w:szCs w:val="18"/>
              </w:rPr>
              <w:t>技术资料及</w:t>
            </w:r>
            <w:r>
              <w:rPr>
                <w:rFonts w:ascii="Times New Roman" w:hAnsi="Times New Roman" w:cs="Times New Roman"/>
                <w:color w:val="auto"/>
                <w:sz w:val="18"/>
                <w:szCs w:val="18"/>
                <w:lang w:eastAsia="zh-CN"/>
              </w:rPr>
              <w:t>监督检验证书或者报告</w:t>
            </w:r>
            <w:r>
              <w:rPr>
                <w:rFonts w:ascii="Times New Roman" w:hAnsi="Times New Roman" w:cs="Times New Roman"/>
                <w:color w:val="auto"/>
                <w:sz w:val="18"/>
                <w:szCs w:val="18"/>
              </w:rPr>
              <w:t>；</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4</w:t>
            </w:r>
            <w:r>
              <w:rPr>
                <w:rFonts w:ascii="Times New Roman" w:hAnsi="Times New Roman" w:cs="Times New Roman"/>
                <w:color w:val="auto"/>
                <w:sz w:val="18"/>
                <w:szCs w:val="18"/>
              </w:rPr>
              <w:t>）水处理设备的安装调试</w:t>
            </w:r>
            <w:r>
              <w:rPr>
                <w:rFonts w:ascii="Times New Roman" w:hAnsi="Times New Roman" w:cs="Times New Roman"/>
                <w:color w:val="auto"/>
                <w:sz w:val="18"/>
                <w:szCs w:val="18"/>
                <w:lang w:eastAsia="zh-CN"/>
              </w:rPr>
              <w:t>记录、水（介）质处理定期检验报告和定期自行检查记录</w:t>
            </w:r>
            <w:r>
              <w:rPr>
                <w:rFonts w:ascii="Times New Roman" w:hAnsi="Times New Roman" w:cs="Times New Roman"/>
                <w:color w:val="auto"/>
                <w:sz w:val="18"/>
                <w:szCs w:val="18"/>
              </w:rPr>
              <w:t>；</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5）</w:t>
            </w:r>
            <w:r>
              <w:rPr>
                <w:rFonts w:ascii="Times New Roman" w:hAnsi="Times New Roman" w:cs="Times New Roman"/>
                <w:color w:val="auto"/>
                <w:sz w:val="18"/>
                <w:szCs w:val="18"/>
              </w:rPr>
              <w:t>锅炉定期检验报告；</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锅炉日常使用状况记录</w:t>
            </w:r>
            <w:r>
              <w:rPr>
                <w:rFonts w:ascii="Times New Roman" w:hAnsi="Times New Roman" w:cs="Times New Roman"/>
                <w:color w:val="auto"/>
                <w:sz w:val="18"/>
                <w:szCs w:val="18"/>
                <w:lang w:eastAsia="zh-CN"/>
              </w:rPr>
              <w:t>和定期自行检查记录</w:t>
            </w:r>
            <w:r>
              <w:rPr>
                <w:rFonts w:ascii="Times New Roman" w:hAnsi="Times New Roman" w:cs="Times New Roman"/>
                <w:color w:val="auto"/>
                <w:sz w:val="18"/>
                <w:szCs w:val="18"/>
              </w:rPr>
              <w:t>；</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7）</w:t>
            </w:r>
            <w:r>
              <w:rPr>
                <w:rFonts w:ascii="Times New Roman" w:hAnsi="Times New Roman" w:cs="Times New Roman"/>
                <w:color w:val="auto"/>
                <w:sz w:val="18"/>
                <w:szCs w:val="18"/>
              </w:rPr>
              <w:t>锅炉及其安全附件、安全保护装置及</w:t>
            </w:r>
            <w:r>
              <w:rPr>
                <w:rFonts w:ascii="Times New Roman" w:hAnsi="Times New Roman" w:cs="Times New Roman"/>
                <w:color w:val="auto"/>
                <w:sz w:val="18"/>
                <w:szCs w:val="18"/>
                <w:lang w:eastAsia="zh-CN"/>
              </w:rPr>
              <w:t>测量调控装置校验报告、试验记录及</w:t>
            </w:r>
            <w:r>
              <w:rPr>
                <w:rFonts w:ascii="Times New Roman" w:hAnsi="Times New Roman" w:cs="Times New Roman"/>
                <w:color w:val="auto"/>
                <w:sz w:val="18"/>
                <w:szCs w:val="18"/>
              </w:rPr>
              <w:t>日常维护保养记录；</w:t>
            </w:r>
          </w:p>
          <w:p>
            <w:pPr>
              <w:pStyle w:val="15"/>
              <w:tabs>
                <w:tab w:val="left" w:pos="317"/>
              </w:tabs>
              <w:adjustRightInd w:val="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8</w:t>
            </w:r>
            <w:r>
              <w:rPr>
                <w:rFonts w:ascii="Times New Roman" w:hAnsi="Times New Roman" w:cs="Times New Roman"/>
                <w:color w:val="auto"/>
                <w:sz w:val="18"/>
                <w:szCs w:val="18"/>
                <w:lang w:eastAsia="zh-CN"/>
              </w:rPr>
              <w:t>）</w:t>
            </w:r>
            <w:r>
              <w:rPr>
                <w:rFonts w:ascii="Times New Roman" w:cs="Times New Roman"/>
                <w:color w:val="auto"/>
                <w:sz w:val="18"/>
                <w:szCs w:val="18"/>
              </w:rPr>
              <w:t>锅炉运行故障和事故记录</w:t>
            </w:r>
            <w:r>
              <w:rPr>
                <w:rFonts w:ascii="Times New Roman" w:cs="Times New Roman"/>
                <w:color w:val="auto"/>
                <w:sz w:val="18"/>
                <w:szCs w:val="18"/>
                <w:lang w:eastAsia="zh-CN"/>
              </w:rPr>
              <w:t>及事故处理报告</w:t>
            </w:r>
            <w:r>
              <w:rPr>
                <w:rFonts w:ascii="Times New Roman" w:cs="Times New Roman"/>
                <w:color w:val="auto"/>
                <w:sz w:val="18"/>
                <w:szCs w:val="18"/>
              </w:rPr>
              <w:t>。</w:t>
            </w:r>
          </w:p>
        </w:tc>
      </w:tr>
    </w:tbl>
    <w:p>
      <w:pPr>
        <w:rPr>
          <w:rFonts w:eastAsia="宋体"/>
          <w:color w:val="auto"/>
          <w:lang w:eastAsia="zh-CN"/>
        </w:rPr>
      </w:pPr>
    </w:p>
    <w:tbl>
      <w:tblPr>
        <w:tblStyle w:val="8"/>
        <w:tblpPr/>
        <w:tblOverlap w:val="never"/>
        <w:tblW w:w="146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43"/>
        <w:gridCol w:w="637"/>
        <w:gridCol w:w="850"/>
        <w:gridCol w:w="1276"/>
        <w:gridCol w:w="851"/>
        <w:gridCol w:w="10238"/>
      </w:tblGrid>
      <w:tr>
        <w:trPr>
          <w:trHeight w:val="329" w:hRule="exact"/>
          <w:jc w:val="center"/>
        </w:trPr>
        <w:tc>
          <w:tcPr>
            <w:tcW w:w="843"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63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127"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10238"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6" w:hRule="exact"/>
          <w:jc w:val="center"/>
        </w:trPr>
        <w:tc>
          <w:tcPr>
            <w:tcW w:w="843" w:type="dxa"/>
            <w:vMerge w:val="continue"/>
            <w:shd w:val="clear" w:color="auto" w:fill="FFFFFF"/>
            <w:noWrap w:val="0"/>
            <w:vAlign w:val="center"/>
          </w:tcPr>
          <w:p>
            <w:pPr>
              <w:snapToGrid w:val="0"/>
              <w:jc w:val="center"/>
              <w:rPr>
                <w:color w:val="auto"/>
                <w:sz w:val="18"/>
                <w:szCs w:val="18"/>
              </w:rPr>
            </w:pPr>
          </w:p>
        </w:tc>
        <w:tc>
          <w:tcPr>
            <w:tcW w:w="637" w:type="dxa"/>
            <w:vMerge w:val="continue"/>
            <w:shd w:val="clear" w:color="auto" w:fill="FFFFFF"/>
            <w:noWrap w:val="0"/>
            <w:vAlign w:val="center"/>
          </w:tcPr>
          <w:p>
            <w:pPr>
              <w:snapToGrid w:val="0"/>
              <w:jc w:val="center"/>
              <w:rPr>
                <w:color w:val="auto"/>
                <w:sz w:val="18"/>
                <w:szCs w:val="18"/>
              </w:rPr>
            </w:pPr>
          </w:p>
        </w:tc>
        <w:tc>
          <w:tcPr>
            <w:tcW w:w="850" w:type="dxa"/>
            <w:vMerge w:val="continue"/>
            <w:shd w:val="clear" w:color="auto" w:fill="FFFFFF"/>
            <w:noWrap w:val="0"/>
            <w:vAlign w:val="center"/>
          </w:tcPr>
          <w:p>
            <w:pPr>
              <w:snapToGrid w:val="0"/>
              <w:jc w:val="center"/>
              <w:rPr>
                <w:color w:val="auto"/>
                <w:sz w:val="18"/>
                <w:szCs w:val="18"/>
              </w:rPr>
            </w:pPr>
          </w:p>
        </w:tc>
        <w:tc>
          <w:tcPr>
            <w:tcW w:w="1276"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1"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10238" w:type="dxa"/>
            <w:vMerge w:val="continue"/>
            <w:shd w:val="clear" w:color="auto" w:fill="FFFFFF"/>
            <w:noWrap w:val="0"/>
            <w:vAlign w:val="center"/>
          </w:tcPr>
          <w:p>
            <w:pPr>
              <w:snapToGrid w:val="0"/>
              <w:rPr>
                <w:color w:val="auto"/>
                <w:sz w:val="18"/>
                <w:szCs w:val="18"/>
              </w:rPr>
            </w:pPr>
          </w:p>
        </w:tc>
      </w:tr>
      <w:tr>
        <w:trPr>
          <w:trHeight w:val="440" w:hRule="exact"/>
          <w:jc w:val="center"/>
        </w:trPr>
        <w:tc>
          <w:tcPr>
            <w:tcW w:w="8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技术档案</w:t>
            </w:r>
            <w:r>
              <w:rPr>
                <w:rFonts w:ascii="Times New Roman" w:hAnsi="Times New Roman" w:cs="Times New Roman"/>
                <w:color w:val="auto"/>
                <w:sz w:val="18"/>
                <w:szCs w:val="18"/>
              </w:rPr>
              <w:t>(</w:t>
            </w:r>
            <w:r>
              <w:rPr>
                <w:rFonts w:ascii="Times New Roman" w:cs="Times New Roman"/>
                <w:color w:val="auto"/>
                <w:sz w:val="18"/>
                <w:szCs w:val="18"/>
              </w:rPr>
              <w:t>电站锅炉</w:t>
            </w:r>
          </w:p>
        </w:tc>
        <w:tc>
          <w:tcPr>
            <w:tcW w:w="63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安全管理员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总体验收</w:t>
            </w:r>
          </w:p>
        </w:tc>
        <w:tc>
          <w:tcPr>
            <w:tcW w:w="127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锅炉安全技术规程</w:t>
            </w: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cs="Times New Roman"/>
                <w:color w:val="auto"/>
                <w:sz w:val="18"/>
                <w:szCs w:val="18"/>
              </w:rPr>
              <w:t>）</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15.1</w:t>
            </w:r>
          </w:p>
        </w:tc>
        <w:tc>
          <w:tcPr>
            <w:tcW w:w="10238"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锅炉安装单位在总体验收合格后应当及时将</w:t>
            </w:r>
            <w:r>
              <w:rPr>
                <w:rFonts w:ascii="Times New Roman" w:cs="Times New Roman"/>
                <w:color w:val="auto"/>
                <w:sz w:val="18"/>
                <w:szCs w:val="18"/>
                <w:lang w:eastAsia="zh-CN"/>
              </w:rPr>
              <w:t>锅炉和</w:t>
            </w:r>
            <w:r>
              <w:rPr>
                <w:rFonts w:ascii="Times New Roman" w:cs="Times New Roman"/>
                <w:color w:val="auto"/>
                <w:sz w:val="18"/>
                <w:szCs w:val="18"/>
              </w:rPr>
              <w:t>主蒸汽管道、主给水管道、再热蒸汽管道及其支吊架和焊缝位置等技术资料移交给使用单位存入锅炉安全技术档案。使用单位应当做好</w:t>
            </w:r>
            <w:r>
              <w:rPr>
                <w:rFonts w:ascii="Times New Roman" w:cs="Times New Roman"/>
                <w:color w:val="auto"/>
                <w:sz w:val="18"/>
                <w:szCs w:val="18"/>
                <w:lang w:eastAsia="zh-CN"/>
              </w:rPr>
              <w:t>锅炉、</w:t>
            </w:r>
            <w:r>
              <w:rPr>
                <w:rFonts w:ascii="Times New Roman" w:cs="Times New Roman"/>
                <w:color w:val="auto"/>
                <w:sz w:val="18"/>
                <w:szCs w:val="18"/>
              </w:rPr>
              <w:t>管道和阀门的有关运行、检验、改造、修理以及事故等记录。</w:t>
            </w:r>
          </w:p>
        </w:tc>
      </w:tr>
      <w:tr>
        <w:trPr>
          <w:trHeight w:val="1215" w:hRule="exact"/>
          <w:jc w:val="center"/>
        </w:trPr>
        <w:tc>
          <w:tcPr>
            <w:tcW w:w="84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经常性维护保养</w:t>
            </w:r>
          </w:p>
        </w:tc>
        <w:tc>
          <w:tcPr>
            <w:tcW w:w="63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锅炉作业人员</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位自定</w:t>
            </w:r>
          </w:p>
        </w:tc>
        <w:tc>
          <w:tcPr>
            <w:tcW w:w="127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6</w:t>
            </w:r>
          </w:p>
        </w:tc>
        <w:tc>
          <w:tcPr>
            <w:tcW w:w="10238"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安全运行要求：</w:t>
            </w:r>
          </w:p>
          <w:p>
            <w:pPr>
              <w:pStyle w:val="15"/>
              <w:numPr>
                <w:ilvl w:val="0"/>
                <w:numId w:val="7"/>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w:t>
            </w:r>
            <w:r>
              <w:rPr>
                <w:rFonts w:ascii="Times New Roman" w:cs="Times New Roman"/>
                <w:color w:val="auto"/>
                <w:sz w:val="18"/>
                <w:szCs w:val="18"/>
                <w:lang w:eastAsia="zh-CN"/>
              </w:rPr>
              <w:t>作业</w:t>
            </w:r>
            <w:r>
              <w:rPr>
                <w:rFonts w:ascii="Times New Roman" w:cs="Times New Roman"/>
                <w:color w:val="auto"/>
                <w:sz w:val="18"/>
                <w:szCs w:val="18"/>
              </w:rPr>
              <w:t>人员在锅炉运行前应当做好各种检查，按照规定的程序启动和运行，</w:t>
            </w:r>
            <w:r>
              <w:rPr>
                <w:rFonts w:ascii="Times New Roman" w:cs="Times New Roman"/>
                <w:color w:val="auto"/>
                <w:sz w:val="18"/>
                <w:szCs w:val="18"/>
                <w:lang w:eastAsia="zh-CN"/>
              </w:rPr>
              <w:t>不得任意提高运行参数，</w:t>
            </w:r>
            <w:r>
              <w:rPr>
                <w:rFonts w:ascii="Times New Roman" w:cs="Times New Roman"/>
                <w:color w:val="auto"/>
                <w:sz w:val="18"/>
                <w:szCs w:val="18"/>
              </w:rPr>
              <w:t>压火后应当保证锅水温度、压力不回升和锅炉不缺水；</w:t>
            </w:r>
          </w:p>
          <w:p>
            <w:pPr>
              <w:pStyle w:val="15"/>
              <w:numPr>
                <w:ilvl w:val="0"/>
                <w:numId w:val="7"/>
              </w:numPr>
              <w:tabs>
                <w:tab w:val="left" w:pos="33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当锅炉运行中发生受压元件泄漏、炉膛严重结焦、液态排渣锅炉无法排渣、锅炉尾部烟道严重堵灰、炉墙烧红、受热面金属严重超温、汽水质量严重恶化等情况时，应当停止运行。</w:t>
            </w:r>
          </w:p>
        </w:tc>
      </w:tr>
      <w:tr>
        <w:trPr>
          <w:trHeight w:val="2295" w:hRule="atLeast"/>
          <w:jc w:val="center"/>
        </w:trPr>
        <w:tc>
          <w:tcPr>
            <w:tcW w:w="84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8.7</w:t>
            </w:r>
          </w:p>
        </w:tc>
        <w:tc>
          <w:tcPr>
            <w:tcW w:w="10238"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蒸汽锅炉</w:t>
            </w:r>
            <w:r>
              <w:rPr>
                <w:rFonts w:ascii="Times New Roman" w:hAnsi="Times New Roman" w:cs="Times New Roman"/>
                <w:color w:val="auto"/>
                <w:sz w:val="18"/>
                <w:szCs w:val="18"/>
              </w:rPr>
              <w:t>(</w:t>
            </w:r>
            <w:r>
              <w:rPr>
                <w:rFonts w:ascii="Times New Roman" w:cs="Times New Roman"/>
                <w:color w:val="auto"/>
                <w:sz w:val="18"/>
                <w:szCs w:val="18"/>
              </w:rPr>
              <w:t>电站锅炉除外</w:t>
            </w:r>
            <w:r>
              <w:rPr>
                <w:rFonts w:ascii="Times New Roman" w:hAnsi="Times New Roman" w:cs="Times New Roman"/>
                <w:color w:val="auto"/>
                <w:sz w:val="18"/>
                <w:szCs w:val="18"/>
              </w:rPr>
              <w:t>)</w:t>
            </w:r>
            <w:r>
              <w:rPr>
                <w:rFonts w:ascii="Times New Roman" w:cs="Times New Roman"/>
                <w:color w:val="auto"/>
                <w:sz w:val="18"/>
                <w:szCs w:val="18"/>
                <w:lang w:eastAsia="zh-CN"/>
              </w:rPr>
              <w:t>需要立即停止运行的情况：</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蒸汽锅炉</w:t>
            </w:r>
            <w:r>
              <w:rPr>
                <w:rFonts w:ascii="Times New Roman" w:hAnsi="Times New Roman" w:cs="Times New Roman"/>
                <w:color w:val="auto"/>
                <w:sz w:val="18"/>
                <w:szCs w:val="18"/>
              </w:rPr>
              <w:t>(</w:t>
            </w:r>
            <w:r>
              <w:rPr>
                <w:rFonts w:ascii="Times New Roman" w:cs="Times New Roman"/>
                <w:color w:val="auto"/>
                <w:sz w:val="18"/>
                <w:szCs w:val="18"/>
              </w:rPr>
              <w:t>电站锅炉除外</w:t>
            </w:r>
            <w:r>
              <w:rPr>
                <w:rFonts w:ascii="Times New Roman" w:hAnsi="Times New Roman" w:cs="Times New Roman"/>
                <w:color w:val="auto"/>
                <w:sz w:val="18"/>
                <w:szCs w:val="18"/>
              </w:rPr>
              <w:t>)</w:t>
            </w:r>
            <w:r>
              <w:rPr>
                <w:rFonts w:ascii="Times New Roman" w:cs="Times New Roman"/>
                <w:color w:val="auto"/>
                <w:sz w:val="18"/>
                <w:szCs w:val="18"/>
                <w:lang w:eastAsia="zh-CN"/>
              </w:rPr>
              <w:t>运行中</w:t>
            </w:r>
            <w:r>
              <w:rPr>
                <w:rFonts w:ascii="Times New Roman" w:cs="Times New Roman"/>
                <w:color w:val="auto"/>
                <w:sz w:val="18"/>
                <w:szCs w:val="18"/>
              </w:rPr>
              <w:t>遇有下列情况之一时，应当立即停炉：</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lang w:eastAsia="zh-CN"/>
              </w:rPr>
              <w:t>锅炉水位低于水位表最低可见边缘；</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不断加大给水及采取其他措施但是水位仍然继续下降时；</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锅炉满水</w:t>
            </w:r>
            <w:r>
              <w:rPr>
                <w:rFonts w:ascii="Times New Roman" w:cs="Times New Roman"/>
                <w:color w:val="auto"/>
                <w:sz w:val="18"/>
                <w:szCs w:val="18"/>
                <w:lang w:eastAsia="zh-CN"/>
              </w:rPr>
              <w:t>（贯流式锅炉启动状态除外）</w:t>
            </w:r>
            <w:r>
              <w:rPr>
                <w:rFonts w:ascii="Times New Roman" w:cs="Times New Roman"/>
                <w:color w:val="auto"/>
                <w:sz w:val="18"/>
                <w:szCs w:val="18"/>
              </w:rPr>
              <w:t>，水位超过最高可见水位，经过放水仍然不能见到水位时；</w:t>
            </w:r>
          </w:p>
          <w:p>
            <w:pPr>
              <w:pStyle w:val="15"/>
              <w:numPr>
                <w:ilvl w:val="0"/>
                <w:numId w:val="8"/>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给水泵失效或者给水系统故障</w:t>
            </w:r>
            <w:r>
              <w:rPr>
                <w:rFonts w:ascii="Times New Roman" w:hAnsi="Times New Roman" w:cs="Times New Roman"/>
                <w:color w:val="auto"/>
                <w:sz w:val="18"/>
                <w:szCs w:val="18"/>
              </w:rPr>
              <w:t>,</w:t>
            </w:r>
            <w:r>
              <w:rPr>
                <w:rFonts w:ascii="Times New Roman" w:cs="Times New Roman"/>
                <w:color w:val="auto"/>
                <w:sz w:val="18"/>
                <w:szCs w:val="18"/>
              </w:rPr>
              <w:t>不能向锅炉给水时；</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水位表、安全阀或者装设在汽空间的压力表全部失效时；</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锅炉元</w:t>
            </w:r>
            <w:r>
              <w:rPr>
                <w:rFonts w:ascii="Times New Roman" w:hAnsi="Times New Roman" w:cs="Times New Roman"/>
                <w:color w:val="auto"/>
                <w:sz w:val="18"/>
                <w:szCs w:val="18"/>
              </w:rPr>
              <w:t>(</w:t>
            </w:r>
            <w:r>
              <w:rPr>
                <w:rFonts w:ascii="Times New Roman" w:cs="Times New Roman"/>
                <w:color w:val="auto"/>
                <w:sz w:val="18"/>
                <w:szCs w:val="18"/>
              </w:rPr>
              <w:t>部</w:t>
            </w:r>
            <w:r>
              <w:rPr>
                <w:rFonts w:ascii="Times New Roman" w:hAnsi="Times New Roman" w:cs="Times New Roman"/>
                <w:color w:val="auto"/>
                <w:sz w:val="18"/>
                <w:szCs w:val="18"/>
              </w:rPr>
              <w:t>)</w:t>
            </w:r>
            <w:r>
              <w:rPr>
                <w:rFonts w:ascii="Times New Roman" w:cs="Times New Roman"/>
                <w:color w:val="auto"/>
                <w:sz w:val="18"/>
                <w:szCs w:val="18"/>
              </w:rPr>
              <w:t>件受损坏，危及锅炉运行操作人员安全时；</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燃烧设备损坏、炉墙倒塌或者锅炉构架被烧红等，严重威胁锅炉安全运行；</w:t>
            </w:r>
          </w:p>
          <w:p>
            <w:pPr>
              <w:pStyle w:val="15"/>
              <w:numPr>
                <w:ilvl w:val="0"/>
                <w:numId w:val="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其他危及锅炉安全运行的异常情况时。</w:t>
            </w:r>
          </w:p>
        </w:tc>
      </w:tr>
      <w:tr>
        <w:trPr>
          <w:trHeight w:val="696" w:hRule="exact"/>
          <w:jc w:val="center"/>
        </w:trPr>
        <w:tc>
          <w:tcPr>
            <w:tcW w:w="84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63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使用单位自定</w:t>
            </w:r>
            <w:r>
              <w:rPr>
                <w:rFonts w:ascii="Times New Roman" w:hAnsi="Times New Roman" w:cs="Times New Roman"/>
                <w:color w:val="auto"/>
                <w:sz w:val="18"/>
                <w:szCs w:val="18"/>
              </w:rPr>
              <w:t>(</w:t>
            </w:r>
            <w:r>
              <w:rPr>
                <w:rFonts w:ascii="Times New Roman" w:cs="Times New Roman"/>
                <w:color w:val="auto"/>
                <w:sz w:val="18"/>
                <w:szCs w:val="18"/>
              </w:rPr>
              <w:t>每年至少一次</w:t>
            </w:r>
            <w:r>
              <w:rPr>
                <w:rFonts w:ascii="Times New Roman" w:hAnsi="Times New Roman" w:cs="Times New Roman"/>
                <w:color w:val="auto"/>
                <w:sz w:val="18"/>
                <w:szCs w:val="18"/>
              </w:rPr>
              <w:t>)</w:t>
            </w:r>
          </w:p>
        </w:tc>
        <w:tc>
          <w:tcPr>
            <w:tcW w:w="127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15.2</w:t>
            </w:r>
          </w:p>
        </w:tc>
        <w:tc>
          <w:tcPr>
            <w:tcW w:w="10238"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电站锅炉燃料管理：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电站锅炉使用单位应当加强燃料管理。燃料入炉前应当进行燃料分析，根据分析结果进行燃烧控制与调整。燃用与设计偏差较大煤质时，应当进行燃烧调整试验。</w:t>
            </w:r>
          </w:p>
        </w:tc>
      </w:tr>
      <w:tr>
        <w:trPr>
          <w:trHeight w:val="1598" w:hRule="exact"/>
          <w:jc w:val="center"/>
        </w:trPr>
        <w:tc>
          <w:tcPr>
            <w:tcW w:w="84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15.3</w:t>
            </w:r>
          </w:p>
        </w:tc>
        <w:tc>
          <w:tcPr>
            <w:tcW w:w="10238"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电站锅炉启动、停炉：</w:t>
            </w:r>
          </w:p>
          <w:p>
            <w:pPr>
              <w:pStyle w:val="15"/>
              <w:tabs>
                <w:tab w:val="left" w:pos="34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）电站锅炉使用单位应当根据制造单位提供的有关资料和设备结构特点或者通过试验确定锅炉启动、停炉方式，并且绘制锅炉控制（启、停）曲线；</w:t>
            </w:r>
          </w:p>
          <w:p>
            <w:pPr>
              <w:pStyle w:val="15"/>
              <w:tabs>
                <w:tab w:val="left" w:pos="34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）电站锅炉启动初期应当控制锅炉燃料量、炉膛出口烟温</w:t>
            </w:r>
            <w:r>
              <w:rPr>
                <w:rFonts w:ascii="Times New Roman" w:hAnsi="Times New Roman" w:cs="Times New Roman"/>
                <w:color w:val="auto"/>
                <w:sz w:val="18"/>
                <w:szCs w:val="18"/>
              </w:rPr>
              <w:t>,</w:t>
            </w:r>
            <w:r>
              <w:rPr>
                <w:rFonts w:ascii="Times New Roman" w:cs="Times New Roman"/>
                <w:color w:val="auto"/>
                <w:sz w:val="18"/>
                <w:szCs w:val="18"/>
              </w:rPr>
              <w:t>使升温、升压过程符合启动曲线，锅炉启停过程中应当</w:t>
            </w:r>
            <w:r>
              <w:rPr>
                <w:rFonts w:ascii="Times New Roman" w:cs="Times New Roman"/>
                <w:color w:val="auto"/>
                <w:sz w:val="18"/>
                <w:szCs w:val="18"/>
                <w:lang w:eastAsia="zh-CN"/>
              </w:rPr>
              <w:t>监控锅炉各部位的膨胀情况，</w:t>
            </w:r>
            <w:r>
              <w:rPr>
                <w:rFonts w:ascii="Times New Roman" w:cs="Times New Roman"/>
                <w:color w:val="auto"/>
                <w:sz w:val="18"/>
                <w:szCs w:val="18"/>
              </w:rPr>
              <w:t>做好膨胀指示记录，各部位应当均匀膨胀，并且应当监控锅筒壁温差；</w:t>
            </w:r>
          </w:p>
          <w:p>
            <w:pPr>
              <w:pStyle w:val="15"/>
              <w:tabs>
                <w:tab w:val="left" w:pos="34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）电站锅炉停炉的降温降压过程应当符合停炉曲线要求，熄火后的通风和放水，应当避免使受压部件快速冷却；锅炉停炉后压力未降低至大气压力以及排烟温度未降至</w:t>
            </w:r>
            <w:r>
              <w:rPr>
                <w:rFonts w:ascii="Times New Roman" w:hAnsi="Times New Roman" w:eastAsia="Times New Roman" w:cs="Times New Roman"/>
                <w:color w:val="auto"/>
                <w:sz w:val="18"/>
                <w:szCs w:val="18"/>
              </w:rPr>
              <w:t>60</w:t>
            </w:r>
            <w:r>
              <w:rPr>
                <w:rFonts w:ascii="Times New Roman" w:cs="Times New Roman"/>
                <w:color w:val="auto"/>
                <w:sz w:val="18"/>
                <w:szCs w:val="18"/>
                <w:lang w:eastAsia="zh-CN"/>
              </w:rPr>
              <w:t>℃</w:t>
            </w:r>
            <w:r>
              <w:rPr>
                <w:rFonts w:ascii="Times New Roman" w:cs="Times New Roman"/>
                <w:color w:val="auto"/>
                <w:sz w:val="18"/>
                <w:szCs w:val="18"/>
              </w:rPr>
              <w:t>以下时，应当对锅炉进行严密监控。</w:t>
            </w:r>
          </w:p>
        </w:tc>
      </w:tr>
      <w:tr>
        <w:trPr>
          <w:trHeight w:val="2684" w:hRule="exact"/>
          <w:jc w:val="center"/>
        </w:trPr>
        <w:tc>
          <w:tcPr>
            <w:tcW w:w="84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.4</w:t>
            </w:r>
          </w:p>
        </w:tc>
        <w:tc>
          <w:tcPr>
            <w:tcW w:w="10238" w:type="dxa"/>
            <w:shd w:val="clear" w:color="auto" w:fill="FFFFFF"/>
            <w:noWrap w:val="0"/>
            <w:vAlign w:val="center"/>
          </w:tcPr>
          <w:p>
            <w:pPr>
              <w:pStyle w:val="15"/>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电站锅炉运行中遇到下列情况时，应当停止向炉膛送入燃料，立即停炉：</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）锅炉严重缺水；</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）锅炉严重满水；</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）直流锅炉断水；</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）锅水循环泵发生故障，不能保证锅炉安全运行；</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）水位装置失效无法监视水位；</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w:t>
            </w:r>
            <w:r>
              <w:rPr>
                <w:rFonts w:ascii="Times New Roman" w:cs="Times New Roman"/>
                <w:color w:val="auto"/>
                <w:sz w:val="18"/>
                <w:szCs w:val="18"/>
                <w:lang w:eastAsia="zh-CN"/>
              </w:rPr>
              <w:t>主要汽水管道泄漏或</w:t>
            </w:r>
            <w:r>
              <w:rPr>
                <w:rFonts w:ascii="Times New Roman" w:cs="Times New Roman"/>
                <w:color w:val="auto"/>
                <w:sz w:val="18"/>
                <w:szCs w:val="18"/>
              </w:rPr>
              <w:t>锅炉范围内连接管道爆破；</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）再热器蒸汽中断（制造单位有规定者除外）；</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）炉膛熄火；</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cs="Times New Roman"/>
                <w:color w:val="auto"/>
                <w:sz w:val="18"/>
                <w:szCs w:val="18"/>
              </w:rPr>
              <w:t>）燃油（气）锅炉油（气）压力严重下降；</w:t>
            </w:r>
          </w:p>
          <w:p>
            <w:pPr>
              <w:pStyle w:val="15"/>
              <w:tabs>
                <w:tab w:val="left" w:pos="408"/>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cs="Times New Roman"/>
                <w:color w:val="auto"/>
                <w:sz w:val="18"/>
                <w:szCs w:val="18"/>
              </w:rPr>
              <w:t>）安全阀全部失效或者锅炉超压；</w:t>
            </w:r>
          </w:p>
          <w:p>
            <w:pPr>
              <w:pStyle w:val="15"/>
              <w:tabs>
                <w:tab w:val="left" w:pos="408"/>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cs="Times New Roman"/>
                <w:color w:val="auto"/>
                <w:sz w:val="18"/>
                <w:szCs w:val="18"/>
              </w:rPr>
              <w:t>）热工仪表失效、控制电（气）源中断，无法监视、调整主要运行参数；</w:t>
            </w:r>
          </w:p>
          <w:p>
            <w:pPr>
              <w:pStyle w:val="15"/>
              <w:tabs>
                <w:tab w:val="left" w:pos="408"/>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12</w:t>
            </w:r>
            <w:r>
              <w:rPr>
                <w:rFonts w:ascii="Times New Roman" w:cs="Times New Roman"/>
                <w:color w:val="auto"/>
                <w:sz w:val="18"/>
                <w:szCs w:val="18"/>
              </w:rPr>
              <w:t>）严重危及人身和设备安全以及制造单位有特殊规定的其他情况。</w:t>
            </w:r>
          </w:p>
        </w:tc>
      </w:tr>
    </w:tbl>
    <w:p>
      <w:pPr>
        <w:rPr>
          <w:color w:val="auto"/>
          <w:lang w:eastAsia="zh-CN"/>
        </w:rPr>
      </w:pPr>
    </w:p>
    <w:tbl>
      <w:tblPr>
        <w:tblStyle w:val="8"/>
        <w:tblpPr/>
        <w:tblOverlap w:val="never"/>
        <w:tblW w:w="14616"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66"/>
        <w:gridCol w:w="709"/>
        <w:gridCol w:w="850"/>
        <w:gridCol w:w="1418"/>
        <w:gridCol w:w="987"/>
        <w:gridCol w:w="9786"/>
      </w:tblGrid>
      <w:tr>
        <w:trPr>
          <w:trHeight w:val="236" w:hRule="exact"/>
        </w:trPr>
        <w:tc>
          <w:tcPr>
            <w:tcW w:w="866"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405"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78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83" w:hRule="exact"/>
        </w:trPr>
        <w:tc>
          <w:tcPr>
            <w:tcW w:w="866" w:type="dxa"/>
            <w:vMerge w:val="continue"/>
            <w:shd w:val="clear" w:color="auto" w:fill="FFFFFF"/>
            <w:noWrap w:val="0"/>
            <w:vAlign w:val="center"/>
          </w:tcPr>
          <w:p>
            <w:pPr>
              <w:snapToGrid w:val="0"/>
              <w:jc w:val="center"/>
              <w:rPr>
                <w:color w:val="auto"/>
                <w:sz w:val="18"/>
                <w:szCs w:val="18"/>
              </w:rPr>
            </w:pPr>
          </w:p>
        </w:tc>
        <w:tc>
          <w:tcPr>
            <w:tcW w:w="709" w:type="dxa"/>
            <w:vMerge w:val="continue"/>
            <w:shd w:val="clear" w:color="auto" w:fill="FFFFFF"/>
            <w:noWrap w:val="0"/>
            <w:vAlign w:val="center"/>
          </w:tcPr>
          <w:p>
            <w:pPr>
              <w:snapToGrid w:val="0"/>
              <w:jc w:val="center"/>
              <w:rPr>
                <w:color w:val="auto"/>
                <w:sz w:val="18"/>
                <w:szCs w:val="18"/>
              </w:rPr>
            </w:pPr>
          </w:p>
        </w:tc>
        <w:tc>
          <w:tcPr>
            <w:tcW w:w="850" w:type="dxa"/>
            <w:vMerge w:val="continue"/>
            <w:shd w:val="clear" w:color="auto" w:fill="FFFFFF"/>
            <w:noWrap w:val="0"/>
            <w:vAlign w:val="center"/>
          </w:tcPr>
          <w:p>
            <w:pPr>
              <w:snapToGrid w:val="0"/>
              <w:jc w:val="center"/>
              <w:rPr>
                <w:color w:val="auto"/>
                <w:sz w:val="18"/>
                <w:szCs w:val="18"/>
              </w:rPr>
            </w:pPr>
          </w:p>
        </w:tc>
        <w:tc>
          <w:tcPr>
            <w:tcW w:w="1418"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987"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786" w:type="dxa"/>
            <w:vMerge w:val="continue"/>
            <w:shd w:val="clear" w:color="auto" w:fill="FFFFFF"/>
            <w:noWrap w:val="0"/>
            <w:vAlign w:val="center"/>
          </w:tcPr>
          <w:p>
            <w:pPr>
              <w:snapToGrid w:val="0"/>
              <w:rPr>
                <w:color w:val="auto"/>
                <w:sz w:val="18"/>
                <w:szCs w:val="18"/>
              </w:rPr>
            </w:pPr>
          </w:p>
        </w:tc>
      </w:tr>
      <w:tr>
        <w:trPr>
          <w:trHeight w:val="466" w:hRule="atLeast"/>
        </w:trPr>
        <w:tc>
          <w:tcPr>
            <w:tcW w:w="86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经常性维护保养</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锅炉作业人员</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使用单位自定</w:t>
            </w:r>
          </w:p>
        </w:tc>
        <w:tc>
          <w:tcPr>
            <w:tcW w:w="1418"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锅炉安全技术规程</w:t>
            </w: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cs="Times New Roman"/>
                <w:color w:val="auto"/>
                <w:sz w:val="18"/>
                <w:szCs w:val="18"/>
              </w:rPr>
              <w:t>）</w:t>
            </w:r>
          </w:p>
        </w:tc>
        <w:tc>
          <w:tcPr>
            <w:tcW w:w="987" w:type="dxa"/>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.5</w:t>
            </w:r>
          </w:p>
        </w:tc>
        <w:tc>
          <w:tcPr>
            <w:tcW w:w="978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锅炉水汽质量异常时，应当按照相关标准规定做好异常情况处理并且记录，且尽快查明原因，消除缺陷，恢复正常。如果不能恢复并且威胁设备安全时，应当立即采取措施，直至停止运行。</w:t>
            </w:r>
          </w:p>
        </w:tc>
      </w:tr>
      <w:tr>
        <w:trPr>
          <w:trHeight w:val="484" w:hRule="exact"/>
        </w:trPr>
        <w:tc>
          <w:tcPr>
            <w:tcW w:w="866" w:type="dxa"/>
            <w:vMerge w:val="continue"/>
            <w:shd w:val="clear" w:color="auto" w:fill="FFFFFF"/>
            <w:noWrap w:val="0"/>
            <w:vAlign w:val="center"/>
          </w:tcPr>
          <w:p>
            <w:pPr>
              <w:snapToGrid w:val="0"/>
              <w:jc w:val="center"/>
              <w:rPr>
                <w:color w:val="auto"/>
                <w:sz w:val="18"/>
                <w:szCs w:val="18"/>
                <w:lang w:eastAsia="zh-CN"/>
              </w:rPr>
            </w:pPr>
          </w:p>
        </w:tc>
        <w:tc>
          <w:tcPr>
            <w:tcW w:w="709" w:type="dxa"/>
            <w:vMerge w:val="continue"/>
            <w:shd w:val="clear" w:color="auto" w:fill="FFFFFF"/>
            <w:noWrap w:val="0"/>
            <w:vAlign w:val="center"/>
          </w:tcPr>
          <w:p>
            <w:pPr>
              <w:snapToGrid w:val="0"/>
              <w:jc w:val="center"/>
              <w:rPr>
                <w:color w:val="auto"/>
                <w:sz w:val="18"/>
                <w:szCs w:val="18"/>
                <w:lang w:eastAsia="zh-CN"/>
              </w:rPr>
            </w:pPr>
          </w:p>
        </w:tc>
        <w:tc>
          <w:tcPr>
            <w:tcW w:w="850" w:type="dxa"/>
            <w:vMerge w:val="continue"/>
            <w:shd w:val="clear" w:color="auto" w:fill="FFFFFF"/>
            <w:noWrap w:val="0"/>
            <w:vAlign w:val="center"/>
          </w:tcPr>
          <w:p>
            <w:pPr>
              <w:snapToGrid w:val="0"/>
              <w:jc w:val="center"/>
              <w:rPr>
                <w:color w:val="auto"/>
                <w:sz w:val="18"/>
                <w:szCs w:val="18"/>
                <w:lang w:eastAsia="zh-CN"/>
              </w:rPr>
            </w:pPr>
          </w:p>
        </w:tc>
        <w:tc>
          <w:tcPr>
            <w:tcW w:w="1418" w:type="dxa"/>
            <w:vMerge w:val="continue"/>
            <w:shd w:val="clear" w:color="auto" w:fill="FFFFFF"/>
            <w:noWrap w:val="0"/>
            <w:vAlign w:val="center"/>
          </w:tcPr>
          <w:p>
            <w:pPr>
              <w:snapToGrid w:val="0"/>
              <w:jc w:val="center"/>
              <w:rPr>
                <w:color w:val="auto"/>
                <w:sz w:val="18"/>
                <w:szCs w:val="18"/>
                <w:lang w:eastAsia="zh-CN"/>
              </w:rPr>
            </w:pPr>
          </w:p>
        </w:tc>
        <w:tc>
          <w:tcPr>
            <w:tcW w:w="9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w:t>
            </w:r>
            <w:r>
              <w:rPr>
                <w:rFonts w:ascii="Times New Roman" w:hAnsi="Times New Roman" w:cs="Times New Roman"/>
                <w:color w:val="auto"/>
                <w:sz w:val="18"/>
                <w:szCs w:val="18"/>
                <w:lang w:val="en-US" w:eastAsia="zh-CN" w:bidi="en-US"/>
              </w:rPr>
              <w:t>6</w:t>
            </w:r>
          </w:p>
        </w:tc>
        <w:tc>
          <w:tcPr>
            <w:tcW w:w="978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锅炉使用单位在锅炉检修时</w:t>
            </w:r>
            <w:r>
              <w:rPr>
                <w:rFonts w:ascii="Times New Roman" w:cs="Times New Roman"/>
                <w:color w:val="auto"/>
                <w:sz w:val="18"/>
                <w:szCs w:val="18"/>
                <w:lang w:eastAsia="zh-CN"/>
              </w:rPr>
              <w:t>应当进行</w:t>
            </w:r>
            <w:r>
              <w:rPr>
                <w:rFonts w:ascii="Times New Roman" w:cs="Times New Roman"/>
                <w:color w:val="auto"/>
                <w:sz w:val="18"/>
                <w:szCs w:val="18"/>
              </w:rPr>
              <w:t>化学检查，</w:t>
            </w:r>
            <w:r>
              <w:rPr>
                <w:rFonts w:ascii="Times New Roman" w:cs="Times New Roman"/>
                <w:color w:val="auto"/>
                <w:sz w:val="18"/>
                <w:szCs w:val="18"/>
                <w:lang w:eastAsia="zh-CN"/>
              </w:rPr>
              <w:t>按照相关标准规定</w:t>
            </w:r>
            <w:r>
              <w:rPr>
                <w:rFonts w:ascii="Times New Roman" w:cs="Times New Roman"/>
                <w:color w:val="auto"/>
                <w:sz w:val="18"/>
                <w:szCs w:val="18"/>
              </w:rPr>
              <w:t>，对省煤器、锅筒、启动</w:t>
            </w:r>
            <w:r>
              <w:rPr>
                <w:rFonts w:ascii="Times New Roman" w:hAnsi="Times New Roman" w:cs="Times New Roman"/>
                <w:color w:val="auto"/>
                <w:sz w:val="18"/>
                <w:szCs w:val="18"/>
              </w:rPr>
              <w:t>(</w:t>
            </w:r>
            <w:r>
              <w:rPr>
                <w:rFonts w:ascii="Times New Roman" w:cs="Times New Roman"/>
                <w:color w:val="auto"/>
                <w:sz w:val="18"/>
                <w:szCs w:val="18"/>
              </w:rPr>
              <w:t>汽水</w:t>
            </w:r>
            <w:r>
              <w:rPr>
                <w:rFonts w:ascii="Times New Roman" w:hAnsi="Times New Roman" w:cs="Times New Roman"/>
                <w:color w:val="auto"/>
                <w:sz w:val="18"/>
                <w:szCs w:val="18"/>
              </w:rPr>
              <w:t>)</w:t>
            </w:r>
            <w:r>
              <w:rPr>
                <w:rFonts w:ascii="Times New Roman" w:cs="Times New Roman"/>
                <w:color w:val="auto"/>
                <w:sz w:val="18"/>
                <w:szCs w:val="18"/>
              </w:rPr>
              <w:t>分离器</w:t>
            </w:r>
            <w:r>
              <w:rPr>
                <w:rFonts w:ascii="Times New Roman" w:cs="Times New Roman"/>
                <w:color w:val="auto"/>
                <w:sz w:val="18"/>
                <w:szCs w:val="18"/>
                <w:lang w:eastAsia="zh-CN"/>
              </w:rPr>
              <w:t>及储水箱</w:t>
            </w:r>
            <w:r>
              <w:rPr>
                <w:rFonts w:ascii="Times New Roman" w:cs="Times New Roman"/>
                <w:color w:val="auto"/>
                <w:sz w:val="18"/>
                <w:szCs w:val="18"/>
              </w:rPr>
              <w:t>、水冷壁、过热器、再热器等部件的腐蚀、结垢、积盐等情况进行检查</w:t>
            </w:r>
            <w:r>
              <w:rPr>
                <w:rFonts w:ascii="Times New Roman" w:cs="Times New Roman"/>
                <w:color w:val="auto"/>
                <w:sz w:val="18"/>
                <w:szCs w:val="18"/>
                <w:lang w:eastAsia="zh-CN"/>
              </w:rPr>
              <w:t>、</w:t>
            </w:r>
            <w:r>
              <w:rPr>
                <w:rFonts w:ascii="Times New Roman" w:cs="Times New Roman"/>
                <w:color w:val="auto"/>
                <w:sz w:val="18"/>
                <w:szCs w:val="18"/>
              </w:rPr>
              <w:t>评价</w:t>
            </w:r>
            <w:r>
              <w:rPr>
                <w:rFonts w:ascii="Times New Roman" w:cs="Times New Roman"/>
                <w:color w:val="auto"/>
                <w:sz w:val="18"/>
                <w:szCs w:val="18"/>
                <w:lang w:eastAsia="zh-CN"/>
              </w:rPr>
              <w:t>，并且对异常情况进行妥善处理。</w:t>
            </w:r>
          </w:p>
        </w:tc>
      </w:tr>
      <w:tr>
        <w:trPr>
          <w:trHeight w:val="714" w:hRule="exact"/>
        </w:trPr>
        <w:tc>
          <w:tcPr>
            <w:tcW w:w="866" w:type="dxa"/>
            <w:vMerge w:val="continue"/>
            <w:shd w:val="clear" w:color="auto" w:fill="FFFFFF"/>
            <w:noWrap w:val="0"/>
            <w:vAlign w:val="center"/>
          </w:tcPr>
          <w:p>
            <w:pPr>
              <w:snapToGrid w:val="0"/>
              <w:jc w:val="center"/>
              <w:rPr>
                <w:color w:val="auto"/>
                <w:sz w:val="18"/>
                <w:szCs w:val="18"/>
                <w:lang w:eastAsia="zh-CN"/>
              </w:rPr>
            </w:pPr>
          </w:p>
        </w:tc>
        <w:tc>
          <w:tcPr>
            <w:tcW w:w="709" w:type="dxa"/>
            <w:vMerge w:val="continue"/>
            <w:shd w:val="clear" w:color="auto" w:fill="FFFFFF"/>
            <w:noWrap w:val="0"/>
            <w:vAlign w:val="center"/>
          </w:tcPr>
          <w:p>
            <w:pPr>
              <w:snapToGrid w:val="0"/>
              <w:jc w:val="center"/>
              <w:rPr>
                <w:color w:val="auto"/>
                <w:sz w:val="18"/>
                <w:szCs w:val="18"/>
                <w:lang w:eastAsia="zh-CN"/>
              </w:rPr>
            </w:pPr>
          </w:p>
        </w:tc>
        <w:tc>
          <w:tcPr>
            <w:tcW w:w="850" w:type="dxa"/>
            <w:vMerge w:val="continue"/>
            <w:shd w:val="clear" w:color="auto" w:fill="FFFFFF"/>
            <w:noWrap w:val="0"/>
            <w:vAlign w:val="center"/>
          </w:tcPr>
          <w:p>
            <w:pPr>
              <w:snapToGrid w:val="0"/>
              <w:jc w:val="center"/>
              <w:rPr>
                <w:color w:val="auto"/>
                <w:sz w:val="18"/>
                <w:szCs w:val="18"/>
                <w:lang w:eastAsia="zh-CN"/>
              </w:rPr>
            </w:pPr>
          </w:p>
        </w:tc>
        <w:tc>
          <w:tcPr>
            <w:tcW w:w="1418" w:type="dxa"/>
            <w:vMerge w:val="continue"/>
            <w:shd w:val="clear" w:color="auto" w:fill="FFFFFF"/>
            <w:noWrap w:val="0"/>
            <w:vAlign w:val="center"/>
          </w:tcPr>
          <w:p>
            <w:pPr>
              <w:snapToGrid w:val="0"/>
              <w:jc w:val="center"/>
              <w:rPr>
                <w:color w:val="auto"/>
                <w:sz w:val="18"/>
                <w:szCs w:val="18"/>
                <w:lang w:eastAsia="zh-CN"/>
              </w:rPr>
            </w:pPr>
          </w:p>
        </w:tc>
        <w:tc>
          <w:tcPr>
            <w:tcW w:w="9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8.10</w:t>
            </w:r>
          </w:p>
        </w:tc>
        <w:tc>
          <w:tcPr>
            <w:tcW w:w="978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锅炉排污：</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锅炉使用单位应当根据锅水水质确定排污方式及排污量，并且按照水质变化进行调整。蒸汽锅炉定期排污时宜在低负荷时进行，同时严格监视水位。</w:t>
            </w:r>
          </w:p>
        </w:tc>
      </w:tr>
      <w:tr>
        <w:trPr>
          <w:trHeight w:val="789" w:hRule="exact"/>
        </w:trPr>
        <w:tc>
          <w:tcPr>
            <w:tcW w:w="866" w:type="dxa"/>
            <w:vMerge w:val="continue"/>
            <w:shd w:val="clear" w:color="auto" w:fill="FFFFFF"/>
            <w:noWrap w:val="0"/>
            <w:vAlign w:val="center"/>
          </w:tcPr>
          <w:p>
            <w:pPr>
              <w:snapToGrid w:val="0"/>
              <w:jc w:val="center"/>
              <w:rPr>
                <w:color w:val="auto"/>
                <w:sz w:val="18"/>
                <w:szCs w:val="18"/>
                <w:lang w:eastAsia="zh-CN"/>
              </w:rPr>
            </w:pPr>
          </w:p>
        </w:tc>
        <w:tc>
          <w:tcPr>
            <w:tcW w:w="709" w:type="dxa"/>
            <w:vMerge w:val="continue"/>
            <w:shd w:val="clear" w:color="auto" w:fill="FFFFFF"/>
            <w:noWrap w:val="0"/>
            <w:vAlign w:val="center"/>
          </w:tcPr>
          <w:p>
            <w:pPr>
              <w:snapToGrid w:val="0"/>
              <w:jc w:val="center"/>
              <w:rPr>
                <w:color w:val="auto"/>
                <w:sz w:val="18"/>
                <w:szCs w:val="18"/>
                <w:lang w:eastAsia="zh-CN"/>
              </w:rPr>
            </w:pPr>
          </w:p>
        </w:tc>
        <w:tc>
          <w:tcPr>
            <w:tcW w:w="850" w:type="dxa"/>
            <w:vMerge w:val="continue"/>
            <w:shd w:val="clear" w:color="auto" w:fill="FFFFFF"/>
            <w:noWrap w:val="0"/>
            <w:vAlign w:val="center"/>
          </w:tcPr>
          <w:p>
            <w:pPr>
              <w:snapToGrid w:val="0"/>
              <w:jc w:val="center"/>
              <w:rPr>
                <w:color w:val="auto"/>
                <w:sz w:val="18"/>
                <w:szCs w:val="18"/>
                <w:lang w:eastAsia="zh-CN"/>
              </w:rPr>
            </w:pPr>
          </w:p>
        </w:tc>
        <w:tc>
          <w:tcPr>
            <w:tcW w:w="1418" w:type="dxa"/>
            <w:vMerge w:val="continue"/>
            <w:shd w:val="clear" w:color="auto" w:fill="FFFFFF"/>
            <w:noWrap w:val="0"/>
            <w:vAlign w:val="center"/>
          </w:tcPr>
          <w:p>
            <w:pPr>
              <w:snapToGrid w:val="0"/>
              <w:jc w:val="center"/>
              <w:rPr>
                <w:color w:val="auto"/>
                <w:sz w:val="18"/>
                <w:szCs w:val="18"/>
                <w:lang w:eastAsia="zh-CN"/>
              </w:rPr>
            </w:pPr>
          </w:p>
        </w:tc>
        <w:tc>
          <w:tcPr>
            <w:tcW w:w="9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8.11</w:t>
            </w:r>
          </w:p>
        </w:tc>
        <w:tc>
          <w:tcPr>
            <w:tcW w:w="978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锅炉化学清洗：</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lang w:eastAsia="zh-CN"/>
              </w:rPr>
              <w:t>当锅炉结垢（有机热载体锅炉循环管路中产生油泥、油垢）超过标准规定值时，</w:t>
            </w:r>
            <w:r>
              <w:rPr>
                <w:rFonts w:ascii="Times New Roman" w:cs="Times New Roman"/>
                <w:color w:val="auto"/>
                <w:sz w:val="18"/>
                <w:szCs w:val="18"/>
              </w:rPr>
              <w:t>锅炉使用单位应当</w:t>
            </w:r>
            <w:r>
              <w:rPr>
                <w:rFonts w:ascii="Times New Roman" w:cs="Times New Roman"/>
                <w:color w:val="auto"/>
                <w:sz w:val="18"/>
                <w:szCs w:val="18"/>
                <w:lang w:eastAsia="zh-CN"/>
              </w:rPr>
              <w:t>约请具有相应能力的化学清洗单位，按照相关国家标准的要求及时进行化学清洗。化学清洗过程应当接受特种设备检验机构的监督检验。</w:t>
            </w:r>
          </w:p>
        </w:tc>
      </w:tr>
      <w:tr>
        <w:trPr>
          <w:trHeight w:val="2200" w:hRule="exact"/>
        </w:trPr>
        <w:tc>
          <w:tcPr>
            <w:tcW w:w="866" w:type="dxa"/>
            <w:vMerge w:val="continue"/>
            <w:shd w:val="clear" w:color="auto" w:fill="FFFFFF"/>
            <w:noWrap w:val="0"/>
            <w:vAlign w:val="center"/>
          </w:tcPr>
          <w:p>
            <w:pPr>
              <w:snapToGrid w:val="0"/>
              <w:jc w:val="center"/>
              <w:rPr>
                <w:color w:val="auto"/>
                <w:sz w:val="18"/>
                <w:szCs w:val="18"/>
                <w:lang w:eastAsia="zh-CN"/>
              </w:rPr>
            </w:pPr>
          </w:p>
        </w:tc>
        <w:tc>
          <w:tcPr>
            <w:tcW w:w="709" w:type="dxa"/>
            <w:vMerge w:val="continue"/>
            <w:shd w:val="clear" w:color="auto" w:fill="FFFFFF"/>
            <w:noWrap w:val="0"/>
            <w:vAlign w:val="center"/>
          </w:tcPr>
          <w:p>
            <w:pPr>
              <w:snapToGrid w:val="0"/>
              <w:jc w:val="center"/>
              <w:rPr>
                <w:color w:val="auto"/>
                <w:sz w:val="18"/>
                <w:szCs w:val="18"/>
                <w:lang w:eastAsia="zh-CN"/>
              </w:rPr>
            </w:pPr>
          </w:p>
        </w:tc>
        <w:tc>
          <w:tcPr>
            <w:tcW w:w="850" w:type="dxa"/>
            <w:vMerge w:val="continue"/>
            <w:shd w:val="clear" w:color="auto" w:fill="FFFFFF"/>
            <w:noWrap w:val="0"/>
            <w:vAlign w:val="center"/>
          </w:tcPr>
          <w:p>
            <w:pPr>
              <w:snapToGrid w:val="0"/>
              <w:jc w:val="center"/>
              <w:rPr>
                <w:color w:val="auto"/>
                <w:sz w:val="18"/>
                <w:szCs w:val="18"/>
                <w:lang w:eastAsia="zh-CN"/>
              </w:rPr>
            </w:pPr>
          </w:p>
        </w:tc>
        <w:tc>
          <w:tcPr>
            <w:tcW w:w="1418" w:type="dxa"/>
            <w:vMerge w:val="continue"/>
            <w:shd w:val="clear" w:color="auto" w:fill="FFFFFF"/>
            <w:noWrap w:val="0"/>
            <w:vAlign w:val="center"/>
          </w:tcPr>
          <w:p>
            <w:pPr>
              <w:snapToGrid w:val="0"/>
              <w:jc w:val="center"/>
              <w:rPr>
                <w:color w:val="auto"/>
                <w:sz w:val="18"/>
                <w:szCs w:val="18"/>
                <w:lang w:eastAsia="zh-CN"/>
              </w:rPr>
            </w:pPr>
          </w:p>
        </w:tc>
        <w:tc>
          <w:tcPr>
            <w:tcW w:w="9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9</w:t>
            </w:r>
          </w:p>
        </w:tc>
        <w:tc>
          <w:tcPr>
            <w:tcW w:w="978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锅炉水（介）质处理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w:t>
            </w:r>
            <w:r>
              <w:rPr>
                <w:rFonts w:ascii="Times New Roman" w:cs="Times New Roman"/>
                <w:color w:val="auto"/>
                <w:sz w:val="18"/>
                <w:szCs w:val="18"/>
                <w:lang w:eastAsia="zh-CN"/>
              </w:rPr>
              <w:t>做好锅炉水（介）质处理工作，保证水汽或者有机热载体的质量符合标准要求。</w:t>
            </w:r>
            <w:r>
              <w:rPr>
                <w:rFonts w:ascii="Times New Roman" w:cs="Times New Roman"/>
                <w:color w:val="auto"/>
                <w:sz w:val="18"/>
                <w:szCs w:val="18"/>
              </w:rPr>
              <w:t>无可靠水处理措施</w:t>
            </w:r>
            <w:r>
              <w:rPr>
                <w:rFonts w:ascii="Times New Roman" w:cs="Times New Roman"/>
                <w:color w:val="auto"/>
                <w:sz w:val="18"/>
                <w:szCs w:val="18"/>
                <w:lang w:eastAsia="zh-CN"/>
              </w:rPr>
              <w:t>的</w:t>
            </w:r>
            <w:r>
              <w:rPr>
                <w:rFonts w:ascii="Times New Roman" w:cs="Times New Roman"/>
                <w:color w:val="auto"/>
                <w:sz w:val="18"/>
                <w:szCs w:val="18"/>
              </w:rPr>
              <w:t>锅炉不应当投入运行。水处理系统运行应当符合以下要求：</w:t>
            </w:r>
          </w:p>
          <w:p>
            <w:pPr>
              <w:pStyle w:val="15"/>
              <w:numPr>
                <w:ilvl w:val="0"/>
                <w:numId w:val="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保证水处理设备及加药装置正常运行；</w:t>
            </w:r>
          </w:p>
          <w:p>
            <w:pPr>
              <w:pStyle w:val="15"/>
              <w:numPr>
                <w:ilvl w:val="0"/>
                <w:numId w:val="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采用必要的检测手段监测水汽质量，</w:t>
            </w:r>
            <w:r>
              <w:rPr>
                <w:rFonts w:ascii="Times New Roman" w:cs="Times New Roman"/>
                <w:color w:val="auto"/>
                <w:sz w:val="18"/>
                <w:szCs w:val="18"/>
                <w:lang w:eastAsia="zh-CN"/>
              </w:rPr>
              <w:t>每班至少化验</w:t>
            </w:r>
            <w:r>
              <w:rPr>
                <w:rFonts w:ascii="Times New Roman" w:hAnsi="Times New Roman" w:cs="Times New Roman"/>
                <w:color w:val="auto"/>
                <w:sz w:val="18"/>
                <w:szCs w:val="18"/>
                <w:lang w:val="en-US" w:eastAsia="zh-CN"/>
              </w:rPr>
              <w:t>1</w:t>
            </w:r>
            <w:r>
              <w:rPr>
                <w:rFonts w:ascii="Times New Roman" w:cs="Times New Roman"/>
                <w:color w:val="auto"/>
                <w:sz w:val="18"/>
                <w:szCs w:val="18"/>
                <w:lang w:val="en-US" w:eastAsia="zh-CN"/>
              </w:rPr>
              <w:t>次水汽质量，当水汽质量不符合标准要求时，应当及时查找原因并处理至合格；</w:t>
            </w:r>
          </w:p>
          <w:p>
            <w:pPr>
              <w:pStyle w:val="15"/>
              <w:numPr>
                <w:ilvl w:val="0"/>
                <w:numId w:val="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严格控制疏水、</w:t>
            </w:r>
            <w:r>
              <w:rPr>
                <w:rFonts w:ascii="Times New Roman" w:cs="Times New Roman"/>
                <w:color w:val="auto"/>
                <w:sz w:val="18"/>
                <w:szCs w:val="18"/>
                <w:lang w:eastAsia="zh-CN"/>
              </w:rPr>
              <w:t>蒸汽冷凝回水的水质</w:t>
            </w:r>
            <w:r>
              <w:rPr>
                <w:rFonts w:ascii="Times New Roman" w:cs="Times New Roman"/>
                <w:color w:val="auto"/>
                <w:sz w:val="18"/>
                <w:szCs w:val="18"/>
              </w:rPr>
              <w:t>，不合格时</w:t>
            </w:r>
            <w:r>
              <w:rPr>
                <w:rFonts w:ascii="Times New Roman" w:cs="Times New Roman"/>
                <w:color w:val="auto"/>
                <w:sz w:val="18"/>
                <w:szCs w:val="18"/>
                <w:lang w:eastAsia="zh-CN"/>
              </w:rPr>
              <w:t>不得回收进入锅炉</w:t>
            </w:r>
            <w:r>
              <w:rPr>
                <w:rFonts w:ascii="Times New Roman" w:cs="Times New Roman"/>
                <w:color w:val="auto"/>
                <w:sz w:val="18"/>
                <w:szCs w:val="18"/>
              </w:rPr>
              <w:t>。</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注：</w:t>
            </w:r>
            <w:r>
              <w:rPr>
                <w:rFonts w:ascii="Times New Roman" w:cs="Times New Roman"/>
                <w:color w:val="auto"/>
                <w:sz w:val="18"/>
                <w:szCs w:val="18"/>
              </w:rPr>
              <w:t>工业锅炉的水质应当符合</w:t>
            </w:r>
            <w:r>
              <w:rPr>
                <w:rFonts w:ascii="Times New Roman" w:hAnsi="Times New Roman" w:eastAsia="Times New Roman" w:cs="Times New Roman"/>
                <w:color w:val="auto"/>
                <w:sz w:val="18"/>
                <w:szCs w:val="18"/>
                <w:lang w:val="en-US" w:eastAsia="zh-CN" w:bidi="en-US"/>
              </w:rPr>
              <w:t xml:space="preserve">GB/T </w:t>
            </w:r>
            <w:r>
              <w:rPr>
                <w:rFonts w:ascii="Times New Roman" w:hAnsi="Times New Roman" w:eastAsia="Times New Roman" w:cs="Times New Roman"/>
                <w:color w:val="auto"/>
                <w:sz w:val="18"/>
                <w:szCs w:val="18"/>
              </w:rPr>
              <w:t>1576«</w:t>
            </w:r>
            <w:r>
              <w:rPr>
                <w:rFonts w:ascii="Times New Roman" w:cs="Times New Roman"/>
                <w:color w:val="auto"/>
                <w:sz w:val="18"/>
                <w:szCs w:val="18"/>
              </w:rPr>
              <w:t>工业锅炉水质》的规定。电站锅炉的水汽质量应当符合</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 xml:space="preserve">GB/T </w:t>
            </w:r>
            <w:r>
              <w:rPr>
                <w:rFonts w:ascii="Times New Roman" w:hAnsi="Times New Roman" w:eastAsia="Times New Roman" w:cs="Times New Roman"/>
                <w:color w:val="auto"/>
                <w:sz w:val="18"/>
                <w:szCs w:val="18"/>
              </w:rPr>
              <w:t>12145</w:t>
            </w:r>
            <w:r>
              <w:rPr>
                <w:rFonts w:ascii="Times New Roman" w:hAnsi="Times New Roman" w:cs="Times New Roman"/>
                <w:color w:val="auto"/>
                <w:sz w:val="18"/>
                <w:szCs w:val="18"/>
                <w:lang w:eastAsia="zh-CN"/>
              </w:rPr>
              <w:t>《</w:t>
            </w:r>
            <w:r>
              <w:rPr>
                <w:rFonts w:ascii="Times New Roman" w:cs="Times New Roman"/>
                <w:color w:val="auto"/>
                <w:sz w:val="18"/>
                <w:szCs w:val="18"/>
              </w:rPr>
              <w:t>火力发电机组及蒸汽动力设备水汽质量》</w:t>
            </w:r>
            <w:r>
              <w:rPr>
                <w:rFonts w:ascii="Times New Roman" w:cs="Times New Roman"/>
                <w:color w:val="auto"/>
                <w:sz w:val="18"/>
                <w:szCs w:val="18"/>
                <w:lang w:eastAsia="zh-CN"/>
              </w:rPr>
              <w:t>的规定。</w:t>
            </w:r>
          </w:p>
        </w:tc>
      </w:tr>
      <w:tr>
        <w:trPr>
          <w:trHeight w:val="873" w:hRule="exact"/>
        </w:trPr>
        <w:tc>
          <w:tcPr>
            <w:tcW w:w="866" w:type="dxa"/>
            <w:shd w:val="clear" w:color="auto" w:fill="FFFFFF"/>
            <w:noWrap w:val="0"/>
            <w:vAlign w:val="center"/>
          </w:tcPr>
          <w:p>
            <w:pPr>
              <w:snapToGrid w:val="0"/>
              <w:jc w:val="center"/>
              <w:rPr>
                <w:color w:val="auto"/>
                <w:sz w:val="18"/>
                <w:szCs w:val="18"/>
                <w:lang w:eastAsia="zh-CN"/>
              </w:rPr>
            </w:pPr>
            <w:r>
              <w:rPr>
                <w:rFonts w:hAnsi="宋体" w:eastAsia="宋体"/>
                <w:color w:val="auto"/>
                <w:sz w:val="18"/>
                <w:szCs w:val="18"/>
                <w:lang w:val="zh-TW" w:eastAsia="zh-TW" w:bidi="zh-TW"/>
              </w:rPr>
              <w:t>定期检验</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有资格</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的检验</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人员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按</w:t>
            </w:r>
            <w:r>
              <w:rPr>
                <w:rFonts w:ascii="Times New Roman" w:hAnsi="Times New Roman" w:cs="Times New Roman"/>
                <w:color w:val="auto"/>
                <w:sz w:val="18"/>
                <w:szCs w:val="18"/>
              </w:rPr>
              <w:t>“</w:t>
            </w:r>
            <w:r>
              <w:rPr>
                <w:rFonts w:ascii="Times New Roman" w:cs="Times New Roman"/>
                <w:color w:val="auto"/>
                <w:sz w:val="18"/>
                <w:szCs w:val="18"/>
              </w:rPr>
              <w:t>上次检验报告</w:t>
            </w:r>
            <w:r>
              <w:rPr>
                <w:rFonts w:ascii="Times New Roman" w:hAnsi="Times New Roman" w:cs="Times New Roman"/>
                <w:color w:val="auto"/>
                <w:sz w:val="18"/>
                <w:szCs w:val="18"/>
              </w:rPr>
              <w:t>”</w:t>
            </w:r>
          </w:p>
        </w:tc>
        <w:tc>
          <w:tcPr>
            <w:tcW w:w="14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87"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9.</w:t>
            </w:r>
            <w:r>
              <w:rPr>
                <w:rFonts w:ascii="Times New Roman" w:hAnsi="Times New Roman" w:cs="Times New Roman"/>
                <w:color w:val="auto"/>
                <w:sz w:val="18"/>
                <w:szCs w:val="18"/>
                <w:lang w:val="en-US" w:eastAsia="zh-CN" w:bidi="en-US"/>
              </w:rPr>
              <w:t>1.</w:t>
            </w:r>
            <w:r>
              <w:rPr>
                <w:rFonts w:ascii="Times New Roman" w:hAnsi="Times New Roman" w:eastAsia="Times New Roman" w:cs="Times New Roman"/>
                <w:color w:val="auto"/>
                <w:sz w:val="18"/>
                <w:szCs w:val="18"/>
                <w:lang w:val="en-US" w:eastAsia="en-US" w:bidi="en-US"/>
              </w:rPr>
              <w:t>4</w:t>
            </w:r>
          </w:p>
        </w:tc>
        <w:tc>
          <w:tcPr>
            <w:tcW w:w="9786" w:type="dxa"/>
            <w:shd w:val="clear" w:color="auto" w:fill="FFFFFF"/>
            <w:noWrap w:val="0"/>
            <w:vAlign w:val="center"/>
          </w:tcPr>
          <w:p>
            <w:pPr>
              <w:pStyle w:val="15"/>
              <w:numPr>
                <w:ilvl w:val="0"/>
                <w:numId w:val="10"/>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锅炉的定期检验工作包括锅炉在运行状态下进行的外部检验、锅炉在停炉状态下进行的内部检验和水</w:t>
            </w:r>
            <w:r>
              <w:rPr>
                <w:rFonts w:ascii="Times New Roman" w:hAnsi="Times New Roman" w:cs="Times New Roman"/>
                <w:color w:val="auto"/>
                <w:sz w:val="18"/>
                <w:szCs w:val="18"/>
              </w:rPr>
              <w:t>(</w:t>
            </w:r>
            <w:r>
              <w:rPr>
                <w:rFonts w:ascii="Times New Roman" w:cs="Times New Roman"/>
                <w:color w:val="auto"/>
                <w:sz w:val="18"/>
                <w:szCs w:val="18"/>
              </w:rPr>
              <w:t>耐</w:t>
            </w:r>
            <w:r>
              <w:rPr>
                <w:rFonts w:ascii="Times New Roman" w:hAnsi="Times New Roman" w:cs="Times New Roman"/>
                <w:color w:val="auto"/>
                <w:sz w:val="18"/>
                <w:szCs w:val="18"/>
              </w:rPr>
              <w:t>)</w:t>
            </w:r>
            <w:r>
              <w:rPr>
                <w:rFonts w:ascii="Times New Roman" w:cs="Times New Roman"/>
                <w:color w:val="auto"/>
                <w:sz w:val="18"/>
                <w:szCs w:val="18"/>
              </w:rPr>
              <w:t>压试验；</w:t>
            </w:r>
          </w:p>
          <w:p>
            <w:pPr>
              <w:pStyle w:val="15"/>
              <w:numPr>
                <w:ilvl w:val="0"/>
                <w:numId w:val="10"/>
              </w:numPr>
              <w:tabs>
                <w:tab w:val="left" w:pos="326"/>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锅炉的使用单位应当安排锅炉的定期检验工作</w:t>
            </w:r>
            <w:r>
              <w:rPr>
                <w:rFonts w:ascii="Times New Roman" w:hAnsi="Times New Roman" w:cs="Times New Roman"/>
                <w:color w:val="auto"/>
                <w:sz w:val="18"/>
                <w:szCs w:val="18"/>
              </w:rPr>
              <w:t>,</w:t>
            </w:r>
            <w:r>
              <w:rPr>
                <w:rFonts w:ascii="Times New Roman" w:cs="Times New Roman"/>
                <w:color w:val="auto"/>
                <w:sz w:val="18"/>
                <w:szCs w:val="18"/>
              </w:rPr>
              <w:t>并且在锅炉下次检验日期前</w:t>
            </w:r>
            <w:r>
              <w:rPr>
                <w:rFonts w:ascii="Times New Roman" w:hAnsi="Times New Roman" w:eastAsia="Times New Roman" w:cs="Times New Roman"/>
                <w:color w:val="auto"/>
                <w:sz w:val="18"/>
                <w:szCs w:val="18"/>
              </w:rPr>
              <w:t>1</w:t>
            </w:r>
            <w:r>
              <w:rPr>
                <w:rFonts w:ascii="Times New Roman" w:cs="Times New Roman"/>
                <w:color w:val="auto"/>
                <w:sz w:val="18"/>
                <w:szCs w:val="18"/>
              </w:rPr>
              <w:t>个月向检验检测机构提出定期检验申请</w:t>
            </w:r>
            <w:r>
              <w:rPr>
                <w:rFonts w:ascii="Times New Roman" w:hAnsi="Times New Roman" w:cs="Times New Roman"/>
                <w:color w:val="auto"/>
                <w:sz w:val="18"/>
                <w:szCs w:val="18"/>
              </w:rPr>
              <w:t>,</w:t>
            </w:r>
            <w:r>
              <w:rPr>
                <w:rFonts w:ascii="Times New Roman" w:cs="Times New Roman"/>
                <w:color w:val="auto"/>
                <w:sz w:val="18"/>
                <w:szCs w:val="18"/>
              </w:rPr>
              <w:t>检验检测机构应当制订检验计划。</w:t>
            </w:r>
          </w:p>
        </w:tc>
      </w:tr>
    </w:tbl>
    <w:p>
      <w:pPr>
        <w:snapToGrid w:val="0"/>
        <w:rPr>
          <w:color w:val="auto"/>
          <w:sz w:val="18"/>
          <w:szCs w:val="18"/>
          <w:lang w:eastAsia="zh-CN"/>
        </w:rPr>
        <w:sectPr>
          <w:headerReference r:id="rId6" w:type="default"/>
          <w:footerReference r:id="rId8" w:type="default"/>
          <w:headerReference r:id="rId7" w:type="even"/>
          <w:footerReference r:id="rId9" w:type="even"/>
          <w:pgSz w:w="16840" w:h="11900" w:orient="landscape"/>
          <w:pgMar w:top="851" w:right="1134" w:bottom="1134" w:left="1134" w:header="0" w:footer="6" w:gutter="0"/>
          <w:cols w:space="720" w:num="1"/>
          <w:titlePg/>
          <w:docGrid w:linePitch="360" w:charSpace="0"/>
        </w:sectPr>
      </w:pPr>
    </w:p>
    <w:p>
      <w:pPr>
        <w:pStyle w:val="14"/>
        <w:snapToGrid w:val="0"/>
        <w:spacing w:before="120" w:beforeLines="50" w:after="120"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rPr>
        <w:t>锅炉经常性维护保养记录表格式</w:t>
      </w:r>
    </w:p>
    <w:tbl>
      <w:tblPr>
        <w:tblStyle w:val="8"/>
        <w:tblpPr/>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95"/>
        <w:gridCol w:w="538"/>
        <w:gridCol w:w="4636"/>
        <w:gridCol w:w="993"/>
        <w:gridCol w:w="1799"/>
      </w:tblGrid>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使用编号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登记编号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检查项目</w:t>
            </w:r>
          </w:p>
        </w:tc>
        <w:tc>
          <w:tcPr>
            <w:tcW w:w="4636"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检查内容</w:t>
            </w:r>
          </w:p>
        </w:tc>
        <w:tc>
          <w:tcPr>
            <w:tcW w:w="99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179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550"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是否进行巡回检查和日常维护保养，发现异常情况时是否及时处理</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1281"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月度检查</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锅炉承压部件及其安全附件和仪表、连锁保护装置是否完好；燃烧器运行是否正常；锅炉使用安全与节能管理制度是否有效执行，作业人员证书是否在有效期内，是否按规定进行定期检验，是否对水（介）质定期进行化验分析，水（介）质未达到标准要求时是否及时处理，水封管是否堵塞等。</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612" w:hRule="atLeas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燃烧器年度检查</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燃烧器管路是否密封、安全与控制装置是否齐全和完好、安全与控制功能是否缺失或者失效、燃烧器运行是否正常。</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1252"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锅炉安全附件</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安全阀、压力表、温度测量仪表是否定期校验，并在有效期内。</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安全阀、压力表、水位表、温度测量仪表是否完好</w:t>
            </w:r>
            <w:r>
              <w:rPr>
                <w:rFonts w:ascii="Times New Roman" w:hAnsi="Times New Roman" w:cs="Times New Roman"/>
                <w:color w:val="auto"/>
                <w:sz w:val="18"/>
                <w:szCs w:val="18"/>
              </w:rPr>
              <w:t>,</w:t>
            </w:r>
            <w:r>
              <w:rPr>
                <w:rFonts w:ascii="Times New Roman" w:cs="Times New Roman"/>
                <w:color w:val="auto"/>
                <w:sz w:val="18"/>
                <w:szCs w:val="18"/>
              </w:rPr>
              <w:t>指示是否正确。安全阀是否定期试验。水位表、压力表是否冲洗。排污和放水装置是否完好</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454"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安全保护装置</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安全保护装置是否投入运行，是否完好</w:t>
            </w:r>
            <w:r>
              <w:rPr>
                <w:rFonts w:ascii="Times New Roman" w:hAnsi="Times New Roman" w:cs="Times New Roman"/>
                <w:color w:val="auto"/>
                <w:sz w:val="18"/>
                <w:szCs w:val="18"/>
              </w:rPr>
              <w:t>,</w:t>
            </w:r>
            <w:r>
              <w:rPr>
                <w:rFonts w:ascii="Times New Roman" w:cs="Times New Roman"/>
                <w:color w:val="auto"/>
                <w:sz w:val="18"/>
                <w:szCs w:val="18"/>
              </w:rPr>
              <w:t>是否定期试验</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2339"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蒸汽锅炉（电站锅炉除外）运行中遇有</w:t>
            </w:r>
            <w:r>
              <w:rPr>
                <w:rFonts w:ascii="Times New Roman" w:hAnsi="Times New Roman" w:cs="Times New Roman"/>
                <w:color w:val="auto"/>
                <w:sz w:val="18"/>
                <w:szCs w:val="18"/>
              </w:rPr>
              <w:t xml:space="preserve"> </w:t>
            </w:r>
            <w:r>
              <w:rPr>
                <w:rFonts w:ascii="Times New Roman" w:cs="Times New Roman"/>
                <w:color w:val="auto"/>
                <w:sz w:val="18"/>
                <w:szCs w:val="18"/>
              </w:rPr>
              <w:t>下列情况之一时，应当立即停炉</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）锅炉水位低于水位表最低可见边缘；</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）不断加大给水及采取其他措施但是水位仍然继续下降；</w:t>
            </w:r>
          </w:p>
          <w:p>
            <w:pPr>
              <w:pStyle w:val="15"/>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）锅炉满水</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贯流式锅炉启动状态除外</w:t>
            </w:r>
            <w:r>
              <w:rPr>
                <w:rFonts w:ascii="Times New Roman" w:hAnsi="Times New Roman" w:cs="Times New Roman"/>
                <w:color w:val="auto"/>
                <w:sz w:val="18"/>
                <w:szCs w:val="18"/>
                <w:lang w:eastAsia="zh-CN"/>
              </w:rPr>
              <w:t>)</w:t>
            </w:r>
            <w:r>
              <w:rPr>
                <w:rFonts w:ascii="Times New Roman" w:cs="Times New Roman"/>
                <w:color w:val="auto"/>
                <w:sz w:val="18"/>
                <w:szCs w:val="18"/>
              </w:rPr>
              <w:t>，水位超过最高可见水位，经过放水仍然不能见到水位；</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）给水泵失效或者给水系统故障，不能向锅炉给水；</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）水位表、安全阀或者装设在汽空间的压力表全部失效；</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）锅炉元（部）件受损坏，危及锅炉运行</w:t>
            </w:r>
            <w:r>
              <w:rPr>
                <w:rFonts w:ascii="Times New Roman" w:cs="Times New Roman"/>
                <w:color w:val="auto"/>
                <w:sz w:val="18"/>
                <w:szCs w:val="18"/>
                <w:lang w:eastAsia="zh-CN"/>
              </w:rPr>
              <w:t>作业</w:t>
            </w:r>
            <w:r>
              <w:rPr>
                <w:rFonts w:ascii="Times New Roman" w:cs="Times New Roman"/>
                <w:color w:val="auto"/>
                <w:sz w:val="18"/>
                <w:szCs w:val="18"/>
              </w:rPr>
              <w:t>人员安全；</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）燃烧设备损坏、炉墙倒塌或者锅炉构架被烧红等，严重威胁锅炉安全运行；</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）其他危及锅炉安全运行的异常情况</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3368"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电站锅炉运行中遇到下列情况时，应</w:t>
            </w:r>
            <w:r>
              <w:rPr>
                <w:rFonts w:ascii="Times New Roman" w:hAnsi="Times New Roman" w:cs="Times New Roman"/>
                <w:color w:val="auto"/>
                <w:sz w:val="18"/>
                <w:szCs w:val="18"/>
              </w:rPr>
              <w:t xml:space="preserve"> </w:t>
            </w:r>
            <w:r>
              <w:rPr>
                <w:rFonts w:ascii="Times New Roman" w:cs="Times New Roman"/>
                <w:color w:val="auto"/>
                <w:sz w:val="18"/>
                <w:szCs w:val="18"/>
              </w:rPr>
              <w:t>当停止向炉膛</w:t>
            </w:r>
            <w:r>
              <w:rPr>
                <w:rFonts w:ascii="Times New Roman" w:cs="Times New Roman"/>
                <w:color w:val="auto"/>
                <w:sz w:val="18"/>
                <w:szCs w:val="18"/>
                <w:lang w:eastAsia="zh-CN"/>
              </w:rPr>
              <w:t>输送</w:t>
            </w:r>
            <w:r>
              <w:rPr>
                <w:rFonts w:ascii="Times New Roman" w:cs="Times New Roman"/>
                <w:color w:val="auto"/>
                <w:sz w:val="18"/>
                <w:szCs w:val="18"/>
              </w:rPr>
              <w:t>燃料</w:t>
            </w:r>
          </w:p>
          <w:p>
            <w:pPr>
              <w:pStyle w:val="15"/>
              <w:snapToGrid w:val="0"/>
              <w:spacing w:line="240" w:lineRule="auto"/>
              <w:jc w:val="center"/>
              <w:rPr>
                <w:rFonts w:ascii="Times New Roman" w:hAnsi="Times New Roman" w:cs="Times New Roman"/>
                <w:color w:val="auto"/>
                <w:sz w:val="18"/>
                <w:szCs w:val="18"/>
                <w:lang w:eastAsia="zh-CN"/>
              </w:rPr>
            </w:pP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）锅炉严重缺水；</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）锅炉严重满水；</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）直流锅炉断水；</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）锅水循环泵发生故障，不能保证锅炉安全运行；</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）水位装置失效无法监视水位；</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）主</w:t>
            </w:r>
            <w:r>
              <w:rPr>
                <w:rFonts w:ascii="Times New Roman" w:cs="Times New Roman"/>
                <w:color w:val="auto"/>
                <w:sz w:val="18"/>
                <w:szCs w:val="18"/>
                <w:lang w:eastAsia="zh-CN"/>
              </w:rPr>
              <w:t>要汽水管道泄露或</w:t>
            </w:r>
            <w:r>
              <w:rPr>
                <w:rFonts w:ascii="Times New Roman" w:cs="Times New Roman"/>
                <w:color w:val="auto"/>
                <w:sz w:val="18"/>
                <w:szCs w:val="18"/>
              </w:rPr>
              <w:t>锅炉范围内连接管道爆破；</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）再热器蒸汽中断（制造单位有规定者除外）；</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）炉膛熄</w:t>
            </w:r>
            <w:r>
              <w:rPr>
                <w:rFonts w:ascii="Times New Roman" w:cs="Times New Roman"/>
                <w:color w:val="auto"/>
                <w:sz w:val="18"/>
                <w:szCs w:val="18"/>
                <w:lang w:eastAsia="zh-CN"/>
              </w:rPr>
              <w:t>火</w:t>
            </w:r>
            <w:r>
              <w:rPr>
                <w:rFonts w:ascii="Times New Roman" w:cs="Times New Roman"/>
                <w:color w:val="auto"/>
                <w:sz w:val="18"/>
                <w:szCs w:val="18"/>
              </w:rPr>
              <w:t>；</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cs="Times New Roman"/>
                <w:color w:val="auto"/>
                <w:sz w:val="18"/>
                <w:szCs w:val="18"/>
              </w:rPr>
              <w:t>）燃油（气）锅炉油（气）压力严重下降；</w:t>
            </w:r>
          </w:p>
          <w:p>
            <w:pPr>
              <w:pStyle w:val="15"/>
              <w:tabs>
                <w:tab w:val="left" w:pos="40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cs="Times New Roman"/>
                <w:color w:val="auto"/>
                <w:sz w:val="18"/>
                <w:szCs w:val="18"/>
              </w:rPr>
              <w:t>）安全阀全部失效或者锅炉超压；</w:t>
            </w:r>
          </w:p>
          <w:p>
            <w:pPr>
              <w:pStyle w:val="15"/>
              <w:tabs>
                <w:tab w:val="left" w:pos="4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cs="Times New Roman"/>
                <w:color w:val="auto"/>
                <w:sz w:val="18"/>
                <w:szCs w:val="18"/>
              </w:rPr>
              <w:t>）热工仪表失效、控制电（气）源中断，无法监视、调整主要运行参数；</w:t>
            </w:r>
          </w:p>
          <w:p>
            <w:pPr>
              <w:pStyle w:val="15"/>
              <w:tabs>
                <w:tab w:val="left" w:pos="418"/>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w:t>
            </w:r>
            <w:r>
              <w:rPr>
                <w:rFonts w:ascii="Times New Roman" w:hAnsi="Times New Roman" w:eastAsia="Times New Roman" w:cs="Times New Roman"/>
                <w:color w:val="auto"/>
                <w:sz w:val="18"/>
                <w:szCs w:val="18"/>
              </w:rPr>
              <w:t>12</w:t>
            </w:r>
            <w:r>
              <w:rPr>
                <w:rFonts w:ascii="Times New Roman" w:cs="Times New Roman"/>
                <w:color w:val="auto"/>
                <w:sz w:val="18"/>
                <w:szCs w:val="18"/>
              </w:rPr>
              <w:t>）严重危及人身和设备安全以及制造单位有特殊规定的其他情况</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559"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停（备）用锅炉及水处理设备</w:t>
            </w:r>
            <w:r>
              <w:rPr>
                <w:rFonts w:ascii="Times New Roman" w:cs="Times New Roman"/>
                <w:color w:val="auto"/>
                <w:sz w:val="18"/>
                <w:szCs w:val="18"/>
                <w:lang w:eastAsia="zh-CN"/>
              </w:rPr>
              <w:t>停炉保养</w:t>
            </w:r>
          </w:p>
        </w:tc>
        <w:tc>
          <w:tcPr>
            <w:tcW w:w="5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是否做好停（备）用锅炉</w:t>
            </w:r>
            <w:r>
              <w:rPr>
                <w:rFonts w:ascii="Times New Roman" w:cs="Times New Roman"/>
                <w:color w:val="auto"/>
                <w:sz w:val="18"/>
                <w:szCs w:val="18"/>
                <w:lang w:eastAsia="zh-CN"/>
              </w:rPr>
              <w:t>及水处理设备的</w:t>
            </w:r>
            <w:r>
              <w:rPr>
                <w:rFonts w:ascii="Times New Roman" w:cs="Times New Roman"/>
                <w:color w:val="auto"/>
                <w:sz w:val="18"/>
                <w:szCs w:val="18"/>
              </w:rPr>
              <w:t>防</w:t>
            </w:r>
            <w:r>
              <w:rPr>
                <w:rFonts w:ascii="Times New Roman" w:cs="Times New Roman"/>
                <w:color w:val="auto"/>
                <w:sz w:val="18"/>
                <w:szCs w:val="18"/>
                <w:lang w:eastAsia="zh-CN"/>
              </w:rPr>
              <w:t>腐蚀</w:t>
            </w:r>
            <w:r>
              <w:rPr>
                <w:rFonts w:ascii="Times New Roman" w:cs="Times New Roman"/>
                <w:color w:val="auto"/>
                <w:sz w:val="18"/>
                <w:szCs w:val="18"/>
              </w:rPr>
              <w:t>等停炉保养工作</w:t>
            </w:r>
            <w:r>
              <w:rPr>
                <w:rFonts w:ascii="Times New Roman" w:cs="Times New Roman"/>
                <w:color w:val="auto"/>
                <w:sz w:val="18"/>
                <w:szCs w:val="18"/>
                <w:lang w:eastAsia="zh-CN"/>
              </w:rPr>
              <w:t>。</w:t>
            </w: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567" w:hRule="exact"/>
          <w:jc w:val="center"/>
        </w:trPr>
        <w:tc>
          <w:tcPr>
            <w:tcW w:w="159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其他异常情况及采取措施</w:t>
            </w:r>
          </w:p>
        </w:tc>
        <w:tc>
          <w:tcPr>
            <w:tcW w:w="538" w:type="dxa"/>
            <w:shd w:val="clear" w:color="auto" w:fill="FFFFFF"/>
            <w:noWrap w:val="0"/>
            <w:vAlign w:val="center"/>
          </w:tcPr>
          <w:p>
            <w:pPr>
              <w:snapToGrid w:val="0"/>
              <w:jc w:val="center"/>
              <w:rPr>
                <w:color w:val="auto"/>
                <w:sz w:val="18"/>
                <w:szCs w:val="18"/>
                <w:lang w:eastAsia="zh-CN"/>
              </w:rPr>
            </w:pPr>
          </w:p>
        </w:tc>
        <w:tc>
          <w:tcPr>
            <w:tcW w:w="4636" w:type="dxa"/>
            <w:shd w:val="clear" w:color="auto" w:fill="FFFFFF"/>
            <w:noWrap w:val="0"/>
            <w:vAlign w:val="center"/>
          </w:tcPr>
          <w:p>
            <w:pPr>
              <w:snapToGrid w:val="0"/>
              <w:jc w:val="both"/>
              <w:rPr>
                <w:color w:val="auto"/>
                <w:sz w:val="18"/>
                <w:szCs w:val="18"/>
                <w:lang w:eastAsia="zh-CN"/>
              </w:rPr>
            </w:pPr>
          </w:p>
        </w:tc>
        <w:tc>
          <w:tcPr>
            <w:tcW w:w="993" w:type="dxa"/>
            <w:shd w:val="clear" w:color="auto" w:fill="FFFFFF"/>
            <w:noWrap w:val="0"/>
            <w:vAlign w:val="top"/>
          </w:tcPr>
          <w:p>
            <w:pPr>
              <w:snapToGrid w:val="0"/>
              <w:rPr>
                <w:color w:val="auto"/>
                <w:sz w:val="18"/>
                <w:szCs w:val="18"/>
                <w:lang w:eastAsia="zh-CN"/>
              </w:rPr>
            </w:pPr>
          </w:p>
        </w:tc>
        <w:tc>
          <w:tcPr>
            <w:tcW w:w="1799" w:type="dxa"/>
            <w:shd w:val="clear" w:color="auto" w:fill="FFFFFF"/>
            <w:noWrap w:val="0"/>
            <w:vAlign w:val="top"/>
          </w:tcPr>
          <w:p>
            <w:pPr>
              <w:snapToGrid w:val="0"/>
              <w:rPr>
                <w:color w:val="auto"/>
                <w:sz w:val="18"/>
                <w:szCs w:val="18"/>
                <w:lang w:eastAsia="zh-CN"/>
              </w:rPr>
            </w:pPr>
          </w:p>
        </w:tc>
      </w:tr>
      <w:tr>
        <w:trPr>
          <w:trHeight w:val="561"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4636" w:type="dxa"/>
            <w:shd w:val="clear" w:color="auto" w:fill="FFFFFF"/>
            <w:noWrap w:val="0"/>
            <w:vAlign w:val="center"/>
          </w:tcPr>
          <w:p>
            <w:pPr>
              <w:snapToGrid w:val="0"/>
              <w:jc w:val="both"/>
              <w:rPr>
                <w:color w:val="auto"/>
                <w:sz w:val="18"/>
                <w:szCs w:val="18"/>
              </w:rPr>
            </w:pPr>
          </w:p>
        </w:tc>
        <w:tc>
          <w:tcPr>
            <w:tcW w:w="2792"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本记录表为建议表格，使用单位可根据本单位实际情况修改。</w:t>
      </w:r>
    </w:p>
    <w:p>
      <w:pPr>
        <w:pStyle w:val="14"/>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 xml:space="preserve">2. </w:t>
      </w:r>
      <w:r>
        <w:rPr>
          <w:rFonts w:cs="Times New Roman"/>
          <w:color w:val="auto"/>
          <w:sz w:val="18"/>
          <w:szCs w:val="18"/>
        </w:rPr>
        <w:t>★</w:t>
      </w:r>
      <w:r>
        <w:rPr>
          <w:rFonts w:ascii="Times New Roman" w:cs="Times New Roman"/>
          <w:color w:val="auto"/>
          <w:sz w:val="18"/>
          <w:szCs w:val="18"/>
        </w:rPr>
        <w:t>是《锅炉安全技术规程》</w:t>
      </w:r>
      <w:r>
        <w:rPr>
          <w:rFonts w:ascii="Times New Roman" w:hAnsi="Times New Roman" w:cs="Times New Roman"/>
          <w:color w:val="auto"/>
          <w:sz w:val="18"/>
          <w:szCs w:val="18"/>
          <w:lang w:eastAsia="zh-CN"/>
        </w:rPr>
        <w:t>(TSG11-2020)</w:t>
      </w:r>
      <w:r>
        <w:rPr>
          <w:rFonts w:ascii="Times New Roman" w:cs="Times New Roman"/>
          <w:color w:val="auto"/>
          <w:sz w:val="18"/>
          <w:szCs w:val="18"/>
        </w:rPr>
        <w:t>的要</w:t>
      </w:r>
      <w:r>
        <w:rPr>
          <w:rFonts w:ascii="Times New Roman" w:cs="Times New Roman"/>
          <w:color w:val="auto"/>
          <w:sz w:val="18"/>
          <w:szCs w:val="18"/>
          <w:lang w:eastAsia="zh-CN"/>
        </w:rPr>
        <w:t>求。</w:t>
      </w:r>
    </w:p>
    <w:p>
      <w:pPr>
        <w:snapToGrid w:val="0"/>
        <w:rPr>
          <w:color w:val="auto"/>
          <w:sz w:val="18"/>
          <w:szCs w:val="18"/>
          <w:lang w:eastAsia="zh-CN"/>
        </w:rPr>
        <w:sectPr>
          <w:pgSz w:w="11900" w:h="16840"/>
          <w:pgMar w:top="1134" w:right="1134" w:bottom="1134" w:left="851" w:header="0" w:footer="6" w:gutter="0"/>
          <w:cols w:space="720" w:num="1"/>
          <w:titlePg/>
          <w:docGrid w:linePitch="360" w:charSpace="0"/>
        </w:sectPr>
      </w:pPr>
    </w:p>
    <w:p>
      <w:pPr>
        <w:snapToGrid w:val="0"/>
        <w:spacing w:after="120" w:afterLines="50"/>
        <w:jc w:val="center"/>
        <w:rPr>
          <w:rFonts w:eastAsia="黑体"/>
          <w:b/>
          <w:color w:val="auto"/>
          <w:sz w:val="21"/>
          <w:szCs w:val="21"/>
          <w:lang w:eastAsia="zh-CN"/>
        </w:rPr>
      </w:pPr>
      <w:bookmarkStart w:id="15" w:name="bookmark38"/>
      <w:bookmarkStart w:id="16" w:name="bookmark37"/>
      <w:bookmarkStart w:id="17" w:name="bookmark39"/>
      <w:r>
        <w:rPr>
          <w:rFonts w:hAnsi="黑体" w:eastAsia="黑体"/>
          <w:b/>
          <w:color w:val="auto"/>
          <w:sz w:val="21"/>
          <w:szCs w:val="21"/>
          <w:lang w:eastAsia="zh-CN"/>
        </w:rPr>
        <w:t>表</w:t>
      </w:r>
      <w:r>
        <w:rPr>
          <w:rFonts w:eastAsia="黑体"/>
          <w:b/>
          <w:color w:val="auto"/>
          <w:sz w:val="21"/>
          <w:szCs w:val="21"/>
          <w:lang w:eastAsia="zh-CN"/>
        </w:rPr>
        <w:t>B.2</w:t>
      </w:r>
      <w:r>
        <w:rPr>
          <w:rFonts w:hint="eastAsia" w:eastAsia="黑体"/>
          <w:b/>
          <w:color w:val="auto"/>
          <w:sz w:val="21"/>
          <w:szCs w:val="21"/>
          <w:lang w:eastAsia="zh-CN"/>
        </w:rPr>
        <w:t xml:space="preserve">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固定式压力容器专项要求</w:t>
      </w:r>
      <w:bookmarkEnd w:id="15"/>
      <w:bookmarkEnd w:id="16"/>
      <w:bookmarkEnd w:id="17"/>
    </w:p>
    <w:tbl>
      <w:tblPr>
        <w:tblStyle w:val="8"/>
        <w:tblpPr/>
        <w:tblOverlap w:val="never"/>
        <w:tblW w:w="15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709"/>
        <w:gridCol w:w="992"/>
        <w:gridCol w:w="851"/>
        <w:gridCol w:w="10962"/>
      </w:tblGrid>
      <w:tr>
        <w:trPr>
          <w:trHeight w:val="370" w:hRule="exact"/>
          <w:jc w:val="center"/>
        </w:trPr>
        <w:tc>
          <w:tcPr>
            <w:tcW w:w="785" w:type="dxa"/>
            <w:vMerge w:val="restart"/>
            <w:shd w:val="clear" w:color="auto" w:fill="FFFFFF"/>
            <w:noWrap w:val="0"/>
            <w:vAlign w:val="center"/>
          </w:tcPr>
          <w:p>
            <w:pPr>
              <w:pStyle w:val="15"/>
              <w:snapToGrid w:val="0"/>
              <w:spacing w:line="240" w:lineRule="auto"/>
              <w:jc w:val="both"/>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184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10962"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3" w:hRule="exact"/>
          <w:jc w:val="center"/>
        </w:trPr>
        <w:tc>
          <w:tcPr>
            <w:tcW w:w="785" w:type="dxa"/>
            <w:vMerge w:val="continue"/>
            <w:shd w:val="clear" w:color="auto" w:fill="FFFFFF"/>
            <w:noWrap w:val="0"/>
            <w:vAlign w:val="center"/>
          </w:tcPr>
          <w:p>
            <w:pPr>
              <w:snapToGrid w:val="0"/>
              <w:rPr>
                <w:color w:val="auto"/>
                <w:sz w:val="18"/>
                <w:szCs w:val="18"/>
              </w:rPr>
            </w:pPr>
          </w:p>
        </w:tc>
        <w:tc>
          <w:tcPr>
            <w:tcW w:w="709"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snapToGrid w:val="0"/>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1"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10962" w:type="dxa"/>
            <w:vMerge w:val="continue"/>
            <w:shd w:val="clear" w:color="auto" w:fill="FFFFFF"/>
            <w:noWrap w:val="0"/>
            <w:vAlign w:val="center"/>
          </w:tcPr>
          <w:p>
            <w:pPr>
              <w:snapToGrid w:val="0"/>
              <w:rPr>
                <w:color w:val="auto"/>
                <w:sz w:val="18"/>
                <w:szCs w:val="18"/>
              </w:rPr>
            </w:pPr>
          </w:p>
        </w:tc>
      </w:tr>
      <w:tr>
        <w:trPr>
          <w:trHeight w:val="1001" w:hRule="exact"/>
          <w:jc w:val="center"/>
        </w:trPr>
        <w:tc>
          <w:tcPr>
            <w:tcW w:w="78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18" w:name="_Hlk53690784"/>
            <w:r>
              <w:rPr>
                <w:rFonts w:ascii="Times New Roman" w:cs="Times New Roman"/>
                <w:color w:val="auto"/>
                <w:sz w:val="18"/>
                <w:szCs w:val="18"/>
              </w:rPr>
              <w:t>使用年限审核</w:t>
            </w:r>
            <w:bookmarkEnd w:id="18"/>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使用单位自定</w:t>
            </w:r>
            <w:r>
              <w:rPr>
                <w:rFonts w:ascii="Times New Roman" w:hAnsi="Times New Roman" w:cs="Times New Roman"/>
                <w:color w:val="auto"/>
                <w:sz w:val="18"/>
                <w:szCs w:val="18"/>
              </w:rPr>
              <w:t>(</w:t>
            </w:r>
            <w:r>
              <w:rPr>
                <w:rFonts w:ascii="Times New Roman" w:cs="Times New Roman"/>
                <w:color w:val="auto"/>
                <w:sz w:val="18"/>
                <w:szCs w:val="18"/>
              </w:rPr>
              <w:t>每年</w:t>
            </w:r>
            <w:r>
              <w:rPr>
                <w:rFonts w:ascii="Times New Roman" w:cs="Times New Roman"/>
                <w:color w:val="auto"/>
                <w:sz w:val="18"/>
                <w:szCs w:val="18"/>
                <w:lang w:eastAsia="zh-CN"/>
              </w:rPr>
              <w:t>一</w:t>
            </w:r>
            <w:r>
              <w:rPr>
                <w:rFonts w:ascii="Times New Roman" w:cs="Times New Roman"/>
                <w:color w:val="auto"/>
                <w:sz w:val="18"/>
                <w:szCs w:val="18"/>
              </w:rPr>
              <w:t>次</w:t>
            </w:r>
            <w:r>
              <w:rPr>
                <w:rFonts w:ascii="Times New Roman" w:hAnsi="Times New Roman" w:cs="Times New Roman"/>
                <w:color w:val="auto"/>
                <w:sz w:val="18"/>
                <w:szCs w:val="18"/>
              </w:rPr>
              <w:t>)</w:t>
            </w: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固定式压力容器安全技术监察规程</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eastAsia="zh-CN" w:bidi="en-US"/>
              </w:rPr>
              <w:t>(TSG 21-2016)</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7.1.7</w:t>
            </w:r>
          </w:p>
        </w:tc>
        <w:tc>
          <w:tcPr>
            <w:tcW w:w="10962"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超设计使用年限使用的压力容器：</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对于已经达到设计使用年限的压力容器，或者未规定设计使用年限，但是使用超过</w:t>
            </w:r>
            <w:r>
              <w:rPr>
                <w:rFonts w:ascii="Times New Roman" w:hAnsi="Times New Roman" w:cs="Times New Roman"/>
                <w:color w:val="auto"/>
                <w:sz w:val="18"/>
                <w:szCs w:val="18"/>
              </w:rPr>
              <w:t>20</w:t>
            </w:r>
            <w:r>
              <w:rPr>
                <w:rFonts w:ascii="Times New Roman" w:cs="Times New Roman"/>
                <w:color w:val="auto"/>
                <w:sz w:val="18"/>
                <w:szCs w:val="18"/>
              </w:rPr>
              <w:t>年的压力容器，如果要继续使用，使用单位应当委托有检验资质的特种设备检验机构参照定期检验的有关规定对其进行检验，必要时按照</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eastAsia="zh-CN" w:bidi="en-US"/>
              </w:rPr>
              <w:t>TSG 21-2016</w:t>
            </w:r>
            <w:r>
              <w:rPr>
                <w:rFonts w:ascii="Times New Roman" w:cs="Times New Roman"/>
                <w:color w:val="auto"/>
                <w:sz w:val="18"/>
                <w:szCs w:val="18"/>
              </w:rPr>
              <w:t>中</w:t>
            </w:r>
            <w:r>
              <w:rPr>
                <w:rFonts w:ascii="Times New Roman" w:hAnsi="Times New Roman" w:cs="Times New Roman"/>
                <w:color w:val="auto"/>
                <w:sz w:val="18"/>
                <w:szCs w:val="18"/>
                <w:lang w:val="en-US" w:eastAsia="zh-CN" w:bidi="en-US"/>
              </w:rPr>
              <w:t>8.9</w:t>
            </w:r>
            <w:r>
              <w:rPr>
                <w:rFonts w:ascii="Times New Roman" w:cs="Times New Roman"/>
                <w:color w:val="auto"/>
                <w:sz w:val="18"/>
                <w:szCs w:val="18"/>
              </w:rPr>
              <w:t>的要求进行合于使用评价，经过使用单位主要负责人批准后，办理使用登记证书变更，方可继续使用。</w:t>
            </w:r>
          </w:p>
        </w:tc>
      </w:tr>
      <w:tr>
        <w:trPr>
          <w:trHeight w:val="433" w:hRule="exact"/>
          <w:jc w:val="center"/>
        </w:trPr>
        <w:tc>
          <w:tcPr>
            <w:tcW w:w="78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经常性维护保养</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容器作业人员</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使用单位自定</w:t>
            </w: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7.1.4</w:t>
            </w:r>
          </w:p>
        </w:tc>
        <w:tc>
          <w:tcPr>
            <w:tcW w:w="10962"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使用单位应当建立压力容器装置巡检制度并对压力容器本体及其安全附件、装卸附件、安全保护装</w:t>
            </w:r>
            <w:r>
              <w:rPr>
                <w:rFonts w:ascii="Times New Roman" w:hAnsi="Times New Roman" w:cs="Times New Roman"/>
                <w:color w:val="auto"/>
                <w:sz w:val="18"/>
                <w:szCs w:val="18"/>
              </w:rPr>
              <w:t xml:space="preserve"> </w:t>
            </w:r>
            <w:r>
              <w:rPr>
                <w:rFonts w:ascii="Times New Roman" w:cs="Times New Roman"/>
                <w:color w:val="auto"/>
                <w:sz w:val="18"/>
                <w:szCs w:val="18"/>
              </w:rPr>
              <w:t>置、测量调控装置、附属仪器仪表进行经常性维护保养。对发现的异常情况及时处理并且记录，保证在用压力容器始终处于正常使用状态。</w:t>
            </w:r>
          </w:p>
        </w:tc>
      </w:tr>
      <w:tr>
        <w:trPr>
          <w:trHeight w:val="709" w:hRule="exact"/>
          <w:jc w:val="center"/>
        </w:trPr>
        <w:tc>
          <w:tcPr>
            <w:tcW w:w="78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月度检查</w:t>
            </w: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每月</w:t>
            </w: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7.1.5.1</w:t>
            </w:r>
          </w:p>
        </w:tc>
        <w:tc>
          <w:tcPr>
            <w:tcW w:w="10962"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使用单位每月对所使用的压力容器至少进行</w:t>
            </w:r>
            <w:r>
              <w:rPr>
                <w:rFonts w:ascii="Times New Roman" w:hAnsi="Times New Roman" w:eastAsia="Times New Roman" w:cs="Times New Roman"/>
                <w:color w:val="auto"/>
                <w:sz w:val="18"/>
                <w:szCs w:val="18"/>
              </w:rPr>
              <w:t>1</w:t>
            </w:r>
            <w:r>
              <w:rPr>
                <w:rFonts w:ascii="Times New Roman" w:cs="Times New Roman"/>
                <w:color w:val="auto"/>
                <w:sz w:val="18"/>
                <w:szCs w:val="18"/>
              </w:rPr>
              <w:t>次月度检查，并且应当记录检查情况；当年度检查与月度检查时间重合时，可不再进行月度检查。月度检查内容主要为压力容器本体及其安全附件、装卸</w:t>
            </w:r>
            <w:r>
              <w:rPr>
                <w:rFonts w:ascii="Times New Roman" w:hAnsi="Times New Roman" w:cs="Times New Roman"/>
                <w:color w:val="auto"/>
                <w:sz w:val="18"/>
                <w:szCs w:val="18"/>
              </w:rPr>
              <w:t xml:space="preserve"> </w:t>
            </w:r>
            <w:r>
              <w:rPr>
                <w:rFonts w:ascii="Times New Roman" w:cs="Times New Roman"/>
                <w:color w:val="auto"/>
                <w:sz w:val="18"/>
                <w:szCs w:val="18"/>
              </w:rPr>
              <w:t>附件、安全保护装置、测量调控装置、附属仪器仪表是否完好，各密封面有无泄漏，以及其他异常情况等。</w:t>
            </w:r>
          </w:p>
        </w:tc>
      </w:tr>
      <w:tr>
        <w:trPr>
          <w:trHeight w:val="691" w:hRule="exact"/>
          <w:jc w:val="center"/>
        </w:trPr>
        <w:tc>
          <w:tcPr>
            <w:tcW w:w="78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容器作业人员或有资格的检验人员</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w:t>
            </w: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w:t>
            </w:r>
            <w:r>
              <w:rPr>
                <w:rFonts w:ascii="Times New Roman" w:hAnsi="Times New Roman" w:eastAsia="Times New Roman" w:cs="Times New Roman"/>
                <w:color w:val="auto"/>
                <w:sz w:val="18"/>
                <w:szCs w:val="18"/>
              </w:rPr>
              <w:t>.5.2</w:t>
            </w:r>
          </w:p>
        </w:tc>
        <w:tc>
          <w:tcPr>
            <w:tcW w:w="10962"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使用单位每年对所使用的压力容器至少进行</w:t>
            </w:r>
            <w:r>
              <w:rPr>
                <w:rFonts w:ascii="Times New Roman" w:hAnsi="Times New Roman" w:eastAsia="Times New Roman" w:cs="Times New Roman"/>
                <w:color w:val="auto"/>
                <w:sz w:val="18"/>
                <w:szCs w:val="18"/>
              </w:rPr>
              <w:t>1</w:t>
            </w:r>
            <w:r>
              <w:rPr>
                <w:rFonts w:ascii="Times New Roman" w:cs="Times New Roman"/>
                <w:color w:val="auto"/>
                <w:sz w:val="18"/>
                <w:szCs w:val="18"/>
              </w:rPr>
              <w:t>次年度检查</w:t>
            </w:r>
            <w:r>
              <w:rPr>
                <w:rFonts w:ascii="Times New Roman" w:hAnsi="Times New Roman" w:cs="Times New Roman"/>
                <w:color w:val="auto"/>
                <w:sz w:val="18"/>
                <w:szCs w:val="18"/>
              </w:rPr>
              <w:t>,</w:t>
            </w:r>
            <w:r>
              <w:rPr>
                <w:rFonts w:ascii="Times New Roman" w:cs="Times New Roman"/>
                <w:color w:val="auto"/>
                <w:sz w:val="18"/>
                <w:szCs w:val="18"/>
              </w:rPr>
              <w:t>年度检查按照</w:t>
            </w:r>
            <w:r>
              <w:rPr>
                <w:rFonts w:ascii="Times New Roman" w:hAnsi="Times New Roman" w:eastAsia="Times New Roman" w:cs="Times New Roman"/>
                <w:color w:val="auto"/>
                <w:sz w:val="18"/>
                <w:szCs w:val="18"/>
                <w:lang w:val="en-US" w:eastAsia="zh-CN" w:bidi="en-US"/>
              </w:rPr>
              <w:t>TSG 21-2016</w:t>
            </w:r>
            <w:r>
              <w:rPr>
                <w:rFonts w:asci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7.2</w:t>
            </w:r>
            <w:r>
              <w:rPr>
                <w:rFonts w:ascii="Times New Roman" w:cs="Times New Roman"/>
                <w:color w:val="auto"/>
                <w:sz w:val="18"/>
                <w:szCs w:val="18"/>
              </w:rPr>
              <w:t>的要求进行。年度检查工作完成后，应当进行压力容器使用安全状况分析，并且对年度检查中发现的隐患及时消除。</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年度检查工作可以由压力容器使用单位安全管理人员组织经过专业培训的作业人员进行，也可以委托有资质的特种设备检验机构进行。</w:t>
            </w:r>
          </w:p>
        </w:tc>
      </w:tr>
      <w:tr>
        <w:trPr>
          <w:trHeight w:val="2557"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7.2.1</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压力容器安全管理情况检查至少包括以下内容：</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压力容器的安全管理制度是否齐全有效；</w:t>
            </w:r>
          </w:p>
          <w:p>
            <w:pPr>
              <w:pStyle w:val="15"/>
              <w:numPr>
                <w:ilvl w:val="0"/>
                <w:numId w:val="1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21-2016</w:t>
            </w:r>
            <w:r>
              <w:rPr>
                <w:rFonts w:ascii="Times New Roman" w:cs="Times New Roman"/>
                <w:color w:val="auto"/>
                <w:sz w:val="18"/>
                <w:szCs w:val="18"/>
              </w:rPr>
              <w:t>规定的设计文件、竣工图样、产品合格证、产品质量证明文件、安装及使用维护保养说明、监督检验证书以及安装、改造、修理资料等是否完整；</w:t>
            </w:r>
          </w:p>
          <w:p>
            <w:pPr>
              <w:pStyle w:val="15"/>
              <w:numPr>
                <w:ilvl w:val="0"/>
                <w:numId w:val="11"/>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《使用登记证》《特种设备使用登记表》</w:t>
            </w:r>
            <w:r>
              <w:rPr>
                <w:rFonts w:ascii="Times New Roman" w:hAnsi="Times New Roman" w:cs="Times New Roman"/>
                <w:color w:val="auto"/>
                <w:sz w:val="18"/>
                <w:szCs w:val="18"/>
              </w:rPr>
              <w:t>(</w:t>
            </w:r>
            <w:r>
              <w:rPr>
                <w:rFonts w:ascii="Times New Roman" w:cs="Times New Roman"/>
                <w:color w:val="auto"/>
                <w:sz w:val="18"/>
                <w:szCs w:val="18"/>
              </w:rPr>
              <w:t>以下简称《使用登记表》</w:t>
            </w:r>
            <w:r>
              <w:rPr>
                <w:rFonts w:ascii="Times New Roman" w:hAnsi="Times New Roman" w:cs="Times New Roman"/>
                <w:color w:val="auto"/>
                <w:sz w:val="18"/>
                <w:szCs w:val="18"/>
              </w:rPr>
              <w:t>)</w:t>
            </w:r>
            <w:r>
              <w:rPr>
                <w:rFonts w:ascii="Times New Roman" w:cs="Times New Roman"/>
                <w:color w:val="auto"/>
                <w:sz w:val="18"/>
                <w:szCs w:val="18"/>
              </w:rPr>
              <w:t>是否与实际相符；</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压力容器作业人员是否持证上岗；</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压力容器日常维护保养、运行记录、定期安全检查记录是否符合要求；</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压力容器年度检查、定期检验报告是否齐全，检查、检验报告中所提出的问题是否得到解决；</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安全附件及仪表的校验</w:t>
            </w:r>
            <w:r>
              <w:rPr>
                <w:rFonts w:ascii="Times New Roman" w:hAnsi="Times New Roman" w:cs="Times New Roman"/>
                <w:color w:val="auto"/>
                <w:sz w:val="18"/>
                <w:szCs w:val="18"/>
              </w:rPr>
              <w:t>(</w:t>
            </w:r>
            <w:r>
              <w:rPr>
                <w:rFonts w:ascii="Times New Roman" w:cs="Times New Roman"/>
                <w:color w:val="auto"/>
                <w:sz w:val="18"/>
                <w:szCs w:val="18"/>
              </w:rPr>
              <w:t>检定</w:t>
            </w:r>
            <w:r>
              <w:rPr>
                <w:rFonts w:ascii="Times New Roman" w:hAnsi="Times New Roman" w:cs="Times New Roman"/>
                <w:color w:val="auto"/>
                <w:sz w:val="18"/>
                <w:szCs w:val="18"/>
              </w:rPr>
              <w:t>)</w:t>
            </w:r>
            <w:r>
              <w:rPr>
                <w:rFonts w:ascii="Times New Roman" w:cs="Times New Roman"/>
                <w:color w:val="auto"/>
                <w:sz w:val="18"/>
                <w:szCs w:val="18"/>
              </w:rPr>
              <w:t>、修理和更换记录是否齐全真实；</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是否有压力容器应急专项预案和演练记录；</w:t>
            </w:r>
          </w:p>
          <w:p>
            <w:pPr>
              <w:pStyle w:val="15"/>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是否对压力容器事故、故障情况进行了记录。</w:t>
            </w:r>
          </w:p>
        </w:tc>
      </w:tr>
      <w:tr>
        <w:trPr>
          <w:trHeight w:val="2977"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7.2.2</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压力容器本体及其运行状况的检查至少包括以下内容：</w:t>
            </w:r>
          </w:p>
          <w:p>
            <w:pPr>
              <w:pStyle w:val="15"/>
              <w:numPr>
                <w:ilvl w:val="0"/>
                <w:numId w:val="1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压力容器的产品铭牌及其有关标志是否符合有关规定；</w:t>
            </w:r>
          </w:p>
          <w:p>
            <w:pPr>
              <w:pStyle w:val="15"/>
              <w:numPr>
                <w:ilvl w:val="0"/>
                <w:numId w:val="12"/>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压力容器的本体、接口</w:t>
            </w:r>
            <w:r>
              <w:rPr>
                <w:rFonts w:ascii="Times New Roman" w:hAnsi="Times New Roman" w:cs="Times New Roman"/>
                <w:color w:val="auto"/>
                <w:sz w:val="18"/>
                <w:szCs w:val="18"/>
              </w:rPr>
              <w:t>(</w:t>
            </w:r>
            <w:r>
              <w:rPr>
                <w:rFonts w:ascii="Times New Roman" w:cs="Times New Roman"/>
                <w:color w:val="auto"/>
                <w:sz w:val="18"/>
                <w:szCs w:val="18"/>
              </w:rPr>
              <w:t>阀门、管路</w:t>
            </w:r>
            <w:r>
              <w:rPr>
                <w:rFonts w:ascii="Times New Roman" w:hAnsi="Times New Roman" w:cs="Times New Roman"/>
                <w:color w:val="auto"/>
                <w:sz w:val="18"/>
                <w:szCs w:val="18"/>
              </w:rPr>
              <w:t>)</w:t>
            </w:r>
            <w:r>
              <w:rPr>
                <w:rFonts w:ascii="Times New Roman" w:cs="Times New Roman"/>
                <w:color w:val="auto"/>
                <w:sz w:val="18"/>
                <w:szCs w:val="18"/>
              </w:rPr>
              <w:t>部位、焊接</w:t>
            </w:r>
            <w:r>
              <w:rPr>
                <w:rFonts w:ascii="Times New Roman" w:hAnsi="Times New Roman" w:cs="Times New Roman"/>
                <w:color w:val="auto"/>
                <w:sz w:val="18"/>
                <w:szCs w:val="18"/>
              </w:rPr>
              <w:t>(</w:t>
            </w:r>
            <w:r>
              <w:rPr>
                <w:rFonts w:ascii="Times New Roman" w:cs="Times New Roman"/>
                <w:color w:val="auto"/>
                <w:sz w:val="18"/>
                <w:szCs w:val="18"/>
              </w:rPr>
              <w:t>粘接</w:t>
            </w:r>
            <w:r>
              <w:rPr>
                <w:rFonts w:ascii="Times New Roman" w:hAnsi="Times New Roman" w:cs="Times New Roman"/>
                <w:color w:val="auto"/>
                <w:sz w:val="18"/>
                <w:szCs w:val="18"/>
              </w:rPr>
              <w:t>)</w:t>
            </w:r>
            <w:r>
              <w:rPr>
                <w:rFonts w:ascii="Times New Roman" w:cs="Times New Roman"/>
                <w:color w:val="auto"/>
                <w:sz w:val="18"/>
                <w:szCs w:val="18"/>
              </w:rPr>
              <w:t>接头等有无裂纹、过热、变形、泄漏、机械接触损伤等；</w:t>
            </w:r>
          </w:p>
          <w:p>
            <w:pPr>
              <w:pStyle w:val="15"/>
              <w:numPr>
                <w:ilvl w:val="0"/>
                <w:numId w:val="12"/>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外表面有无腐蚀，有无异常结霜、结露等；</w:t>
            </w:r>
          </w:p>
          <w:p>
            <w:pPr>
              <w:pStyle w:val="15"/>
              <w:numPr>
                <w:ilvl w:val="0"/>
                <w:numId w:val="12"/>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隔热层有无破损、脱落、潮湿、跑冷；</w:t>
            </w:r>
          </w:p>
          <w:p>
            <w:pPr>
              <w:pStyle w:val="15"/>
              <w:numPr>
                <w:ilvl w:val="0"/>
                <w:numId w:val="12"/>
              </w:numPr>
              <w:tabs>
                <w:tab w:val="left" w:pos="312"/>
              </w:tabs>
              <w:snapToGrid w:val="0"/>
              <w:spacing w:line="240" w:lineRule="auto"/>
              <w:rPr>
                <w:rFonts w:hint="eastAsia" w:ascii="Times New Roman" w:hAnsi="Times New Roman" w:cs="Times New Roman"/>
                <w:color w:val="auto"/>
                <w:sz w:val="18"/>
                <w:szCs w:val="18"/>
              </w:rPr>
            </w:pPr>
            <w:r>
              <w:rPr>
                <w:rFonts w:ascii="Times New Roman" w:cs="Times New Roman"/>
                <w:color w:val="auto"/>
                <w:sz w:val="18"/>
                <w:szCs w:val="18"/>
              </w:rPr>
              <w:t>检漏孔、信号孔有无漏液、漏气，检漏孔是否通畅；</w:t>
            </w:r>
          </w:p>
          <w:p>
            <w:pPr>
              <w:pStyle w:val="15"/>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hint="eastAsia" w:ascii="Times New Roman" w:hAnsi="Times New Roman" w:cs="Times New Roman"/>
                <w:color w:val="auto"/>
                <w:sz w:val="18"/>
                <w:szCs w:val="18"/>
                <w:lang w:eastAsia="zh-CN"/>
              </w:rPr>
              <w:t>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压力容器</w:t>
            </w:r>
            <w:r>
              <w:rPr>
                <w:rFonts w:ascii="Times New Roman" w:cs="Times New Roman"/>
                <w:color w:val="auto"/>
                <w:sz w:val="18"/>
                <w:szCs w:val="18"/>
              </w:rPr>
              <w:t>与相邻管道或者构件有无异常振动、响声或者相互摩擦；</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cs="Times New Roman"/>
                <w:color w:val="auto"/>
                <w:sz w:val="18"/>
                <w:szCs w:val="18"/>
              </w:rPr>
              <w:t>支承或者支座有无损坏</w:t>
            </w:r>
            <w:r>
              <w:rPr>
                <w:rFonts w:ascii="Times New Roman" w:hAnsi="Times New Roman" w:cs="Times New Roman"/>
                <w:color w:val="auto"/>
                <w:sz w:val="18"/>
                <w:szCs w:val="18"/>
              </w:rPr>
              <w:t>,</w:t>
            </w:r>
            <w:r>
              <w:rPr>
                <w:rFonts w:ascii="Times New Roman" w:cs="Times New Roman"/>
                <w:color w:val="auto"/>
                <w:sz w:val="18"/>
                <w:szCs w:val="18"/>
              </w:rPr>
              <w:t>基础有无下沉、倾斜、开裂，紧固件是否齐全、完好；</w:t>
            </w:r>
          </w:p>
          <w:p>
            <w:pPr>
              <w:pStyle w:val="15"/>
              <w:tabs>
                <w:tab w:val="left" w:pos="312"/>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 排放(疏水、排污)装置是否完好；</w:t>
            </w:r>
          </w:p>
          <w:p>
            <w:pPr>
              <w:pStyle w:val="15"/>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 运行期间是否有超压、超温、超量等现象；</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 罐体有接地装置的，检查接地装置是否符合要求；</w:t>
            </w:r>
          </w:p>
          <w:p>
            <w:pPr>
              <w:pStyle w:val="15"/>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(11) </w:t>
            </w:r>
            <w:r>
              <w:rPr>
                <w:rFonts w:ascii="Times New Roman" w:cs="Times New Roman"/>
                <w:color w:val="auto"/>
                <w:sz w:val="18"/>
                <w:szCs w:val="18"/>
              </w:rPr>
              <w:t>监控使用的压力容器，监控措施是否有效实施。</w:t>
            </w:r>
          </w:p>
        </w:tc>
      </w:tr>
    </w:tbl>
    <w:p>
      <w:pPr>
        <w:rPr>
          <w:color w:val="auto"/>
          <w:lang w:eastAsia="zh-CN"/>
        </w:rPr>
      </w:pPr>
    </w:p>
    <w:tbl>
      <w:tblPr>
        <w:tblStyle w:val="8"/>
        <w:tblpPr/>
        <w:tblOverlap w:val="never"/>
        <w:tblW w:w="15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709"/>
        <w:gridCol w:w="992"/>
        <w:gridCol w:w="851"/>
        <w:gridCol w:w="10962"/>
      </w:tblGrid>
      <w:tr>
        <w:trPr>
          <w:trHeight w:val="370" w:hRule="exact"/>
          <w:jc w:val="center"/>
        </w:trPr>
        <w:tc>
          <w:tcPr>
            <w:tcW w:w="785" w:type="dxa"/>
            <w:vMerge w:val="restart"/>
            <w:shd w:val="clear" w:color="auto" w:fill="FFFFFF"/>
            <w:noWrap w:val="0"/>
            <w:vAlign w:val="center"/>
          </w:tcPr>
          <w:p>
            <w:pPr>
              <w:pStyle w:val="15"/>
              <w:snapToGrid w:val="0"/>
              <w:spacing w:line="240" w:lineRule="auto"/>
              <w:jc w:val="both"/>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184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10962"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3" w:hRule="exact"/>
          <w:jc w:val="center"/>
        </w:trPr>
        <w:tc>
          <w:tcPr>
            <w:tcW w:w="785" w:type="dxa"/>
            <w:vMerge w:val="continue"/>
            <w:shd w:val="clear" w:color="auto" w:fill="FFFFFF"/>
            <w:noWrap w:val="0"/>
            <w:vAlign w:val="center"/>
          </w:tcPr>
          <w:p>
            <w:pPr>
              <w:snapToGrid w:val="0"/>
              <w:rPr>
                <w:color w:val="auto"/>
                <w:sz w:val="18"/>
                <w:szCs w:val="18"/>
              </w:rPr>
            </w:pPr>
          </w:p>
        </w:tc>
        <w:tc>
          <w:tcPr>
            <w:tcW w:w="709"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snapToGrid w:val="0"/>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1"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10962" w:type="dxa"/>
            <w:vMerge w:val="continue"/>
            <w:shd w:val="clear" w:color="auto" w:fill="FFFFFF"/>
            <w:noWrap w:val="0"/>
            <w:vAlign w:val="center"/>
          </w:tcPr>
          <w:p>
            <w:pPr>
              <w:snapToGrid w:val="0"/>
              <w:rPr>
                <w:color w:val="auto"/>
                <w:sz w:val="18"/>
                <w:szCs w:val="18"/>
              </w:rPr>
            </w:pPr>
          </w:p>
        </w:tc>
      </w:tr>
      <w:tr>
        <w:trPr>
          <w:trHeight w:val="951" w:hRule="atLeast"/>
          <w:jc w:val="center"/>
        </w:trPr>
        <w:tc>
          <w:tcPr>
            <w:tcW w:w="78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容器作业人员或有资格的检验人员</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w:t>
            </w: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固定式压力容器安全技术监察规程</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eastAsia="zh-CN" w:bidi="en-US"/>
              </w:rPr>
              <w:t>(TSG 21-2016)</w:t>
            </w:r>
          </w:p>
        </w:tc>
        <w:tc>
          <w:tcPr>
            <w:tcW w:w="851"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7.2.2.2.1</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搪玻璃压力容器检查：</w:t>
            </w:r>
          </w:p>
          <w:p>
            <w:pPr>
              <w:pStyle w:val="15"/>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压力容器外表面防腐漆是否完好，是否有锈蚀、腐蚀现象；</w:t>
            </w:r>
          </w:p>
          <w:p>
            <w:pPr>
              <w:pStyle w:val="15"/>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密封面是否有泄漏；</w:t>
            </w:r>
          </w:p>
          <w:p>
            <w:pPr>
              <w:pStyle w:val="15"/>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夹套底部排净</w:t>
            </w:r>
            <w:r>
              <w:rPr>
                <w:rFonts w:ascii="Times New Roman" w:hAnsi="Times New Roman" w:cs="Times New Roman"/>
                <w:color w:val="auto"/>
                <w:sz w:val="18"/>
                <w:szCs w:val="18"/>
              </w:rPr>
              <w:t>(</w:t>
            </w:r>
            <w:r>
              <w:rPr>
                <w:rFonts w:ascii="Times New Roman" w:cs="Times New Roman"/>
                <w:color w:val="auto"/>
                <w:sz w:val="18"/>
                <w:szCs w:val="18"/>
              </w:rPr>
              <w:t>疏水</w:t>
            </w:r>
            <w:r>
              <w:rPr>
                <w:rFonts w:ascii="Times New Roman" w:hAnsi="Times New Roman" w:cs="Times New Roman"/>
                <w:color w:val="auto"/>
                <w:sz w:val="18"/>
                <w:szCs w:val="18"/>
              </w:rPr>
              <w:t>)</w:t>
            </w:r>
            <w:r>
              <w:rPr>
                <w:rFonts w:ascii="Times New Roman" w:cs="Times New Roman"/>
                <w:color w:val="auto"/>
                <w:sz w:val="18"/>
                <w:szCs w:val="18"/>
              </w:rPr>
              <w:t>口开闭是否灵活；</w:t>
            </w:r>
          </w:p>
          <w:p>
            <w:pPr>
              <w:pStyle w:val="15"/>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夹套顶部放气口开闭是否灵活。</w:t>
            </w:r>
          </w:p>
        </w:tc>
      </w:tr>
      <w:tr>
        <w:trPr>
          <w:trHeight w:val="993"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7.2.2.2.2</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石墨及石墨衬里压力容器检查：</w:t>
            </w:r>
          </w:p>
          <w:p>
            <w:pPr>
              <w:pStyle w:val="15"/>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压力容器外表面防腐漆是否完好，是否有锈蚀、腐蚀现象；</w:t>
            </w:r>
          </w:p>
          <w:p>
            <w:pPr>
              <w:pStyle w:val="15"/>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石墨件外表面是否有腐蚀、破损和开裂现象；</w:t>
            </w:r>
          </w:p>
          <w:p>
            <w:pPr>
              <w:pStyle w:val="15"/>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密封面是否有泄漏。</w:t>
            </w:r>
          </w:p>
        </w:tc>
      </w:tr>
      <w:tr>
        <w:trPr>
          <w:trHeight w:val="1498"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7.2.2.2.3</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纤维增强塑料及纤维增强塑料衬里压力容器检查：</w:t>
            </w:r>
          </w:p>
          <w:p>
            <w:pPr>
              <w:pStyle w:val="15"/>
              <w:numPr>
                <w:ilvl w:val="0"/>
                <w:numId w:val="15"/>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压力容器外表面防腐漆是否完好，是否有腐蚀、损伤、纤维裸露、裂纹或者裂缝、分层、凹坑、划痕、</w:t>
            </w:r>
            <w:r>
              <w:rPr>
                <w:rFonts w:ascii="Times New Roman" w:hAnsi="Times New Roman" w:cs="Times New Roman"/>
                <w:color w:val="auto"/>
                <w:sz w:val="18"/>
                <w:szCs w:val="18"/>
              </w:rPr>
              <w:t xml:space="preserve"> </w:t>
            </w:r>
            <w:r>
              <w:rPr>
                <w:rFonts w:ascii="Times New Roman" w:cs="Times New Roman"/>
                <w:color w:val="auto"/>
                <w:sz w:val="18"/>
                <w:szCs w:val="18"/>
              </w:rPr>
              <w:t>鼓包、变形现象；</w:t>
            </w:r>
          </w:p>
          <w:p>
            <w:pPr>
              <w:pStyle w:val="15"/>
              <w:numPr>
                <w:ilvl w:val="0"/>
                <w:numId w:val="1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管口、支撑件等连接部位是否有开裂、拉脱现象；</w:t>
            </w:r>
          </w:p>
          <w:p>
            <w:pPr>
              <w:pStyle w:val="15"/>
              <w:numPr>
                <w:ilvl w:val="0"/>
                <w:numId w:val="1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支座、爬梯、平台等是否有松动、破坏等影响安全的因素；</w:t>
            </w:r>
          </w:p>
          <w:p>
            <w:pPr>
              <w:pStyle w:val="15"/>
              <w:numPr>
                <w:ilvl w:val="0"/>
                <w:numId w:val="15"/>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紧固件、阀门等零部件是否有腐蚀破坏现象；</w:t>
            </w:r>
          </w:p>
          <w:p>
            <w:pPr>
              <w:pStyle w:val="15"/>
              <w:numPr>
                <w:ilvl w:val="0"/>
                <w:numId w:val="1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密封面是否有泄漏。</w:t>
            </w:r>
          </w:p>
        </w:tc>
      </w:tr>
      <w:tr>
        <w:trPr>
          <w:trHeight w:val="757" w:hRule="atLeas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7.2.2.2.4</w:t>
            </w:r>
          </w:p>
        </w:tc>
        <w:tc>
          <w:tcPr>
            <w:tcW w:w="10962" w:type="dxa"/>
            <w:shd w:val="clear" w:color="auto" w:fill="FFFFFF"/>
            <w:noWrap w:val="0"/>
            <w:vAlign w:val="top"/>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热塑性塑料衬里压力容器检查：</w:t>
            </w:r>
          </w:p>
          <w:p>
            <w:pPr>
              <w:pStyle w:val="15"/>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压力容器外表面防腐漆是否完好，是否有锈蚀、腐蚀现象；</w:t>
            </w:r>
          </w:p>
          <w:p>
            <w:pPr>
              <w:pStyle w:val="15"/>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密封面是否有泄漏。</w:t>
            </w:r>
          </w:p>
        </w:tc>
      </w:tr>
      <w:tr>
        <w:trPr>
          <w:trHeight w:val="321" w:hRule="atLeas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p>
        </w:tc>
        <w:tc>
          <w:tcPr>
            <w:tcW w:w="10962" w:type="dxa"/>
            <w:shd w:val="clear" w:color="auto" w:fill="FFFFFF"/>
            <w:noWrap w:val="0"/>
            <w:vAlign w:val="top"/>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安全附件及仪表检查：</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安全附件的检查包括对安全阀、爆破片装置、安全联锁装置等的检查，仪表的检查包括对压力表、液位计、测温仪表等的检查。</w:t>
            </w:r>
          </w:p>
        </w:tc>
      </w:tr>
      <w:tr>
        <w:trPr>
          <w:trHeight w:val="3694"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7.2.3.1</w:t>
            </w:r>
          </w:p>
        </w:tc>
        <w:tc>
          <w:tcPr>
            <w:tcW w:w="10962"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安全阀：</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检查内容和要求</w:t>
            </w:r>
            <w:r>
              <w:rPr>
                <w:rFonts w:hint="eastAsia" w:ascii="Times New Roman" w:cs="Times New Roman"/>
                <w:color w:val="auto"/>
                <w:sz w:val="18"/>
                <w:szCs w:val="18"/>
                <w:lang w:eastAsia="zh-CN"/>
              </w:rPr>
              <w:t>：</w:t>
            </w:r>
            <w:r>
              <w:rPr>
                <w:rFonts w:ascii="Times New Roman" w:cs="Times New Roman"/>
                <w:color w:val="auto"/>
                <w:sz w:val="18"/>
                <w:szCs w:val="18"/>
              </w:rPr>
              <w:t>安全阀检查至少包括以下内容：</w:t>
            </w:r>
          </w:p>
          <w:p>
            <w:pPr>
              <w:pStyle w:val="15"/>
              <w:numPr>
                <w:ilvl w:val="0"/>
                <w:numId w:val="17"/>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选型是否正确；</w:t>
            </w:r>
          </w:p>
          <w:p>
            <w:pPr>
              <w:pStyle w:val="15"/>
              <w:numPr>
                <w:ilvl w:val="0"/>
                <w:numId w:val="1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是否在校验有效期内使用；</w:t>
            </w:r>
          </w:p>
          <w:p>
            <w:pPr>
              <w:pStyle w:val="15"/>
              <w:numPr>
                <w:ilvl w:val="0"/>
                <w:numId w:val="17"/>
              </w:numPr>
              <w:tabs>
                <w:tab w:val="left" w:pos="312"/>
              </w:tabs>
              <w:snapToGrid w:val="0"/>
              <w:spacing w:line="240" w:lineRule="auto"/>
              <w:rPr>
                <w:rFonts w:hint="eastAsia" w:ascii="Times New Roman" w:hAnsi="Times New Roman" w:cs="Times New Roman"/>
                <w:color w:val="auto"/>
                <w:sz w:val="18"/>
                <w:szCs w:val="18"/>
              </w:rPr>
            </w:pPr>
            <w:r>
              <w:rPr>
                <w:rFonts w:ascii="Times New Roman" w:cs="Times New Roman"/>
                <w:color w:val="auto"/>
                <w:sz w:val="18"/>
                <w:szCs w:val="18"/>
              </w:rPr>
              <w:t>式安全阀的防止重锤自由移动和杠杆越出的装置是否完好，弹簧式安全阀的调整螺钉的铅封装置是否完好</w:t>
            </w:r>
            <w:r>
              <w:rPr>
                <w:rFonts w:ascii="Times New Roman" w:hAnsi="Times New Roman" w:cs="Times New Roman"/>
                <w:color w:val="auto"/>
                <w:sz w:val="18"/>
                <w:szCs w:val="18"/>
              </w:rPr>
              <w:t>,</w:t>
            </w:r>
            <w:r>
              <w:rPr>
                <w:rFonts w:ascii="Times New Roman" w:cs="Times New Roman"/>
                <w:color w:val="auto"/>
                <w:sz w:val="18"/>
                <w:szCs w:val="18"/>
              </w:rPr>
              <w:t>静重式安全阀的防止重片飞脱的装置是否完好；</w:t>
            </w:r>
          </w:p>
          <w:p>
            <w:pPr>
              <w:pStyle w:val="15"/>
              <w:numPr>
                <w:ilvl w:val="0"/>
                <w:numId w:val="1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如果安全阀和排放口之间装设了截止阀，截止阀是否处于全开位置及铅封是否完好；</w:t>
            </w:r>
          </w:p>
          <w:p>
            <w:pPr>
              <w:pStyle w:val="15"/>
              <w:numPr>
                <w:ilvl w:val="0"/>
                <w:numId w:val="1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安全阀是否泄漏；</w:t>
            </w:r>
          </w:p>
          <w:p>
            <w:pPr>
              <w:pStyle w:val="15"/>
              <w:numPr>
                <w:ilvl w:val="0"/>
                <w:numId w:val="1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放空管是否通畅，防雨帽是否完好。</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检查结果处理</w:t>
            </w:r>
            <w:r>
              <w:rPr>
                <w:rFonts w:hint="eastAsia" w:ascii="Times New Roman" w:cs="Times New Roman"/>
                <w:color w:val="auto"/>
                <w:sz w:val="18"/>
                <w:szCs w:val="18"/>
                <w:lang w:eastAsia="zh-CN"/>
              </w:rPr>
              <w:t>：</w:t>
            </w:r>
            <w:r>
              <w:rPr>
                <w:rFonts w:ascii="Times New Roman" w:cs="Times New Roman"/>
                <w:color w:val="auto"/>
                <w:sz w:val="18"/>
                <w:szCs w:val="18"/>
              </w:rPr>
              <w:t>安全阀检查时，凡发现以下情况之一的，使用单位应当限期改正并且采取有效措施确保改正期间的安全，否则暂停该压力容器使用：</w:t>
            </w:r>
          </w:p>
          <w:p>
            <w:pPr>
              <w:pStyle w:val="15"/>
              <w:numPr>
                <w:ilvl w:val="0"/>
                <w:numId w:val="18"/>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选型错误的；</w:t>
            </w:r>
          </w:p>
          <w:p>
            <w:pPr>
              <w:pStyle w:val="15"/>
              <w:numPr>
                <w:ilvl w:val="0"/>
                <w:numId w:val="18"/>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超过校验有效期的；</w:t>
            </w:r>
          </w:p>
          <w:p>
            <w:pPr>
              <w:pStyle w:val="15"/>
              <w:numPr>
                <w:ilvl w:val="0"/>
                <w:numId w:val="18"/>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铅封损坏的；</w:t>
            </w:r>
          </w:p>
          <w:p>
            <w:pPr>
              <w:pStyle w:val="15"/>
              <w:numPr>
                <w:ilvl w:val="0"/>
                <w:numId w:val="18"/>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安全阀泄漏的。</w:t>
            </w:r>
          </w:p>
        </w:tc>
      </w:tr>
    </w:tbl>
    <w:p>
      <w:pPr>
        <w:snapToGrid w:val="0"/>
        <w:rPr>
          <w:rFonts w:eastAsia="宋体"/>
          <w:color w:val="auto"/>
          <w:sz w:val="18"/>
          <w:szCs w:val="18"/>
          <w:lang w:eastAsia="zh-CN"/>
        </w:rPr>
      </w:pPr>
    </w:p>
    <w:tbl>
      <w:tblPr>
        <w:tblStyle w:val="8"/>
        <w:tblpPr/>
        <w:tblOverlap w:val="never"/>
        <w:tblW w:w="15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851"/>
        <w:gridCol w:w="1134"/>
        <w:gridCol w:w="850"/>
        <w:gridCol w:w="10679"/>
      </w:tblGrid>
      <w:tr>
        <w:trPr>
          <w:trHeight w:val="370" w:hRule="exact"/>
          <w:jc w:val="center"/>
        </w:trPr>
        <w:tc>
          <w:tcPr>
            <w:tcW w:w="785" w:type="dxa"/>
            <w:vMerge w:val="restart"/>
            <w:shd w:val="clear" w:color="auto" w:fill="FFFFFF"/>
            <w:noWrap w:val="0"/>
            <w:vAlign w:val="center"/>
          </w:tcPr>
          <w:p>
            <w:pPr>
              <w:pStyle w:val="15"/>
              <w:snapToGrid w:val="0"/>
              <w:spacing w:line="240" w:lineRule="auto"/>
              <w:jc w:val="both"/>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85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1984"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1067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3" w:hRule="exact"/>
          <w:jc w:val="center"/>
        </w:trPr>
        <w:tc>
          <w:tcPr>
            <w:tcW w:w="785" w:type="dxa"/>
            <w:vMerge w:val="continue"/>
            <w:shd w:val="clear" w:color="auto" w:fill="FFFFFF"/>
            <w:noWrap w:val="0"/>
            <w:vAlign w:val="center"/>
          </w:tcPr>
          <w:p>
            <w:pPr>
              <w:snapToGrid w:val="0"/>
              <w:rPr>
                <w:color w:val="auto"/>
                <w:sz w:val="18"/>
                <w:szCs w:val="18"/>
              </w:rPr>
            </w:pPr>
          </w:p>
        </w:tc>
        <w:tc>
          <w:tcPr>
            <w:tcW w:w="709"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snapToGrid w:val="0"/>
              <w:rPr>
                <w:color w:val="auto"/>
                <w:sz w:val="18"/>
                <w:szCs w:val="18"/>
              </w:rPr>
            </w:pP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10679" w:type="dxa"/>
            <w:vMerge w:val="continue"/>
            <w:shd w:val="clear" w:color="auto" w:fill="FFFFFF"/>
            <w:noWrap w:val="0"/>
            <w:vAlign w:val="center"/>
          </w:tcPr>
          <w:p>
            <w:pPr>
              <w:snapToGrid w:val="0"/>
              <w:rPr>
                <w:color w:val="auto"/>
                <w:sz w:val="18"/>
                <w:szCs w:val="18"/>
              </w:rPr>
            </w:pPr>
          </w:p>
        </w:tc>
      </w:tr>
      <w:tr>
        <w:trPr>
          <w:trHeight w:val="1467" w:hRule="exact"/>
          <w:jc w:val="center"/>
        </w:trPr>
        <w:tc>
          <w:tcPr>
            <w:tcW w:w="78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容器作业人员或有资格的检验人员</w:t>
            </w:r>
          </w:p>
        </w:tc>
        <w:tc>
          <w:tcPr>
            <w:tcW w:w="8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w:t>
            </w:r>
          </w:p>
        </w:tc>
        <w:tc>
          <w:tcPr>
            <w:tcW w:w="1134"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固定式压力容器安全技术监察规程</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eastAsia="zh-CN" w:bidi="en-US"/>
              </w:rPr>
              <w:t>(TSG 21-2016)</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7.2.3.1</w:t>
            </w:r>
          </w:p>
        </w:tc>
        <w:tc>
          <w:tcPr>
            <w:tcW w:w="10679"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3</w:t>
            </w:r>
            <w:r>
              <w:rPr>
                <w:rFonts w:ascii="Times New Roman" w:cs="Times New Roman"/>
                <w:color w:val="auto"/>
                <w:sz w:val="18"/>
                <w:szCs w:val="18"/>
              </w:rPr>
              <w:t>安全阀校验周期基本要求</w:t>
            </w:r>
            <w:r>
              <w:rPr>
                <w:rFonts w:hint="eastAsia" w:ascii="Times New Roman" w:cs="Times New Roman"/>
                <w:color w:val="auto"/>
                <w:sz w:val="18"/>
                <w:szCs w:val="18"/>
                <w:lang w:eastAsia="zh-CN"/>
              </w:rPr>
              <w:t>：</w:t>
            </w:r>
            <w:r>
              <w:rPr>
                <w:rFonts w:ascii="Times New Roman" w:cs="Times New Roman"/>
                <w:color w:val="auto"/>
                <w:sz w:val="18"/>
                <w:szCs w:val="18"/>
              </w:rPr>
              <w:t>安全阀一般每年至少校验一次，符合</w:t>
            </w:r>
            <w:r>
              <w:rPr>
                <w:rFonts w:ascii="Times New Roman" w:hAnsi="Times New Roman" w:eastAsia="Times New Roman" w:cs="Times New Roman"/>
                <w:color w:val="auto"/>
                <w:sz w:val="18"/>
                <w:szCs w:val="18"/>
                <w:lang w:val="en-US" w:eastAsia="zh-CN" w:bidi="en-US"/>
              </w:rPr>
              <w:t>(TSG 21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2016)7.2.3.1.3.2</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7.2.3.1.3.3</w:t>
            </w:r>
            <w:r>
              <w:rPr>
                <w:rFonts w:ascii="Times New Roman" w:cs="Times New Roman"/>
                <w:color w:val="auto"/>
                <w:sz w:val="18"/>
                <w:szCs w:val="18"/>
              </w:rPr>
              <w:t>校验周期延长的特殊要</w:t>
            </w:r>
            <w:r>
              <w:rPr>
                <w:rFonts w:ascii="Times New Roman" w:hAnsi="Times New Roman" w:cs="Times New Roman"/>
                <w:color w:val="auto"/>
                <w:sz w:val="18"/>
                <w:szCs w:val="18"/>
              </w:rPr>
              <w:t xml:space="preserve"> </w:t>
            </w:r>
            <w:r>
              <w:rPr>
                <w:rFonts w:ascii="Times New Roman" w:cs="Times New Roman"/>
                <w:color w:val="auto"/>
                <w:sz w:val="18"/>
                <w:szCs w:val="18"/>
              </w:rPr>
              <w:t>求，经过使用单位技术负责人批准可以按照其要求适当延长校验周期。凡是校验周期延长的安全阀，使用单位应当将延期校验情况书面告知办理压力容器《特种设备使用登记证》的机关。</w:t>
            </w:r>
          </w:p>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4</w:t>
            </w:r>
            <w:r>
              <w:rPr>
                <w:rFonts w:ascii="Times New Roman" w:cs="Times New Roman"/>
                <w:color w:val="auto"/>
                <w:sz w:val="18"/>
                <w:szCs w:val="18"/>
              </w:rPr>
              <w:t>现场校验和调整</w:t>
            </w:r>
            <w:r>
              <w:rPr>
                <w:rFonts w:hint="eastAsia" w:ascii="Times New Roman" w:cs="Times New Roman"/>
                <w:color w:val="auto"/>
                <w:sz w:val="18"/>
                <w:szCs w:val="18"/>
                <w:lang w:eastAsia="zh-CN"/>
              </w:rPr>
              <w:t>：</w:t>
            </w:r>
            <w:r>
              <w:rPr>
                <w:rFonts w:ascii="Times New Roman" w:cs="Times New Roman"/>
                <w:color w:val="auto"/>
                <w:sz w:val="18"/>
                <w:szCs w:val="18"/>
              </w:rPr>
              <w:t>安全阀需要进行现场校验</w:t>
            </w:r>
            <w:r>
              <w:rPr>
                <w:rFonts w:ascii="Times New Roman" w:hAnsi="Times New Roman" w:cs="Times New Roman"/>
                <w:color w:val="auto"/>
                <w:sz w:val="18"/>
                <w:szCs w:val="18"/>
              </w:rPr>
              <w:t>(</w:t>
            </w:r>
            <w:r>
              <w:rPr>
                <w:rFonts w:ascii="Times New Roman" w:cs="Times New Roman"/>
                <w:color w:val="auto"/>
                <w:sz w:val="18"/>
                <w:szCs w:val="18"/>
              </w:rPr>
              <w:t>在线校验</w:t>
            </w:r>
            <w:r>
              <w:rPr>
                <w:rFonts w:ascii="Times New Roman" w:hAnsi="Times New Roman" w:cs="Times New Roman"/>
                <w:color w:val="auto"/>
                <w:sz w:val="18"/>
                <w:szCs w:val="18"/>
              </w:rPr>
              <w:t>)</w:t>
            </w:r>
            <w:r>
              <w:rPr>
                <w:rFonts w:ascii="Times New Roman" w:cs="Times New Roman"/>
                <w:color w:val="auto"/>
                <w:sz w:val="18"/>
                <w:szCs w:val="18"/>
              </w:rPr>
              <w:t>和压力调整时，使用单位压力容器安全管理人员和安全阀修理</w:t>
            </w:r>
            <w:r>
              <w:rPr>
                <w:rFonts w:ascii="Times New Roman" w:hAnsi="Times New Roman" w:cs="Times New Roman"/>
                <w:color w:val="auto"/>
                <w:sz w:val="18"/>
                <w:szCs w:val="18"/>
              </w:rPr>
              <w:t xml:space="preserve"> </w:t>
            </w:r>
            <w:r>
              <w:rPr>
                <w:rFonts w:ascii="Times New Roman" w:cs="Times New Roman"/>
                <w:color w:val="auto"/>
                <w:sz w:val="18"/>
                <w:szCs w:val="18"/>
              </w:rPr>
              <w:t>作业</w:t>
            </w:r>
            <w:r>
              <w:rPr>
                <w:rFonts w:ascii="Times New Roman" w:hAnsi="Times New Roman" w:cs="Times New Roman"/>
                <w:color w:val="auto"/>
                <w:sz w:val="18"/>
                <w:szCs w:val="18"/>
              </w:rPr>
              <w:t>(</w:t>
            </w:r>
            <w:r>
              <w:rPr>
                <w:rFonts w:ascii="Times New Roman" w:cs="Times New Roman"/>
                <w:color w:val="auto"/>
                <w:sz w:val="18"/>
                <w:szCs w:val="18"/>
              </w:rPr>
              <w:t>校验</w:t>
            </w:r>
            <w:r>
              <w:rPr>
                <w:rFonts w:ascii="Times New Roman" w:hAnsi="Times New Roman" w:cs="Times New Roman"/>
                <w:color w:val="auto"/>
                <w:sz w:val="18"/>
                <w:szCs w:val="18"/>
              </w:rPr>
              <w:t>)</w:t>
            </w:r>
            <w:r>
              <w:rPr>
                <w:rFonts w:ascii="Times New Roman" w:cs="Times New Roman"/>
                <w:color w:val="auto"/>
                <w:sz w:val="18"/>
                <w:szCs w:val="18"/>
              </w:rPr>
              <w:t>人员应当到场确认。调校合格的安全阀应当加铅封。校验及调整装置用压力表的精度应当不低于</w:t>
            </w:r>
            <w:r>
              <w:rPr>
                <w:rFonts w:ascii="Times New Roman" w:hAnsi="Times New Roman" w:eastAsia="Times New Roman" w:cs="Times New Roman"/>
                <w:color w:val="auto"/>
                <w:sz w:val="18"/>
                <w:szCs w:val="18"/>
              </w:rPr>
              <w:t>1</w:t>
            </w:r>
            <w:r>
              <w:rPr>
                <w:rFonts w:ascii="Times New Roman" w:cs="Times New Roman"/>
                <w:color w:val="auto"/>
                <w:sz w:val="18"/>
                <w:szCs w:val="18"/>
              </w:rPr>
              <w:t>级。在校验和调整时，应当有可靠的安全防护措施。</w:t>
            </w:r>
          </w:p>
        </w:tc>
      </w:tr>
      <w:tr>
        <w:trPr>
          <w:trHeight w:val="5103"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2</w:t>
            </w:r>
          </w:p>
        </w:tc>
        <w:tc>
          <w:tcPr>
            <w:tcW w:w="10679" w:type="dxa"/>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爆破片装置：</w:t>
            </w:r>
          </w:p>
          <w:p>
            <w:pPr>
              <w:pStyle w:val="15"/>
              <w:snapToGrid w:val="0"/>
              <w:spacing w:line="240" w:lineRule="auto"/>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检查内容和要求</w:t>
            </w:r>
            <w:r>
              <w:rPr>
                <w:rFonts w:hint="eastAsia" w:ascii="Times New Roman" w:cs="Times New Roman"/>
                <w:color w:val="auto"/>
                <w:sz w:val="18"/>
                <w:szCs w:val="18"/>
                <w:lang w:eastAsia="zh-CN"/>
              </w:rPr>
              <w:t>：</w:t>
            </w:r>
            <w:r>
              <w:rPr>
                <w:rFonts w:ascii="Times New Roman" w:cs="Times New Roman"/>
                <w:color w:val="auto"/>
                <w:sz w:val="18"/>
                <w:szCs w:val="18"/>
              </w:rPr>
              <w:t>爆破片装置的检查至少包括以下内容：</w:t>
            </w:r>
          </w:p>
          <w:p>
            <w:pPr>
              <w:pStyle w:val="15"/>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爆破片是否超过产品说明书规定的使用期限；</w:t>
            </w:r>
          </w:p>
          <w:p>
            <w:pPr>
              <w:pStyle w:val="15"/>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爆破片的安装方向是否正确，产品铭牌上的爆破压力和温度是否符合运行要求；</w:t>
            </w:r>
          </w:p>
          <w:p>
            <w:pPr>
              <w:pStyle w:val="15"/>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爆破片装置有无渗漏；</w:t>
            </w:r>
          </w:p>
          <w:p>
            <w:pPr>
              <w:pStyle w:val="15"/>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爆破片使用过程中是否存在未超压爆破或者超压未爆破的情况；</w:t>
            </w:r>
          </w:p>
          <w:p>
            <w:pPr>
              <w:pStyle w:val="15"/>
              <w:numPr>
                <w:ilvl w:val="0"/>
                <w:numId w:val="19"/>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与爆破片夹持器相连的放空管是否通畅，放空管内是否存水</w:t>
            </w:r>
            <w:r>
              <w:rPr>
                <w:rFonts w:ascii="Times New Roman" w:hAnsi="Times New Roman" w:cs="Times New Roman"/>
                <w:color w:val="auto"/>
                <w:sz w:val="18"/>
                <w:szCs w:val="18"/>
              </w:rPr>
              <w:t>(</w:t>
            </w:r>
            <w:r>
              <w:rPr>
                <w:rFonts w:ascii="Times New Roman" w:cs="Times New Roman"/>
                <w:color w:val="auto"/>
                <w:sz w:val="18"/>
                <w:szCs w:val="18"/>
              </w:rPr>
              <w:t>或者冰</w:t>
            </w:r>
            <w:r>
              <w:rPr>
                <w:rFonts w:ascii="Times New Roman" w:hAnsi="Times New Roman" w:cs="Times New Roman"/>
                <w:color w:val="auto"/>
                <w:sz w:val="18"/>
                <w:szCs w:val="18"/>
              </w:rPr>
              <w:t>)</w:t>
            </w:r>
            <w:r>
              <w:rPr>
                <w:rFonts w:ascii="Times New Roman" w:cs="Times New Roman"/>
                <w:color w:val="auto"/>
                <w:sz w:val="18"/>
                <w:szCs w:val="18"/>
              </w:rPr>
              <w:t>，防水帽、防雨片是否完好；</w:t>
            </w:r>
          </w:p>
          <w:p>
            <w:pPr>
              <w:pStyle w:val="15"/>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爆破片单独作泄压装置，检查爆破片和容器间装设的截止阀是否处于全开状态，铅封是否完好；</w:t>
            </w:r>
          </w:p>
          <w:p>
            <w:pPr>
              <w:pStyle w:val="15"/>
              <w:numPr>
                <w:ilvl w:val="0"/>
                <w:numId w:val="19"/>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爆破片和安全阀串联使用，如果爆破片装在安全阀的进口侧，检查爆破片和安全阀之间装设的压力表有无压力显示，打开截止阀检查有无气体排出；</w:t>
            </w:r>
          </w:p>
          <w:p>
            <w:pPr>
              <w:pStyle w:val="15"/>
              <w:numPr>
                <w:ilvl w:val="0"/>
                <w:numId w:val="19"/>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爆破片和安全阀串联使用，如果爆破片装在安全阀的出口侧，检查爆破片和安全阀之间装设的压力表有无压力显示，如果有压力显示应当打开截止阀，检查能否顺利疏水、排气；</w:t>
            </w:r>
          </w:p>
          <w:p>
            <w:pPr>
              <w:pStyle w:val="15"/>
              <w:numPr>
                <w:ilvl w:val="0"/>
                <w:numId w:val="19"/>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爆破片和安全阀并联使用时，检查爆破片与容器间装设的截止阀是否处于全开状态，铅封是否完好。</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检查结果处理</w:t>
            </w:r>
            <w:r>
              <w:rPr>
                <w:rFonts w:hint="eastAsia" w:ascii="Times New Roman" w:cs="Times New Roman"/>
                <w:color w:val="auto"/>
                <w:sz w:val="18"/>
                <w:szCs w:val="18"/>
                <w:lang w:eastAsia="zh-CN"/>
              </w:rPr>
              <w:t>：</w:t>
            </w:r>
            <w:r>
              <w:rPr>
                <w:rFonts w:ascii="Times New Roman" w:cs="Times New Roman"/>
                <w:color w:val="auto"/>
                <w:sz w:val="18"/>
                <w:szCs w:val="18"/>
              </w:rPr>
              <w:t>爆破片装置检查时，凡发现以下情况之一的，使用单位应当限期更换爆破片装置并且采取有效措施确保更换期间的安全，否则暂停该压力容器使用：</w:t>
            </w:r>
          </w:p>
          <w:p>
            <w:pPr>
              <w:pStyle w:val="15"/>
              <w:numPr>
                <w:ilvl w:val="0"/>
                <w:numId w:val="20"/>
              </w:numPr>
              <w:tabs>
                <w:tab w:val="left" w:pos="326"/>
              </w:tabs>
              <w:snapToGrid w:val="0"/>
              <w:spacing w:line="240" w:lineRule="auto"/>
              <w:rPr>
                <w:rFonts w:hint="eastAsia" w:ascii="Times New Roman" w:hAnsi="Times New Roman" w:cs="Times New Roman"/>
                <w:color w:val="auto"/>
                <w:sz w:val="18"/>
                <w:szCs w:val="18"/>
              </w:rPr>
            </w:pPr>
            <w:r>
              <w:rPr>
                <w:rFonts w:ascii="Times New Roman" w:cs="Times New Roman"/>
                <w:color w:val="auto"/>
                <w:sz w:val="18"/>
                <w:szCs w:val="18"/>
              </w:rPr>
              <w:t>爆破片超过规定使用期限的；</w:t>
            </w:r>
          </w:p>
          <w:p>
            <w:pPr>
              <w:pStyle w:val="15"/>
              <w:numPr>
                <w:ilvl w:val="0"/>
                <w:numId w:val="20"/>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爆破片安装方向错误的；</w:t>
            </w:r>
          </w:p>
          <w:p>
            <w:pPr>
              <w:pStyle w:val="15"/>
              <w:numPr>
                <w:ilvl w:val="0"/>
                <w:numId w:val="20"/>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爆破片标定的爆破压力、温度和运行要求不符的；</w:t>
            </w:r>
          </w:p>
          <w:p>
            <w:pPr>
              <w:pStyle w:val="15"/>
              <w:numPr>
                <w:ilvl w:val="0"/>
                <w:numId w:val="21"/>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爆破片使用中超过标定爆破压力而未爆破的；</w:t>
            </w:r>
          </w:p>
          <w:p>
            <w:pPr>
              <w:pStyle w:val="15"/>
              <w:numPr>
                <w:ilvl w:val="0"/>
                <w:numId w:val="21"/>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爆破片和安全阀串联使用时，爆破片和安全阀之间的压力表有压力显示或者截止阀打开后有气体漏出的；</w:t>
            </w:r>
          </w:p>
          <w:p>
            <w:pPr>
              <w:pStyle w:val="15"/>
              <w:numPr>
                <w:ilvl w:val="0"/>
                <w:numId w:val="21"/>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爆破片单独作泄压装置或者爆破片与安全阀并联使用时，爆破片和容器间的截止阀未处于全开状态或者铅封损坏的；</w:t>
            </w:r>
          </w:p>
          <w:p>
            <w:pPr>
              <w:pStyle w:val="15"/>
              <w:numPr>
                <w:ilvl w:val="0"/>
                <w:numId w:val="20"/>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爆破片装置泄漏的。</w:t>
            </w:r>
          </w:p>
        </w:tc>
      </w:tr>
      <w:tr>
        <w:trPr>
          <w:trHeight w:val="427"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3</w:t>
            </w:r>
          </w:p>
        </w:tc>
        <w:tc>
          <w:tcPr>
            <w:tcW w:w="10679"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安全联锁装置：</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检查快开门式压力容器的安全联锁装置是否完好，功能是否符合要求。</w:t>
            </w:r>
          </w:p>
        </w:tc>
      </w:tr>
      <w:tr>
        <w:trPr>
          <w:trHeight w:val="1707"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4</w:t>
            </w:r>
          </w:p>
        </w:tc>
        <w:tc>
          <w:tcPr>
            <w:tcW w:w="10679"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压力表：</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检查内容和要求</w:t>
            </w:r>
            <w:r>
              <w:rPr>
                <w:rFonts w:hint="eastAsia" w:ascii="Times New Roman" w:cs="Times New Roman"/>
                <w:color w:val="auto"/>
                <w:sz w:val="18"/>
                <w:szCs w:val="18"/>
                <w:lang w:eastAsia="zh-CN"/>
              </w:rPr>
              <w:t>：</w:t>
            </w:r>
            <w:r>
              <w:rPr>
                <w:rFonts w:ascii="Times New Roman" w:cs="Times New Roman"/>
                <w:color w:val="auto"/>
                <w:sz w:val="18"/>
                <w:szCs w:val="18"/>
              </w:rPr>
              <w:t>压力表的检查至少包括以下内容：</w:t>
            </w:r>
          </w:p>
          <w:p>
            <w:pPr>
              <w:pStyle w:val="15"/>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压力表的选型是否符合要求；</w:t>
            </w:r>
          </w:p>
          <w:p>
            <w:pPr>
              <w:pStyle w:val="15"/>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压力表的定期检修维护、检定有效期及其封签是否符合规定；</w:t>
            </w:r>
          </w:p>
          <w:p>
            <w:pPr>
              <w:pStyle w:val="15"/>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压力表外观、精度等级、量程是否符合要求；</w:t>
            </w:r>
          </w:p>
          <w:p>
            <w:pPr>
              <w:pStyle w:val="15"/>
              <w:numPr>
                <w:ilvl w:val="0"/>
                <w:numId w:val="22"/>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在压力表和压力容器之间装设三通旋塞或者针形阀时，其位置、开启标记及其锁紧装置是否符合规定；</w:t>
            </w:r>
          </w:p>
          <w:p>
            <w:pPr>
              <w:pStyle w:val="15"/>
              <w:numPr>
                <w:ilvl w:val="0"/>
                <w:numId w:val="22"/>
              </w:numPr>
              <w:tabs>
                <w:tab w:val="left" w:pos="331"/>
              </w:tabs>
              <w:snapToGrid w:val="0"/>
              <w:spacing w:line="240" w:lineRule="auto"/>
              <w:rPr>
                <w:rFonts w:ascii="Times New Roman" w:cs="Times New Roman"/>
                <w:color w:val="auto"/>
                <w:sz w:val="18"/>
                <w:szCs w:val="18"/>
              </w:rPr>
            </w:pPr>
            <w:r>
              <w:rPr>
                <w:rFonts w:ascii="Times New Roman" w:cs="Times New Roman"/>
                <w:color w:val="auto"/>
                <w:sz w:val="18"/>
                <w:szCs w:val="18"/>
              </w:rPr>
              <w:t>同一系统上各压力表的读数是否一致。</w:t>
            </w:r>
          </w:p>
        </w:tc>
      </w:tr>
    </w:tbl>
    <w:p>
      <w:pPr>
        <w:snapToGrid w:val="0"/>
        <w:rPr>
          <w:rFonts w:eastAsia="宋体"/>
          <w:color w:val="auto"/>
          <w:sz w:val="18"/>
          <w:szCs w:val="18"/>
          <w:lang w:eastAsia="zh-CN"/>
        </w:rPr>
      </w:pPr>
    </w:p>
    <w:tbl>
      <w:tblPr>
        <w:tblStyle w:val="8"/>
        <w:tblpPr/>
        <w:tblOverlap w:val="never"/>
        <w:tblW w:w="15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851"/>
        <w:gridCol w:w="1134"/>
        <w:gridCol w:w="850"/>
        <w:gridCol w:w="10679"/>
      </w:tblGrid>
      <w:tr>
        <w:trPr>
          <w:trHeight w:val="370" w:hRule="exact"/>
          <w:jc w:val="center"/>
        </w:trPr>
        <w:tc>
          <w:tcPr>
            <w:tcW w:w="785" w:type="dxa"/>
            <w:vMerge w:val="restart"/>
            <w:shd w:val="clear" w:color="auto" w:fill="FFFFFF"/>
            <w:noWrap w:val="0"/>
            <w:vAlign w:val="center"/>
          </w:tcPr>
          <w:p>
            <w:pPr>
              <w:pStyle w:val="15"/>
              <w:snapToGrid w:val="0"/>
              <w:spacing w:line="240" w:lineRule="auto"/>
              <w:jc w:val="both"/>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85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1984"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1067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33" w:hRule="exact"/>
          <w:jc w:val="center"/>
        </w:trPr>
        <w:tc>
          <w:tcPr>
            <w:tcW w:w="785" w:type="dxa"/>
            <w:vMerge w:val="continue"/>
            <w:shd w:val="clear" w:color="auto" w:fill="FFFFFF"/>
            <w:noWrap w:val="0"/>
            <w:vAlign w:val="center"/>
          </w:tcPr>
          <w:p>
            <w:pPr>
              <w:snapToGrid w:val="0"/>
              <w:rPr>
                <w:color w:val="auto"/>
                <w:sz w:val="18"/>
                <w:szCs w:val="18"/>
              </w:rPr>
            </w:pPr>
          </w:p>
        </w:tc>
        <w:tc>
          <w:tcPr>
            <w:tcW w:w="709"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snapToGrid w:val="0"/>
              <w:rPr>
                <w:color w:val="auto"/>
                <w:sz w:val="18"/>
                <w:szCs w:val="18"/>
              </w:rPr>
            </w:pP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法规标准</w:t>
            </w:r>
          </w:p>
        </w:tc>
        <w:tc>
          <w:tcPr>
            <w:tcW w:w="85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10679" w:type="dxa"/>
            <w:vMerge w:val="continue"/>
            <w:shd w:val="clear" w:color="auto" w:fill="FFFFFF"/>
            <w:noWrap w:val="0"/>
            <w:vAlign w:val="center"/>
          </w:tcPr>
          <w:p>
            <w:pPr>
              <w:snapToGrid w:val="0"/>
              <w:rPr>
                <w:color w:val="auto"/>
                <w:sz w:val="18"/>
                <w:szCs w:val="18"/>
              </w:rPr>
            </w:pPr>
          </w:p>
        </w:tc>
      </w:tr>
      <w:tr>
        <w:trPr>
          <w:trHeight w:val="1872" w:hRule="atLeast"/>
          <w:jc w:val="center"/>
        </w:trPr>
        <w:tc>
          <w:tcPr>
            <w:tcW w:w="78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容器作业人员或有资格的检验人员</w:t>
            </w:r>
          </w:p>
        </w:tc>
        <w:tc>
          <w:tcPr>
            <w:tcW w:w="8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w:t>
            </w:r>
          </w:p>
        </w:tc>
        <w:tc>
          <w:tcPr>
            <w:tcW w:w="1134"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固定式压力容器安全技术监察规程</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val="en-US" w:eastAsia="zh-CN" w:bidi="en-US"/>
              </w:rPr>
              <w:t>(TSG 21-2016)</w:t>
            </w:r>
          </w:p>
        </w:tc>
        <w:tc>
          <w:tcPr>
            <w:tcW w:w="850"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4</w:t>
            </w:r>
          </w:p>
        </w:tc>
        <w:tc>
          <w:tcPr>
            <w:tcW w:w="10679"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检查结果处理</w:t>
            </w:r>
            <w:r>
              <w:rPr>
                <w:rFonts w:hint="eastAsia" w:ascii="Times New Roman" w:cs="Times New Roman"/>
                <w:color w:val="auto"/>
                <w:sz w:val="18"/>
                <w:szCs w:val="18"/>
                <w:lang w:eastAsia="zh-CN"/>
              </w:rPr>
              <w:t>：</w:t>
            </w:r>
            <w:r>
              <w:rPr>
                <w:rFonts w:ascii="Times New Roman" w:cs="Times New Roman"/>
                <w:color w:val="auto"/>
                <w:sz w:val="18"/>
                <w:szCs w:val="18"/>
              </w:rPr>
              <w:t>压力表检查时，发现以下情况之一的，使用单位应当限期改正并且采取有效措施确保改正期间的安全运行，否则应当暂停该压力容器使用：</w:t>
            </w:r>
          </w:p>
          <w:p>
            <w:pPr>
              <w:pStyle w:val="15"/>
              <w:numPr>
                <w:ilvl w:val="0"/>
                <w:numId w:val="23"/>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选型错误的；</w:t>
            </w:r>
          </w:p>
          <w:p>
            <w:pPr>
              <w:pStyle w:val="15"/>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表盘封面玻璃破裂或者表盘刻度模糊不清的；</w:t>
            </w:r>
          </w:p>
          <w:p>
            <w:pPr>
              <w:pStyle w:val="15"/>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封签损坏或者超过检定有效期限的；</w:t>
            </w:r>
          </w:p>
          <w:p>
            <w:pPr>
              <w:pStyle w:val="15"/>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表内弹簧管泄漏或者压力表指针松动的；</w:t>
            </w:r>
          </w:p>
          <w:p>
            <w:pPr>
              <w:pStyle w:val="15"/>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指针扭曲断裂或者外壳腐蚀严重的；</w:t>
            </w:r>
          </w:p>
          <w:p>
            <w:pPr>
              <w:pStyle w:val="15"/>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三通旋塞或者针形阀开启标记不清或者锁紧装置损坏的。</w:t>
            </w:r>
          </w:p>
        </w:tc>
      </w:tr>
      <w:tr>
        <w:trPr>
          <w:trHeight w:val="3463"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7.2.3.5</w:t>
            </w:r>
          </w:p>
        </w:tc>
        <w:tc>
          <w:tcPr>
            <w:tcW w:w="10679" w:type="dxa"/>
            <w:shd w:val="clear" w:color="auto" w:fill="FFFFFF"/>
            <w:noWrap w:val="0"/>
            <w:vAlign w:val="top"/>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液位计：</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检查内容和要求</w:t>
            </w:r>
            <w:r>
              <w:rPr>
                <w:rFonts w:hint="eastAsia" w:ascii="Times New Roman" w:cs="Times New Roman"/>
                <w:color w:val="auto"/>
                <w:sz w:val="18"/>
                <w:szCs w:val="18"/>
                <w:lang w:eastAsia="zh-CN"/>
              </w:rPr>
              <w:t>：</w:t>
            </w:r>
            <w:r>
              <w:rPr>
                <w:rFonts w:ascii="Times New Roman" w:cs="Times New Roman"/>
                <w:color w:val="auto"/>
                <w:sz w:val="18"/>
                <w:szCs w:val="18"/>
              </w:rPr>
              <w:t>液位计的检查至少包括以下内容：</w:t>
            </w:r>
          </w:p>
          <w:p>
            <w:pPr>
              <w:pStyle w:val="15"/>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液位计的定期检修维护是否符合规定；</w:t>
            </w:r>
          </w:p>
          <w:p>
            <w:pPr>
              <w:pStyle w:val="15"/>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液位计外观及其附件是否符合规定；</w:t>
            </w:r>
          </w:p>
          <w:p>
            <w:pPr>
              <w:pStyle w:val="15"/>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寒冷地区室外使用或者盛装</w:t>
            </w:r>
            <w:r>
              <w:rPr>
                <w:rFonts w:ascii="Times New Roman" w:hAnsi="Times New Roman" w:eastAsia="Times New Roman" w:cs="Times New Roman"/>
                <w:color w:val="auto"/>
                <w:sz w:val="18"/>
                <w:szCs w:val="18"/>
              </w:rPr>
              <w:t xml:space="preserve">0 </w:t>
            </w:r>
            <w:r>
              <w:rPr>
                <w:rFonts w:ascii="Times New Roman" w:hAnsi="Times New Roman" w:eastAsia="Times New Roman" w:cs="Times New Roman"/>
                <w:color w:val="auto"/>
                <w:sz w:val="18"/>
                <w:szCs w:val="18"/>
                <w:lang w:val="en-US" w:eastAsia="zh-CN" w:bidi="en-US"/>
              </w:rPr>
              <w:t>°C</w:t>
            </w:r>
            <w:r>
              <w:rPr>
                <w:rFonts w:ascii="Times New Roman" w:cs="Times New Roman"/>
                <w:color w:val="auto"/>
                <w:sz w:val="18"/>
                <w:szCs w:val="18"/>
              </w:rPr>
              <w:t>以下介质的液位计选型是否符合规定；</w:t>
            </w:r>
          </w:p>
          <w:p>
            <w:pPr>
              <w:pStyle w:val="15"/>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用于易爆、毒性程度为极度或者高度危害介质的液化气体压力容器时，液位计的防止泄漏保护装置是否符合规定。</w:t>
            </w:r>
          </w:p>
          <w:p>
            <w:pPr>
              <w:pStyle w:val="15"/>
              <w:snapToGrid w:val="0"/>
              <w:spacing w:line="240" w:lineRule="auto"/>
              <w:rPr>
                <w:rFonts w:hint="eastAsia" w:ascii="Times New Roman" w:cs="Times New Roman"/>
                <w:color w:val="auto"/>
                <w:sz w:val="18"/>
                <w:szCs w:val="18"/>
                <w:lang w:eastAsia="zh-CN"/>
              </w:rPr>
            </w:pPr>
            <w:r>
              <w:rPr>
                <w:rFonts w:ascii="Times New Roman" w:hAnsi="Times New Roman" w:eastAsia="Times New Roman" w:cs="Times New Roman"/>
                <w:color w:val="auto"/>
                <w:sz w:val="18"/>
                <w:szCs w:val="18"/>
              </w:rPr>
              <w:t>2</w:t>
            </w:r>
            <w:r>
              <w:rPr>
                <w:rFonts w:ascii="Times New Roman" w:cs="Times New Roman"/>
                <w:color w:val="auto"/>
                <w:sz w:val="18"/>
                <w:szCs w:val="18"/>
              </w:rPr>
              <w:t>检查结果处理</w:t>
            </w:r>
            <w:r>
              <w:rPr>
                <w:rFonts w:hint="eastAsia" w:ascii="Times New Roman" w:cs="Times New Roman"/>
                <w:color w:val="auto"/>
                <w:sz w:val="18"/>
                <w:szCs w:val="18"/>
                <w:lang w:eastAsia="zh-CN"/>
              </w:rPr>
              <w:t>：</w:t>
            </w:r>
            <w:r>
              <w:rPr>
                <w:rFonts w:ascii="Times New Roman" w:cs="Times New Roman"/>
                <w:color w:val="auto"/>
                <w:sz w:val="18"/>
                <w:szCs w:val="18"/>
              </w:rPr>
              <w:t>液位计检查时，发现以下情况之一的，使用单位应当限期改正并且采取有效措施确保改正期间的安全，否则应当暂停该压力容器使用：</w:t>
            </w:r>
          </w:p>
          <w:p>
            <w:pPr>
              <w:pStyle w:val="15"/>
              <w:numPr>
                <w:ilvl w:val="0"/>
                <w:numId w:val="25"/>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选型错误的；</w:t>
            </w:r>
          </w:p>
          <w:p>
            <w:pPr>
              <w:pStyle w:val="15"/>
              <w:numPr>
                <w:ilvl w:val="0"/>
                <w:numId w:val="25"/>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超过规定的检修期限的；</w:t>
            </w:r>
          </w:p>
          <w:p>
            <w:pPr>
              <w:pStyle w:val="15"/>
              <w:numPr>
                <w:ilvl w:val="0"/>
                <w:numId w:val="2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玻璃板</w:t>
            </w:r>
            <w:r>
              <w:rPr>
                <w:rFonts w:ascii="Times New Roman" w:hAnsi="Times New Roman" w:cs="Times New Roman"/>
                <w:color w:val="auto"/>
                <w:sz w:val="18"/>
                <w:szCs w:val="18"/>
              </w:rPr>
              <w:t>(</w:t>
            </w:r>
            <w:r>
              <w:rPr>
                <w:rFonts w:ascii="Times New Roman" w:cs="Times New Roman"/>
                <w:color w:val="auto"/>
                <w:sz w:val="18"/>
                <w:szCs w:val="18"/>
              </w:rPr>
              <w:t>管</w:t>
            </w:r>
            <w:r>
              <w:rPr>
                <w:rFonts w:ascii="Times New Roman" w:hAnsi="Times New Roman" w:cs="Times New Roman"/>
                <w:color w:val="auto"/>
                <w:sz w:val="18"/>
                <w:szCs w:val="18"/>
              </w:rPr>
              <w:t>)</w:t>
            </w:r>
            <w:r>
              <w:rPr>
                <w:rFonts w:ascii="Times New Roman" w:cs="Times New Roman"/>
                <w:color w:val="auto"/>
                <w:sz w:val="18"/>
                <w:szCs w:val="18"/>
              </w:rPr>
              <w:t>有裂纹、破碎的；</w:t>
            </w:r>
          </w:p>
          <w:p>
            <w:pPr>
              <w:pStyle w:val="15"/>
              <w:numPr>
                <w:ilvl w:val="0"/>
                <w:numId w:val="25"/>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阀件固死的；</w:t>
            </w:r>
          </w:p>
          <w:p>
            <w:pPr>
              <w:pStyle w:val="15"/>
              <w:numPr>
                <w:ilvl w:val="0"/>
                <w:numId w:val="2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液位指示错误的；</w:t>
            </w:r>
          </w:p>
          <w:p>
            <w:pPr>
              <w:pStyle w:val="15"/>
              <w:numPr>
                <w:ilvl w:val="0"/>
                <w:numId w:val="25"/>
              </w:numPr>
              <w:tabs>
                <w:tab w:val="left" w:pos="317"/>
              </w:tabs>
              <w:snapToGrid w:val="0"/>
              <w:spacing w:line="240" w:lineRule="auto"/>
              <w:rPr>
                <w:rFonts w:hint="eastAsia" w:ascii="Times New Roman" w:hAnsi="Times New Roman" w:cs="Times New Roman"/>
                <w:color w:val="auto"/>
                <w:sz w:val="18"/>
                <w:szCs w:val="18"/>
                <w:lang w:eastAsia="zh-CN"/>
              </w:rPr>
            </w:pPr>
            <w:r>
              <w:rPr>
                <w:rFonts w:ascii="Times New Roman" w:cs="Times New Roman"/>
                <w:color w:val="auto"/>
                <w:sz w:val="18"/>
                <w:szCs w:val="18"/>
              </w:rPr>
              <w:t>液位计指示模糊不清的；</w:t>
            </w:r>
          </w:p>
          <w:p>
            <w:pPr>
              <w:pStyle w:val="15"/>
              <w:numPr>
                <w:ilvl w:val="0"/>
                <w:numId w:val="25"/>
              </w:numPr>
              <w:tabs>
                <w:tab w:val="left" w:pos="317"/>
              </w:tabs>
              <w:snapToGrid w:val="0"/>
              <w:spacing w:line="240" w:lineRule="auto"/>
              <w:rPr>
                <w:rFonts w:hint="eastAsia" w:ascii="Times New Roman" w:hAnsi="Times New Roman" w:cs="Times New Roman"/>
                <w:color w:val="auto"/>
                <w:sz w:val="18"/>
                <w:szCs w:val="18"/>
                <w:lang w:eastAsia="zh-CN"/>
              </w:rPr>
            </w:pPr>
            <w:r>
              <w:rPr>
                <w:rFonts w:ascii="Times New Roman" w:cs="Times New Roman"/>
                <w:color w:val="auto"/>
                <w:sz w:val="18"/>
                <w:szCs w:val="18"/>
              </w:rPr>
              <w:t>防止泄漏的保护装置损坏的。</w:t>
            </w:r>
          </w:p>
        </w:tc>
      </w:tr>
      <w:tr>
        <w:trPr>
          <w:trHeight w:val="2363" w:hRule="exact"/>
          <w:jc w:val="center"/>
        </w:trPr>
        <w:tc>
          <w:tcPr>
            <w:tcW w:w="78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7.2.3.6</w:t>
            </w:r>
          </w:p>
        </w:tc>
        <w:tc>
          <w:tcPr>
            <w:tcW w:w="1067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w:t>
            </w:r>
          </w:p>
          <w:p>
            <w:pPr>
              <w:pStyle w:val="15"/>
              <w:snapToGrid w:val="0"/>
              <w:spacing w:line="240" w:lineRule="auto"/>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检查内容和要求</w:t>
            </w:r>
            <w:r>
              <w:rPr>
                <w:rFonts w:hint="eastAsia" w:ascii="Times New Roman" w:cs="Times New Roman"/>
                <w:color w:val="auto"/>
                <w:sz w:val="18"/>
                <w:szCs w:val="18"/>
                <w:lang w:eastAsia="zh-CN"/>
              </w:rPr>
              <w:t>：</w:t>
            </w:r>
            <w:r>
              <w:rPr>
                <w:rFonts w:ascii="Times New Roman" w:cs="Times New Roman"/>
                <w:color w:val="auto"/>
                <w:sz w:val="18"/>
                <w:szCs w:val="18"/>
              </w:rPr>
              <w:t>测温仪表的检查至少包括以下内容：</w:t>
            </w:r>
          </w:p>
          <w:p>
            <w:pPr>
              <w:pStyle w:val="15"/>
              <w:numPr>
                <w:ilvl w:val="0"/>
                <w:numId w:val="26"/>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测温仪表的定期校验和检修是否符合规定；</w:t>
            </w:r>
          </w:p>
          <w:p>
            <w:pPr>
              <w:pStyle w:val="15"/>
              <w:numPr>
                <w:ilvl w:val="0"/>
                <w:numId w:val="26"/>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测温仪表的量程与其检测的温度范围是否匹配；</w:t>
            </w:r>
          </w:p>
          <w:p>
            <w:pPr>
              <w:pStyle w:val="15"/>
              <w:numPr>
                <w:ilvl w:val="0"/>
                <w:numId w:val="26"/>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测温仪表及其二次仪表的外观是否符合规定。</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2</w:t>
            </w:r>
            <w:r>
              <w:rPr>
                <w:rFonts w:ascii="Times New Roman" w:cs="Times New Roman"/>
                <w:color w:val="auto"/>
                <w:sz w:val="18"/>
                <w:szCs w:val="18"/>
              </w:rPr>
              <w:t>检查结果处理</w:t>
            </w:r>
            <w:r>
              <w:rPr>
                <w:rFonts w:hint="eastAsia" w:ascii="Times New Roman" w:cs="Times New Roman"/>
                <w:color w:val="auto"/>
                <w:sz w:val="18"/>
                <w:szCs w:val="18"/>
                <w:lang w:eastAsia="zh-CN"/>
              </w:rPr>
              <w:t>：</w:t>
            </w:r>
            <w:r>
              <w:rPr>
                <w:rFonts w:ascii="Times New Roman" w:cs="Times New Roman"/>
                <w:color w:val="auto"/>
                <w:sz w:val="18"/>
                <w:szCs w:val="18"/>
              </w:rPr>
              <w:t>测温仪表检查时，凡发现以下情况之一的，使用单位应当限期改正并且采取有效措施确保改正期间的安全，否则暂停该压力容器使用：</w:t>
            </w:r>
          </w:p>
          <w:p>
            <w:pPr>
              <w:pStyle w:val="15"/>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仪表量程选择错误的；</w:t>
            </w:r>
          </w:p>
          <w:p>
            <w:pPr>
              <w:pStyle w:val="15"/>
              <w:numPr>
                <w:ilvl w:val="0"/>
                <w:numId w:val="27"/>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超过规定校验、检修期限的；</w:t>
            </w:r>
          </w:p>
          <w:p>
            <w:pPr>
              <w:pStyle w:val="15"/>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仪表及其防护装置破损的。</w:t>
            </w:r>
          </w:p>
        </w:tc>
      </w:tr>
      <w:tr>
        <w:trPr>
          <w:trHeight w:val="839" w:hRule="exact"/>
          <w:jc w:val="center"/>
        </w:trPr>
        <w:tc>
          <w:tcPr>
            <w:tcW w:w="78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定期检验</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有资格的检验人员</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按</w:t>
            </w:r>
            <w:r>
              <w:rPr>
                <w:rFonts w:ascii="Times New Roman" w:hAnsi="Times New Roman" w:cs="Times New Roman"/>
                <w:color w:val="auto"/>
                <w:sz w:val="18"/>
                <w:szCs w:val="18"/>
                <w:lang w:val="zh-CN" w:eastAsia="zh-CN" w:bidi="zh-CN"/>
              </w:rPr>
              <w:t>“</w:t>
            </w:r>
            <w:r>
              <w:rPr>
                <w:rFonts w:ascii="Times New Roman" w:cs="Times New Roman"/>
                <w:color w:val="auto"/>
                <w:sz w:val="18"/>
                <w:szCs w:val="18"/>
                <w:lang w:val="zh-CN" w:eastAsia="zh-CN" w:bidi="zh-CN"/>
              </w:rPr>
              <w:t>上次</w:t>
            </w:r>
            <w:r>
              <w:rPr>
                <w:rFonts w:ascii="Times New Roman" w:cs="Times New Roman"/>
                <w:color w:val="auto"/>
                <w:sz w:val="18"/>
                <w:szCs w:val="18"/>
              </w:rPr>
              <w:t>检验</w:t>
            </w:r>
            <w:r>
              <w:rPr>
                <w:rFonts w:ascii="Times New Roman" w:cs="Times New Roman"/>
                <w:color w:val="auto"/>
                <w:sz w:val="18"/>
                <w:szCs w:val="18"/>
                <w:lang w:val="zh-CN" w:eastAsia="zh-CN" w:bidi="zh-CN"/>
              </w:rPr>
              <w:t>报告</w:t>
            </w:r>
            <w:r>
              <w:rPr>
                <w:rFonts w:ascii="Times New Roman" w:hAnsi="Times New Roman" w:cs="Times New Roman"/>
                <w:color w:val="auto"/>
                <w:sz w:val="18"/>
                <w:szCs w:val="18"/>
                <w:lang w:val="zh-CN" w:eastAsia="zh-CN" w:bidi="zh-CN"/>
              </w:rPr>
              <w:t>”</w:t>
            </w:r>
          </w:p>
        </w:tc>
        <w:tc>
          <w:tcPr>
            <w:tcW w:w="113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8.1</w:t>
            </w:r>
          </w:p>
        </w:tc>
        <w:tc>
          <w:tcPr>
            <w:tcW w:w="10679"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使用单位应当在压力容器定期检验有效期届满</w:t>
            </w:r>
            <w:r>
              <w:rPr>
                <w:rFonts w:ascii="Times New Roman" w:hAnsi="Times New Roman" w:eastAsia="Times New Roman" w:cs="Times New Roman"/>
                <w:color w:val="auto"/>
                <w:sz w:val="18"/>
                <w:szCs w:val="18"/>
              </w:rPr>
              <w:t>1</w:t>
            </w:r>
            <w:r>
              <w:rPr>
                <w:rFonts w:ascii="Times New Roman" w:cs="Times New Roman"/>
                <w:color w:val="auto"/>
                <w:sz w:val="18"/>
                <w:szCs w:val="18"/>
              </w:rPr>
              <w:t>个月前，向特种设备检验机构提出定期检验申请，并且做好定期检验相关的准备工作。</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检验结论意见为符合要求或者基本符合要求时，使用单位应当将检验机构出具的检验标志粘贴在</w:t>
            </w:r>
            <w:r>
              <w:rPr>
                <w:rFonts w:ascii="Times New Roman" w:hAnsi="Times New Roman" w:cs="Times New Roman"/>
                <w:color w:val="auto"/>
                <w:sz w:val="18"/>
                <w:szCs w:val="18"/>
              </w:rPr>
              <w:t xml:space="preserve"> </w:t>
            </w:r>
            <w:r>
              <w:rPr>
                <w:rFonts w:ascii="Times New Roman" w:cs="Times New Roman"/>
                <w:color w:val="auto"/>
                <w:sz w:val="18"/>
                <w:szCs w:val="18"/>
              </w:rPr>
              <w:t>《使用登记证》上，并且按照检验结论确定的参数使用压力容器。</w:t>
            </w:r>
          </w:p>
        </w:tc>
      </w:tr>
    </w:tbl>
    <w:p>
      <w:pPr>
        <w:snapToGrid w:val="0"/>
        <w:rPr>
          <w:rFonts w:eastAsia="宋体"/>
          <w:color w:val="auto"/>
          <w:sz w:val="18"/>
          <w:szCs w:val="18"/>
          <w:lang w:eastAsia="zh-CN"/>
        </w:rPr>
      </w:pPr>
    </w:p>
    <w:p>
      <w:pPr>
        <w:snapToGrid w:val="0"/>
        <w:rPr>
          <w:rFonts w:eastAsia="宋体"/>
          <w:color w:val="auto"/>
          <w:sz w:val="18"/>
          <w:szCs w:val="18"/>
          <w:lang w:eastAsia="zh-CN"/>
        </w:rPr>
        <w:sectPr>
          <w:headerReference r:id="rId10" w:type="default"/>
          <w:headerReference r:id="rId11" w:type="even"/>
          <w:pgSz w:w="16840" w:h="11900" w:orient="landscape"/>
          <w:pgMar w:top="1134" w:right="1134" w:bottom="1134" w:left="1134" w:header="0" w:footer="986" w:gutter="0"/>
          <w:cols w:space="720" w:num="1"/>
          <w:docGrid w:linePitch="360" w:charSpace="0"/>
        </w:sectPr>
      </w:pPr>
    </w:p>
    <w:p>
      <w:pPr>
        <w:pStyle w:val="14"/>
        <w:snapToGrid w:val="0"/>
        <w:spacing w:before="120" w:beforeLines="50" w:after="120"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lang w:eastAsia="zh-CN"/>
        </w:rPr>
        <w:t>固定式压力容器</w:t>
      </w:r>
      <w:r>
        <w:rPr>
          <w:rFonts w:ascii="Times New Roman" w:hAnsi="黑体" w:eastAsia="黑体" w:cs="Times New Roman"/>
          <w:b/>
          <w:color w:val="auto"/>
          <w:sz w:val="21"/>
          <w:szCs w:val="21"/>
        </w:rPr>
        <w:t>经常性维护保养</w:t>
      </w:r>
      <w:r>
        <w:rPr>
          <w:rFonts w:ascii="Times New Roman" w:hAnsi="黑体" w:eastAsia="黑体" w:cs="Times New Roman"/>
          <w:b/>
          <w:color w:val="auto"/>
          <w:sz w:val="21"/>
          <w:szCs w:val="21"/>
          <w:lang w:eastAsia="zh-CN"/>
        </w:rPr>
        <w:t>（月度检查）</w:t>
      </w:r>
      <w:r>
        <w:rPr>
          <w:rFonts w:ascii="Times New Roman" w:hAnsi="黑体" w:eastAsia="黑体" w:cs="Times New Roman"/>
          <w:b/>
          <w:color w:val="auto"/>
          <w:sz w:val="21"/>
          <w:szCs w:val="21"/>
        </w:rPr>
        <w:t>记录表格式</w:t>
      </w:r>
    </w:p>
    <w:tbl>
      <w:tblPr>
        <w:tblStyle w:val="8"/>
        <w:tblpPr/>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378"/>
        <w:gridCol w:w="3685"/>
        <w:gridCol w:w="1276"/>
        <w:gridCol w:w="3217"/>
      </w:tblGrid>
      <w:tr>
        <w:trPr>
          <w:trHeight w:val="567" w:hRule="exact"/>
          <w:jc w:val="center"/>
        </w:trPr>
        <w:tc>
          <w:tcPr>
            <w:tcW w:w="138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使用</w:t>
            </w:r>
            <w:r>
              <w:rPr>
                <w:rFonts w:ascii="Times New Roman" w:hAnsi="黑体" w:eastAsia="黑体" w:cs="Times New Roman"/>
                <w:b/>
                <w:color w:val="auto"/>
                <w:sz w:val="18"/>
                <w:szCs w:val="18"/>
                <w:lang w:eastAsia="zh-CN"/>
              </w:rPr>
              <w:t>证号</w:t>
            </w:r>
          </w:p>
        </w:tc>
        <w:tc>
          <w:tcPr>
            <w:tcW w:w="817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138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设备位号</w:t>
            </w:r>
          </w:p>
        </w:tc>
        <w:tc>
          <w:tcPr>
            <w:tcW w:w="817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138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检查项目</w:t>
            </w:r>
          </w:p>
        </w:tc>
        <w:tc>
          <w:tcPr>
            <w:tcW w:w="3685"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检查内容</w:t>
            </w:r>
          </w:p>
        </w:tc>
        <w:tc>
          <w:tcPr>
            <w:tcW w:w="1276"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3217"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636" w:hRule="exact"/>
          <w:jc w:val="center"/>
        </w:trPr>
        <w:tc>
          <w:tcPr>
            <w:tcW w:w="138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Calibri" w:cs="Times New Roman"/>
                <w:color w:val="auto"/>
                <w:kern w:val="2"/>
                <w:sz w:val="18"/>
                <w:szCs w:val="18"/>
                <w:lang w:eastAsia="zh-CN" w:bidi="ar-SA"/>
              </w:rPr>
              <w:t>设备本体</w:t>
            </w: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漆色是否完好，有无脱落等</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设备保温层、真空绝热层是否完好</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设备外部的标志是否清晰</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设备各连接部位密封性检查</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有无异常振动</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设备运行过程有无异常声音</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Calibri" w:cs="Times New Roman"/>
                <w:color w:val="auto"/>
                <w:kern w:val="2"/>
                <w:sz w:val="18"/>
                <w:szCs w:val="18"/>
                <w:lang w:eastAsia="zh-CN" w:bidi="ar-SA"/>
              </w:rPr>
              <w:t>安全附件、装卸附件、安全保护装置、测量调控装置、附属仪器仪表</w:t>
            </w: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各阀门启闭状态与规程要求一致</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安全附件是否完好、有效</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装卸附件是否完好</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紧固件的连接是否符合要求、是否有松动现象</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各装置连接部位密封性检查</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工艺参数</w:t>
            </w: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设备运行参数是否工艺规程允许的范围内</w:t>
            </w: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36" w:hRule="exact"/>
          <w:jc w:val="center"/>
        </w:trPr>
        <w:tc>
          <w:tcPr>
            <w:tcW w:w="1383" w:type="dxa"/>
            <w:shd w:val="clear" w:color="auto" w:fill="FFFFFF"/>
            <w:noWrap w:val="0"/>
            <w:vAlign w:val="center"/>
          </w:tcPr>
          <w:p>
            <w:pPr>
              <w:widowControl/>
              <w:snapToGrid w:val="0"/>
              <w:rPr>
                <w:rFonts w:eastAsia="宋体"/>
                <w:color w:val="auto"/>
                <w:kern w:val="2"/>
                <w:sz w:val="18"/>
                <w:szCs w:val="18"/>
                <w:lang w:val="zh-TW" w:eastAsia="zh-CN" w:bidi="ar-SA"/>
              </w:rPr>
            </w:pPr>
            <w:r>
              <w:rPr>
                <w:rFonts w:hAnsi="Calibri" w:eastAsia="宋体"/>
                <w:color w:val="auto"/>
                <w:kern w:val="2"/>
                <w:sz w:val="18"/>
                <w:szCs w:val="18"/>
                <w:lang w:val="zh-TW" w:eastAsia="zh-CN" w:bidi="ar-SA"/>
              </w:rPr>
              <w:t>其他异常情况及采取措施</w:t>
            </w:r>
          </w:p>
        </w:tc>
        <w:tc>
          <w:tcPr>
            <w:tcW w:w="3685" w:type="dxa"/>
            <w:shd w:val="clear" w:color="auto" w:fill="FFFFFF"/>
            <w:noWrap w:val="0"/>
            <w:vAlign w:val="center"/>
          </w:tcPr>
          <w:p>
            <w:pPr>
              <w:widowControl/>
              <w:snapToGrid w:val="0"/>
              <w:rPr>
                <w:rFonts w:eastAsia="宋体"/>
                <w:color w:val="auto"/>
                <w:kern w:val="2"/>
                <w:sz w:val="18"/>
                <w:szCs w:val="18"/>
                <w:lang w:val="zh-TW" w:eastAsia="zh-CN" w:bidi="ar-SA"/>
              </w:rPr>
            </w:pPr>
          </w:p>
        </w:tc>
        <w:tc>
          <w:tcPr>
            <w:tcW w:w="1276" w:type="dxa"/>
            <w:shd w:val="clear" w:color="auto" w:fill="FFFFFF"/>
            <w:noWrap w:val="0"/>
            <w:vAlign w:val="top"/>
          </w:tcPr>
          <w:p>
            <w:pPr>
              <w:snapToGrid w:val="0"/>
              <w:rPr>
                <w:color w:val="auto"/>
                <w:sz w:val="18"/>
                <w:szCs w:val="18"/>
                <w:lang w:eastAsia="zh-CN"/>
              </w:rPr>
            </w:pPr>
          </w:p>
        </w:tc>
        <w:tc>
          <w:tcPr>
            <w:tcW w:w="3217" w:type="dxa"/>
            <w:shd w:val="clear" w:color="auto" w:fill="FFFFFF"/>
            <w:noWrap w:val="0"/>
            <w:vAlign w:val="top"/>
          </w:tcPr>
          <w:p>
            <w:pPr>
              <w:snapToGrid w:val="0"/>
              <w:rPr>
                <w:color w:val="auto"/>
                <w:sz w:val="18"/>
                <w:szCs w:val="18"/>
                <w:lang w:eastAsia="zh-CN"/>
              </w:rPr>
            </w:pPr>
          </w:p>
        </w:tc>
      </w:tr>
      <w:tr>
        <w:trPr>
          <w:trHeight w:val="614" w:hRule="exact"/>
          <w:jc w:val="center"/>
        </w:trPr>
        <w:tc>
          <w:tcPr>
            <w:tcW w:w="138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3685" w:type="dxa"/>
            <w:shd w:val="clear" w:color="auto" w:fill="FFFFFF"/>
            <w:noWrap w:val="0"/>
            <w:vAlign w:val="center"/>
          </w:tcPr>
          <w:p>
            <w:pPr>
              <w:snapToGrid w:val="0"/>
              <w:jc w:val="both"/>
              <w:rPr>
                <w:color w:val="auto"/>
                <w:sz w:val="18"/>
                <w:szCs w:val="18"/>
              </w:rPr>
            </w:pPr>
          </w:p>
        </w:tc>
        <w:tc>
          <w:tcPr>
            <w:tcW w:w="4493"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rPr>
        <w:t>注：本记录表为通用要求，使用单位应根据设备实际运行状况增加检查内容</w:t>
      </w:r>
      <w:r>
        <w:rPr>
          <w:rFonts w:ascii="Times New Roman" w:cs="Times New Roman"/>
          <w:color w:val="auto"/>
          <w:sz w:val="18"/>
          <w:szCs w:val="18"/>
          <w:lang w:eastAsia="zh-CN"/>
        </w:rPr>
        <w:t>。</w:t>
      </w:r>
    </w:p>
    <w:p>
      <w:pPr>
        <w:snapToGrid w:val="0"/>
        <w:rPr>
          <w:rFonts w:eastAsia="宋体"/>
          <w:color w:val="auto"/>
          <w:sz w:val="18"/>
          <w:szCs w:val="18"/>
          <w:lang w:eastAsia="zh-CN"/>
        </w:rPr>
        <w:sectPr>
          <w:pgSz w:w="11900" w:h="16840"/>
          <w:pgMar w:top="1134" w:right="1134" w:bottom="1134" w:left="1134" w:header="0" w:footer="986" w:gutter="0"/>
          <w:cols w:space="720" w:num="1"/>
          <w:docGrid w:linePitch="360" w:charSpace="0"/>
        </w:sectPr>
      </w:pPr>
    </w:p>
    <w:p>
      <w:pPr>
        <w:snapToGrid w:val="0"/>
        <w:spacing w:after="120" w:afterLines="5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B.3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移动式压力容器专项要求</w:t>
      </w: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2504"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19" w:name="_Hlk53690799"/>
            <w:r>
              <w:rPr>
                <w:rFonts w:ascii="Times New Roman" w:cs="Times New Roman"/>
                <w:color w:val="auto"/>
                <w:sz w:val="18"/>
                <w:szCs w:val="18"/>
              </w:rPr>
              <w:t>技术档</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案管理</w:t>
            </w:r>
            <w:bookmarkEnd w:id="19"/>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安全管理人员</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每年至少</w:t>
            </w:r>
            <w:r>
              <w:rPr>
                <w:rFonts w:ascii="Times New Roman" w:hAnsi="Times New Roman" w:cs="Times New Roman"/>
                <w:color w:val="auto"/>
                <w:sz w:val="18"/>
                <w:szCs w:val="18"/>
              </w:rPr>
              <w:t xml:space="preserve"> </w:t>
            </w:r>
            <w:r>
              <w:rPr>
                <w:rFonts w:ascii="Times New Roman" w:cs="Times New Roman"/>
                <w:color w:val="auto"/>
                <w:sz w:val="18"/>
                <w:szCs w:val="18"/>
              </w:rPr>
              <w:t>一次</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5.4</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使用单位应当逐台建立移动式压力容器技术档案并且由其管理部门统一负责保管。技术档案应当包括以下内容：</w:t>
            </w:r>
            <w:r>
              <w:rPr>
                <w:rFonts w:ascii="Times New Roman" w:hAnsi="Times New Roman" w:cs="Times New Roman"/>
                <w:color w:val="auto"/>
                <w:sz w:val="18"/>
                <w:szCs w:val="18"/>
              </w:rPr>
              <w:t xml:space="preserve"> (</w:t>
            </w:r>
            <w:r>
              <w:rPr>
                <w:rFonts w:ascii="Times New Roman" w:cs="Times New Roman"/>
                <w:color w:val="auto"/>
                <w:sz w:val="18"/>
                <w:szCs w:val="18"/>
              </w:rPr>
              <w:t>已经使用二维码和</w:t>
            </w:r>
            <w:r>
              <w:rPr>
                <w:rFonts w:ascii="Times New Roman" w:hAnsi="Times New Roman" w:cs="Times New Roman"/>
                <w:color w:val="auto"/>
                <w:sz w:val="18"/>
                <w:szCs w:val="18"/>
                <w:lang w:val="en-US" w:eastAsia="zh-CN" w:bidi="en-US"/>
              </w:rPr>
              <w:t>USB</w:t>
            </w:r>
            <w:r>
              <w:rPr>
                <w:rFonts w:ascii="Times New Roman" w:cs="Times New Roman"/>
                <w:color w:val="auto"/>
                <w:sz w:val="18"/>
                <w:szCs w:val="18"/>
              </w:rPr>
              <w:t>密钥的从其相关管理规定保存二维码和密钥</w:t>
            </w:r>
            <w:r>
              <w:rPr>
                <w:rFonts w:ascii="Times New Roman" w:hAnsi="Times New Roman" w:cs="Times New Roman"/>
                <w:color w:val="auto"/>
                <w:sz w:val="18"/>
                <w:szCs w:val="18"/>
              </w:rPr>
              <w:t>)</w:t>
            </w:r>
          </w:p>
          <w:p>
            <w:pPr>
              <w:pStyle w:val="15"/>
              <w:numPr>
                <w:ilvl w:val="0"/>
                <w:numId w:val="1"/>
              </w:numPr>
              <w:tabs>
                <w:tab w:val="left" w:pos="31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《使用登记证》及电子记录卡；</w:t>
            </w:r>
          </w:p>
          <w:p>
            <w:pPr>
              <w:pStyle w:val="15"/>
              <w:numPr>
                <w:ilvl w:val="0"/>
                <w:numId w:val="1"/>
              </w:numPr>
              <w:tabs>
                <w:tab w:val="left" w:pos="31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《特种设备使用登记表》；</w:t>
            </w:r>
          </w:p>
          <w:p>
            <w:pPr>
              <w:pStyle w:val="15"/>
              <w:numPr>
                <w:ilvl w:val="0"/>
                <w:numId w:val="1"/>
              </w:numPr>
              <w:tabs>
                <w:tab w:val="left" w:pos="312"/>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2011中</w:t>
            </w:r>
            <w:r>
              <w:rPr>
                <w:rFonts w:ascii="Times New Roman" w:hAnsi="Times New Roman" w:cs="Times New Roman"/>
                <w:color w:val="auto"/>
                <w:sz w:val="18"/>
                <w:szCs w:val="18"/>
                <w:lang w:val="en-US" w:eastAsia="zh-CN" w:bidi="en-US"/>
              </w:rPr>
              <w:t>4.1.3</w:t>
            </w:r>
            <w:r>
              <w:rPr>
                <w:rFonts w:ascii="Times New Roman" w:hAnsi="Times New Roman" w:cs="Times New Roman"/>
                <w:color w:val="auto"/>
                <w:sz w:val="18"/>
                <w:szCs w:val="18"/>
              </w:rPr>
              <w:t>规定的</w:t>
            </w:r>
            <w:r>
              <w:rPr>
                <w:rFonts w:ascii="Times New Roman" w:cs="Times New Roman"/>
                <w:color w:val="auto"/>
                <w:sz w:val="18"/>
                <w:szCs w:val="18"/>
              </w:rPr>
              <w:t>移动式压力容器技术文件和资料；</w:t>
            </w:r>
          </w:p>
          <w:p>
            <w:pPr>
              <w:pStyle w:val="15"/>
              <w:numPr>
                <w:ilvl w:val="0"/>
                <w:numId w:val="1"/>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移动式压力容器定期检验报告，以及有关检验的技术文件和资料；</w:t>
            </w:r>
          </w:p>
          <w:p>
            <w:pPr>
              <w:pStyle w:val="15"/>
              <w:numPr>
                <w:ilvl w:val="0"/>
                <w:numId w:val="1"/>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移动式压力容器维修和改造的方案、设计图样、材料质量证明书、施工质量检验技术文件和资料；</w:t>
            </w:r>
          </w:p>
          <w:p>
            <w:pPr>
              <w:pStyle w:val="15"/>
              <w:numPr>
                <w:ilvl w:val="0"/>
                <w:numId w:val="1"/>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移动式压力容器的日常检查和维护保养与定期自行检查记录、年度检查报告；</w:t>
            </w:r>
          </w:p>
          <w:p>
            <w:pPr>
              <w:pStyle w:val="15"/>
              <w:numPr>
                <w:ilvl w:val="0"/>
                <w:numId w:val="1"/>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安全附件、装卸附件</w:t>
            </w:r>
            <w:r>
              <w:rPr>
                <w:rFonts w:ascii="Times New Roman" w:hAnsi="Times New Roman" w:cs="Times New Roman"/>
                <w:color w:val="auto"/>
                <w:sz w:val="18"/>
                <w:szCs w:val="18"/>
              </w:rPr>
              <w:t>(</w:t>
            </w:r>
            <w:r>
              <w:rPr>
                <w:rFonts w:ascii="Times New Roman" w:cs="Times New Roman"/>
                <w:color w:val="auto"/>
                <w:sz w:val="18"/>
                <w:szCs w:val="18"/>
              </w:rPr>
              <w:t>如果有</w:t>
            </w:r>
            <w:r>
              <w:rPr>
                <w:rFonts w:ascii="Times New Roman" w:hAnsi="Times New Roman" w:cs="Times New Roman"/>
                <w:color w:val="auto"/>
                <w:sz w:val="18"/>
                <w:szCs w:val="18"/>
              </w:rPr>
              <w:t>)</w:t>
            </w:r>
            <w:r>
              <w:rPr>
                <w:rFonts w:ascii="Times New Roman" w:cs="Times New Roman"/>
                <w:color w:val="auto"/>
                <w:sz w:val="18"/>
                <w:szCs w:val="18"/>
              </w:rPr>
              <w:t>的校验、修理和更换记录；</w:t>
            </w:r>
          </w:p>
          <w:p>
            <w:pPr>
              <w:pStyle w:val="15"/>
              <w:numPr>
                <w:ilvl w:val="0"/>
                <w:numId w:val="1"/>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有关事故的记录资料和处理报告。</w:t>
            </w:r>
          </w:p>
        </w:tc>
      </w:tr>
      <w:tr>
        <w:trPr>
          <w:trHeight w:val="1495"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20" w:name="_Hlk53690821"/>
            <w:r>
              <w:rPr>
                <w:rFonts w:ascii="Times New Roman" w:cs="Times New Roman"/>
                <w:color w:val="auto"/>
                <w:sz w:val="18"/>
                <w:szCs w:val="18"/>
              </w:rPr>
              <w:t>操作规</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程制定</w:t>
            </w:r>
            <w:bookmarkEnd w:id="20"/>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5.5</w:t>
            </w:r>
          </w:p>
        </w:tc>
        <w:tc>
          <w:tcPr>
            <w:tcW w:w="935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使用单位应当在工艺和岗位操作规程中，明确提出移动式压力容器安全操作要求，操作规程至少包括以下内容：</w:t>
            </w:r>
          </w:p>
          <w:p>
            <w:pPr>
              <w:pStyle w:val="15"/>
              <w:numPr>
                <w:ilvl w:val="0"/>
                <w:numId w:val="2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移动式压力容器的操作工艺参数</w:t>
            </w:r>
            <w:r>
              <w:rPr>
                <w:rFonts w:ascii="Times New Roman" w:cs="Times New Roman"/>
                <w:color w:val="auto"/>
                <w:sz w:val="18"/>
                <w:szCs w:val="18"/>
                <w:lang w:eastAsia="zh-CN"/>
              </w:rPr>
              <w:t>，</w:t>
            </w:r>
            <w:r>
              <w:rPr>
                <w:rFonts w:ascii="Times New Roman" w:cs="Times New Roman"/>
                <w:color w:val="auto"/>
                <w:sz w:val="18"/>
                <w:szCs w:val="18"/>
              </w:rPr>
              <w:t>包括工作压力、工作温度范围、最大允许充装量等；</w:t>
            </w:r>
          </w:p>
          <w:p>
            <w:pPr>
              <w:pStyle w:val="15"/>
              <w:numPr>
                <w:ilvl w:val="0"/>
                <w:numId w:val="2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移动式压力容器的岗位操作方法</w:t>
            </w:r>
            <w:r>
              <w:rPr>
                <w:rFonts w:ascii="Times New Roman" w:cs="Times New Roman"/>
                <w:color w:val="auto"/>
                <w:sz w:val="18"/>
                <w:szCs w:val="18"/>
                <w:lang w:eastAsia="zh-CN"/>
              </w:rPr>
              <w:t>，</w:t>
            </w:r>
            <w:r>
              <w:rPr>
                <w:rFonts w:ascii="Times New Roman" w:cs="Times New Roman"/>
                <w:color w:val="auto"/>
                <w:sz w:val="18"/>
                <w:szCs w:val="18"/>
              </w:rPr>
              <w:t>包括车辆停放、装卸的操作程序和注意事项；</w:t>
            </w:r>
          </w:p>
          <w:p>
            <w:pPr>
              <w:pStyle w:val="15"/>
              <w:numPr>
                <w:ilvl w:val="0"/>
                <w:numId w:val="28"/>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移动式压力容器运行中应当重点检查的项目和部位，运行中可能出现的异常现象和防止措施，紧急情况的处置和报告程序；</w:t>
            </w:r>
          </w:p>
          <w:p>
            <w:pPr>
              <w:pStyle w:val="15"/>
              <w:numPr>
                <w:ilvl w:val="0"/>
                <w:numId w:val="28"/>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移动式压力容器的车辆安全要求</w:t>
            </w:r>
            <w:r>
              <w:rPr>
                <w:rFonts w:ascii="Times New Roman" w:hAnsi="Times New Roman" w:cs="Times New Roman"/>
                <w:color w:val="auto"/>
                <w:sz w:val="18"/>
                <w:szCs w:val="18"/>
              </w:rPr>
              <w:t>,</w:t>
            </w:r>
            <w:r>
              <w:rPr>
                <w:rFonts w:ascii="Times New Roman" w:cs="Times New Roman"/>
                <w:color w:val="auto"/>
                <w:sz w:val="18"/>
                <w:szCs w:val="18"/>
              </w:rPr>
              <w:t>包括车辆状况、车辆允许行驶速度以及运输过程中的作息时间要求。</w:t>
            </w:r>
          </w:p>
        </w:tc>
      </w:tr>
      <w:tr>
        <w:trPr>
          <w:trHeight w:val="1263"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21" w:name="_Hlk53690923"/>
            <w:r>
              <w:rPr>
                <w:rFonts w:ascii="Times New Roman" w:cs="Times New Roman"/>
                <w:color w:val="auto"/>
                <w:sz w:val="18"/>
                <w:szCs w:val="18"/>
              </w:rPr>
              <w:t>作业人</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员配备</w:t>
            </w:r>
            <w:bookmarkEnd w:id="21"/>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5.6</w:t>
            </w:r>
          </w:p>
        </w:tc>
        <w:tc>
          <w:tcPr>
            <w:tcW w:w="935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安全管理人员和操作人员应当持有相应的特种设备作业人员证。使用单位应当对移动式压力容器作业人员定期进行安全教育与专业培训并且作好记录，保证作业人员了解所充装介质的性质、危害性和罐体、气瓶的使用特性</w:t>
            </w:r>
            <w:r>
              <w:rPr>
                <w:rFonts w:ascii="Times New Roman" w:hAnsi="Times New Roman" w:cs="Times New Roman"/>
                <w:color w:val="auto"/>
                <w:sz w:val="18"/>
                <w:szCs w:val="18"/>
              </w:rPr>
              <w:t>,</w:t>
            </w:r>
            <w:r>
              <w:rPr>
                <w:rFonts w:ascii="Times New Roman" w:cs="Times New Roman"/>
                <w:color w:val="auto"/>
                <w:sz w:val="18"/>
                <w:szCs w:val="18"/>
              </w:rPr>
              <w:t>具备必要的移动式压力容器安全作业知识、作业技能，及时进行知识更新，确保作业人员掌握操作规程及事故应急措施，按章作业。</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对于从事移动式压力容器运输押运的人员，应当取得国务院有关部门规定的资格证书。</w:t>
            </w:r>
          </w:p>
        </w:tc>
      </w:tr>
      <w:tr>
        <w:trPr>
          <w:trHeight w:val="2905"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异常情况报告管理</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操作人员或者押运人员</w:t>
            </w: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5.8.1</w:t>
            </w:r>
          </w:p>
        </w:tc>
        <w:tc>
          <w:tcPr>
            <w:tcW w:w="935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移动式压力容器发生下列异常现象之一时，操作人员或者押运人员应当立即采取紧急措施，并且按照规定的程序，</w:t>
            </w:r>
            <w:r>
              <w:rPr>
                <w:rFonts w:ascii="Times New Roman" w:hAnsi="Times New Roman" w:cs="Times New Roman"/>
                <w:color w:val="auto"/>
                <w:sz w:val="18"/>
                <w:szCs w:val="18"/>
              </w:rPr>
              <w:t xml:space="preserve"> </w:t>
            </w:r>
            <w:r>
              <w:rPr>
                <w:rFonts w:ascii="Times New Roman" w:cs="Times New Roman"/>
                <w:color w:val="auto"/>
                <w:sz w:val="18"/>
                <w:szCs w:val="18"/>
              </w:rPr>
              <w:t>及时向使用单位的有关部门报告：</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罐体或者气瓶工作压力、工作温度超过规定值，采取措施仍然不能得到有效控制；</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罐体或者气瓶发生裂缝、鼓包、变形、泄漏等危及安全的现象；</w:t>
            </w:r>
          </w:p>
          <w:p>
            <w:pPr>
              <w:pStyle w:val="15"/>
              <w:numPr>
                <w:ilvl w:val="0"/>
                <w:numId w:val="29"/>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安全附件失灵、损坏等不能起到安全保护的情况；</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管路、紧固件损坏，难以保证安全运行；</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发生火灾等直接威胁到移动式压力容器安全运行；</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充装量超过核准的最大允许充装量；</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充装介质与铭牌和使用登记资料不符；</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真空绝热罐体外表面局部存在严重结冰、结霜或者结露</w:t>
            </w:r>
            <w:r>
              <w:rPr>
                <w:rFonts w:ascii="Times New Roman" w:hAnsi="Times New Roman" w:cs="Times New Roman"/>
                <w:color w:val="auto"/>
                <w:sz w:val="18"/>
                <w:szCs w:val="18"/>
              </w:rPr>
              <w:t>,</w:t>
            </w:r>
            <w:r>
              <w:rPr>
                <w:rFonts w:ascii="Times New Roman" w:cs="Times New Roman"/>
                <w:color w:val="auto"/>
                <w:sz w:val="18"/>
                <w:szCs w:val="18"/>
              </w:rPr>
              <w:t>介质压力和温度明显上升；</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移动式压力容器的走行装置及其与罐体或者气瓶连接部位的零部件等发生损坏、变形等危及安全运行；</w:t>
            </w:r>
          </w:p>
          <w:p>
            <w:pPr>
              <w:pStyle w:val="15"/>
              <w:numPr>
                <w:ilvl w:val="0"/>
                <w:numId w:val="29"/>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其他异常情况。</w:t>
            </w:r>
          </w:p>
        </w:tc>
      </w:tr>
    </w:tbl>
    <w:p>
      <w:pPr>
        <w:snapToGrid w:val="0"/>
        <w:rPr>
          <w:rFonts w:eastAsia="宋体"/>
          <w:color w:val="auto"/>
          <w:sz w:val="18"/>
          <w:szCs w:val="18"/>
          <w:lang w:eastAsia="zh-CN"/>
        </w:rPr>
      </w:pPr>
    </w:p>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702"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隐患处理程序</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安全管理人员</w:t>
            </w:r>
          </w:p>
        </w:tc>
        <w:tc>
          <w:tcPr>
            <w:tcW w:w="887"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rPr>
              <w:t>每年至少一次</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5.8.2</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移动式压力容器使用单位应当对出现故障或者发生异常情况的移动式压力容器及时进行检查处理，消除隐患；对存在严重事故隐患，无改造、维修价值的移动式压力容器，应当及时予以报废，并且办理注销手续。</w:t>
            </w:r>
          </w:p>
        </w:tc>
      </w:tr>
      <w:tr>
        <w:trPr>
          <w:trHeight w:val="3120"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使用管理情况</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5.10</w:t>
            </w:r>
          </w:p>
        </w:tc>
        <w:tc>
          <w:tcPr>
            <w:tcW w:w="9356" w:type="dxa"/>
            <w:shd w:val="clear" w:color="auto" w:fill="FFFFFF"/>
            <w:noWrap w:val="0"/>
            <w:vAlign w:val="center"/>
          </w:tcPr>
          <w:p>
            <w:pPr>
              <w:pStyle w:val="15"/>
              <w:numPr>
                <w:ilvl w:val="0"/>
                <w:numId w:val="30"/>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充装易燃、易爆介质的移动式压力容器，在新制造或者改造、维修、检验检测等后的首次充装</w:t>
            </w:r>
            <w:r>
              <w:rPr>
                <w:rFonts w:ascii="Times New Roman" w:hAnsi="Times New Roman" w:cs="Times New Roman"/>
                <w:color w:val="auto"/>
                <w:sz w:val="18"/>
                <w:szCs w:val="18"/>
              </w:rPr>
              <w:t>(</w:t>
            </w:r>
            <w:r>
              <w:rPr>
                <w:rFonts w:ascii="Times New Roman" w:cs="Times New Roman"/>
                <w:color w:val="auto"/>
                <w:sz w:val="18"/>
                <w:szCs w:val="18"/>
              </w:rPr>
              <w:t>以下简称首次充装</w:t>
            </w:r>
            <w:r>
              <w:rPr>
                <w:rFonts w:ascii="Times New Roman" w:hAnsi="Times New Roman" w:cs="Times New Roman"/>
                <w:color w:val="auto"/>
                <w:sz w:val="18"/>
                <w:szCs w:val="18"/>
              </w:rPr>
              <w:t>)</w:t>
            </w:r>
            <w:r>
              <w:rPr>
                <w:rFonts w:ascii="Times New Roman" w:cs="Times New Roman"/>
                <w:color w:val="auto"/>
                <w:sz w:val="18"/>
                <w:szCs w:val="18"/>
              </w:rPr>
              <w:t>前</w:t>
            </w:r>
            <w:r>
              <w:rPr>
                <w:rFonts w:ascii="Times New Roman" w:hAnsi="Times New Roman" w:cs="Times New Roman"/>
                <w:color w:val="auto"/>
                <w:sz w:val="18"/>
                <w:szCs w:val="18"/>
              </w:rPr>
              <w:t>,</w:t>
            </w:r>
            <w:r>
              <w:rPr>
                <w:rFonts w:ascii="Times New Roman" w:cs="Times New Roman"/>
                <w:color w:val="auto"/>
                <w:sz w:val="18"/>
                <w:szCs w:val="18"/>
              </w:rPr>
              <w:t>必须对罐体或者气瓶内介质进行分析检测，不符合规定的应当按照</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4.10.2</w:t>
            </w:r>
            <w:r>
              <w:rPr>
                <w:rFonts w:ascii="Times New Roman" w:cs="Times New Roman"/>
                <w:color w:val="auto"/>
                <w:sz w:val="18"/>
                <w:szCs w:val="18"/>
              </w:rPr>
              <w:t>的规定及产</w:t>
            </w:r>
            <w:r>
              <w:rPr>
                <w:rFonts w:ascii="Times New Roman" w:hAnsi="Times New Roman" w:cs="Times New Roman"/>
                <w:color w:val="auto"/>
                <w:sz w:val="18"/>
                <w:szCs w:val="18"/>
              </w:rPr>
              <w:t xml:space="preserve"> </w:t>
            </w:r>
            <w:r>
              <w:rPr>
                <w:rFonts w:ascii="Times New Roman" w:cs="Times New Roman"/>
                <w:color w:val="auto"/>
                <w:sz w:val="18"/>
                <w:szCs w:val="18"/>
              </w:rPr>
              <w:t>品使用说明书的要求重新进行氮气置换或者抽真空处理，合格后方可投入使用；</w:t>
            </w:r>
          </w:p>
          <w:p>
            <w:pPr>
              <w:pStyle w:val="15"/>
              <w:numPr>
                <w:ilvl w:val="0"/>
                <w:numId w:val="30"/>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充装介质对含水量有特别要求的移动式压力容器，首次充装前，必须按照产品使用说明书的要求对罐体或者气</w:t>
            </w:r>
            <w:r>
              <w:rPr>
                <w:rFonts w:ascii="Times New Roman" w:hAnsi="Times New Roman" w:cs="Times New Roman"/>
                <w:color w:val="auto"/>
                <w:sz w:val="18"/>
                <w:szCs w:val="18"/>
              </w:rPr>
              <w:t xml:space="preserve"> </w:t>
            </w:r>
            <w:r>
              <w:rPr>
                <w:rFonts w:ascii="Times New Roman" w:cs="Times New Roman"/>
                <w:color w:val="auto"/>
                <w:sz w:val="18"/>
                <w:szCs w:val="18"/>
              </w:rPr>
              <w:t>瓶内含水量进行处理和分析；</w:t>
            </w:r>
          </w:p>
          <w:p>
            <w:pPr>
              <w:pStyle w:val="15"/>
              <w:numPr>
                <w:ilvl w:val="0"/>
                <w:numId w:val="30"/>
              </w:numPr>
              <w:tabs>
                <w:tab w:val="left" w:pos="33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移动式压力容器到达卸载站点后，具备卸载条件的，必须及时卸载；充装易燃、易爆介质的，卸载后罐体或者气</w:t>
            </w:r>
            <w:r>
              <w:rPr>
                <w:rFonts w:ascii="Times New Roman" w:hAnsi="Times New Roman" w:cs="Times New Roman"/>
                <w:color w:val="auto"/>
                <w:sz w:val="18"/>
                <w:szCs w:val="18"/>
              </w:rPr>
              <w:t xml:space="preserve"> </w:t>
            </w:r>
            <w:r>
              <w:rPr>
                <w:rFonts w:ascii="Times New Roman" w:cs="Times New Roman"/>
                <w:color w:val="auto"/>
                <w:sz w:val="18"/>
                <w:szCs w:val="18"/>
              </w:rPr>
              <w:t>瓶内余压不得小于</w:t>
            </w:r>
            <w:r>
              <w:rPr>
                <w:rFonts w:ascii="Times New Roman" w:hAnsi="Times New Roman" w:eastAsia="Times New Roman" w:cs="Times New Roman"/>
                <w:color w:val="auto"/>
                <w:sz w:val="18"/>
                <w:szCs w:val="18"/>
                <w:lang w:val="en-US" w:eastAsia="zh-CN" w:bidi="en-US"/>
              </w:rPr>
              <w:t>0.05 MPa</w:t>
            </w:r>
            <w:r>
              <w:rPr>
                <w:rFonts w:ascii="Times New Roman" w:cs="Times New Roman"/>
                <w:color w:val="auto"/>
                <w:sz w:val="18"/>
                <w:szCs w:val="18"/>
                <w:lang w:val="en-US" w:eastAsia="zh-CN" w:bidi="en-US"/>
              </w:rPr>
              <w:t>；</w:t>
            </w:r>
          </w:p>
          <w:p>
            <w:pPr>
              <w:pStyle w:val="15"/>
              <w:numPr>
                <w:ilvl w:val="0"/>
                <w:numId w:val="30"/>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移动式压力容器卸载作业应当满足</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中第</w:t>
            </w:r>
            <w:r>
              <w:rPr>
                <w:rFonts w:ascii="Times New Roman" w:hAnsi="Times New Roman" w:eastAsia="Times New Roman" w:cs="Times New Roman"/>
                <w:color w:val="auto"/>
                <w:sz w:val="18"/>
                <w:szCs w:val="18"/>
              </w:rPr>
              <w:t>6</w:t>
            </w:r>
            <w:r>
              <w:rPr>
                <w:rFonts w:ascii="Times New Roman" w:cs="Times New Roman"/>
                <w:color w:val="auto"/>
                <w:sz w:val="18"/>
                <w:szCs w:val="18"/>
              </w:rPr>
              <w:t>章的相关安全要求，采用压差方式卸载时，接受</w:t>
            </w:r>
            <w:r>
              <w:rPr>
                <w:rFonts w:ascii="Times New Roman" w:hAnsi="Times New Roman" w:cs="Times New Roman"/>
                <w:color w:val="auto"/>
                <w:sz w:val="18"/>
                <w:szCs w:val="18"/>
              </w:rPr>
              <w:t xml:space="preserve"> </w:t>
            </w:r>
            <w:r>
              <w:rPr>
                <w:rFonts w:ascii="Times New Roman" w:cs="Times New Roman"/>
                <w:color w:val="auto"/>
                <w:sz w:val="18"/>
                <w:szCs w:val="18"/>
              </w:rPr>
              <w:t>卸载的固定式压力容器应当设置压力保护装置或者防止压力上升的等效措施；</w:t>
            </w:r>
          </w:p>
          <w:p>
            <w:pPr>
              <w:pStyle w:val="15"/>
              <w:numPr>
                <w:ilvl w:val="0"/>
                <w:numId w:val="30"/>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除应急救援情况外，禁止移动式压力容器之间相互装卸作业，禁止移动式压力容器直接向用气瓶进行充装；</w:t>
            </w:r>
          </w:p>
          <w:p>
            <w:pPr>
              <w:pStyle w:val="15"/>
              <w:numPr>
                <w:ilvl w:val="0"/>
                <w:numId w:val="30"/>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禁止使用明火直接烘烤或者采用高强度加热的办法对移动式压力容器进行升压或者对冰冻的阀门、仪表和管接</w:t>
            </w:r>
            <w:r>
              <w:rPr>
                <w:rFonts w:ascii="Times New Roman" w:cs="Times New Roman"/>
                <w:color w:val="auto"/>
                <w:sz w:val="18"/>
                <w:szCs w:val="18"/>
                <w:lang w:eastAsia="zh-CN"/>
              </w:rPr>
              <w:t>头</w:t>
            </w:r>
            <w:r>
              <w:rPr>
                <w:rFonts w:ascii="Times New Roman" w:cs="Times New Roman"/>
                <w:color w:val="auto"/>
                <w:sz w:val="18"/>
                <w:szCs w:val="18"/>
              </w:rPr>
              <w:t>等进行解冻。</w:t>
            </w:r>
          </w:p>
          <w:p>
            <w:pPr>
              <w:pStyle w:val="15"/>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负责本条第</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项处理工作的单位，应当向使用单位出具处理和分析结果的证明文件。</w:t>
            </w:r>
          </w:p>
        </w:tc>
      </w:tr>
      <w:tr>
        <w:trPr>
          <w:trHeight w:val="3265"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变更使用要求</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5.11</w:t>
            </w:r>
          </w:p>
        </w:tc>
        <w:tc>
          <w:tcPr>
            <w:tcW w:w="935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变更移动式压力容器使用条件</w:t>
            </w:r>
            <w:r>
              <w:rPr>
                <w:rFonts w:ascii="Times New Roman" w:hAnsi="Times New Roman" w:cs="Times New Roman"/>
                <w:color w:val="auto"/>
                <w:sz w:val="18"/>
                <w:szCs w:val="18"/>
              </w:rPr>
              <w:t>(</w:t>
            </w:r>
            <w:r>
              <w:rPr>
                <w:rFonts w:ascii="Times New Roman" w:cs="Times New Roman"/>
                <w:color w:val="auto"/>
                <w:sz w:val="18"/>
                <w:szCs w:val="18"/>
              </w:rPr>
              <w:t>如变更充装介质、设计参数、最大允许充装量等</w:t>
            </w:r>
            <w:r>
              <w:rPr>
                <w:rFonts w:ascii="Times New Roman" w:hAnsi="Times New Roman" w:cs="Times New Roman"/>
                <w:color w:val="auto"/>
                <w:sz w:val="18"/>
                <w:szCs w:val="18"/>
              </w:rPr>
              <w:t>)</w:t>
            </w:r>
            <w:r>
              <w:rPr>
                <w:rFonts w:ascii="Times New Roman" w:cs="Times New Roman"/>
                <w:color w:val="auto"/>
                <w:sz w:val="18"/>
                <w:szCs w:val="18"/>
              </w:rPr>
              <w:t>应当符合以下要求：</w:t>
            </w:r>
          </w:p>
          <w:p>
            <w:pPr>
              <w:pStyle w:val="15"/>
              <w:numPr>
                <w:ilvl w:val="0"/>
                <w:numId w:val="31"/>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必须经过原设计单位或者具有相应资质的设计单位书面同意，并且出具设计修改文件</w:t>
            </w:r>
            <w:r>
              <w:rPr>
                <w:rFonts w:ascii="Times New Roman" w:cs="Times New Roman"/>
                <w:color w:val="auto"/>
                <w:sz w:val="18"/>
                <w:szCs w:val="18"/>
                <w:lang w:eastAsia="zh-CN"/>
              </w:rPr>
              <w:t>；</w:t>
            </w:r>
            <w:r>
              <w:rPr>
                <w:rFonts w:ascii="Times New Roman" w:cs="Times New Roman"/>
                <w:color w:val="auto"/>
                <w:sz w:val="18"/>
                <w:szCs w:val="18"/>
              </w:rPr>
              <w:t>设计修改文件的内容至少包括设计修改说明、必要的检验试验要求、标志要求以及根据实际变更条件所需要的强度校核计算、安全泄放装置排放量计算、设计修改图样及产品使用说明等；</w:t>
            </w:r>
          </w:p>
          <w:p>
            <w:pPr>
              <w:pStyle w:val="15"/>
              <w:numPr>
                <w:ilvl w:val="0"/>
                <w:numId w:val="31"/>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需要对移动式压力容器结构进行相应改造的，按照</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中第</w:t>
            </w:r>
            <w:r>
              <w:rPr>
                <w:rFonts w:ascii="Times New Roman" w:hAnsi="Times New Roman" w:eastAsia="Times New Roman" w:cs="Times New Roman"/>
                <w:color w:val="auto"/>
                <w:sz w:val="18"/>
                <w:szCs w:val="18"/>
              </w:rPr>
              <w:t>7</w:t>
            </w:r>
            <w:r>
              <w:rPr>
                <w:rFonts w:ascii="Times New Roman" w:cs="Times New Roman"/>
                <w:color w:val="auto"/>
                <w:sz w:val="18"/>
                <w:szCs w:val="18"/>
              </w:rPr>
              <w:t>章相关规定及设计修改文件要求执行；</w:t>
            </w:r>
          </w:p>
          <w:p>
            <w:pPr>
              <w:pStyle w:val="15"/>
              <w:numPr>
                <w:ilvl w:val="0"/>
                <w:numId w:val="31"/>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不需要对移动式压力容器结构进行相应改造的，使用单位应当向使用登记机关提出书面申请，经具备相应检验资质的检验机构按照</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5.9</w:t>
            </w:r>
            <w:r>
              <w:rPr>
                <w:rFonts w:ascii="Times New Roman" w:cs="Times New Roman"/>
                <w:color w:val="auto"/>
                <w:sz w:val="18"/>
                <w:szCs w:val="18"/>
              </w:rPr>
              <w:t>的规定及设计修改文件的要求进行相应检验，合格后方可办理使用登记变更手续；</w:t>
            </w:r>
          </w:p>
          <w:p>
            <w:pPr>
              <w:pStyle w:val="15"/>
              <w:numPr>
                <w:ilvl w:val="0"/>
                <w:numId w:val="31"/>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变更充装介质，如果在原出厂设计文件</w:t>
            </w:r>
            <w:r>
              <w:rPr>
                <w:rFonts w:ascii="Times New Roman" w:hAnsi="Times New Roman" w:cs="Times New Roman"/>
                <w:color w:val="auto"/>
                <w:sz w:val="18"/>
                <w:szCs w:val="18"/>
              </w:rPr>
              <w:t>(</w:t>
            </w:r>
            <w:r>
              <w:rPr>
                <w:rFonts w:ascii="Times New Roman" w:cs="Times New Roman"/>
                <w:color w:val="auto"/>
                <w:sz w:val="18"/>
                <w:szCs w:val="18"/>
              </w:rPr>
              <w:t>竣工图、产品说明书等</w:t>
            </w:r>
            <w:r>
              <w:rPr>
                <w:rFonts w:ascii="Times New Roman" w:hAnsi="Times New Roman" w:cs="Times New Roman"/>
                <w:color w:val="auto"/>
                <w:sz w:val="18"/>
                <w:szCs w:val="18"/>
              </w:rPr>
              <w:t>)</w:t>
            </w:r>
            <w:r>
              <w:rPr>
                <w:rFonts w:ascii="Times New Roman" w:cs="Times New Roman"/>
                <w:color w:val="auto"/>
                <w:sz w:val="18"/>
                <w:szCs w:val="18"/>
              </w:rPr>
              <w:t>允许范围内，按照本条第</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项的规定执行；如果不在原出厂设计规定范围内，则根据情况按照本条的相应规定执行；</w:t>
            </w:r>
          </w:p>
          <w:p>
            <w:pPr>
              <w:pStyle w:val="15"/>
              <w:numPr>
                <w:ilvl w:val="0"/>
                <w:numId w:val="31"/>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变更使用条件，但是未进行</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7.2</w:t>
            </w:r>
            <w:r>
              <w:rPr>
                <w:rFonts w:ascii="Times New Roman" w:cs="Times New Roman"/>
                <w:color w:val="auto"/>
                <w:sz w:val="18"/>
                <w:szCs w:val="18"/>
              </w:rPr>
              <w:t>所述改造的，可以不更换产品铭牌，由修理单位或者改造单位根据变更后的内容，按照引用标准进行表面涂装及标志等；</w:t>
            </w:r>
          </w:p>
          <w:p>
            <w:pPr>
              <w:pStyle w:val="15"/>
              <w:numPr>
                <w:ilvl w:val="0"/>
                <w:numId w:val="31"/>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使用条件变更后，使用单位必须将移动式压力容器的变更资料</w:t>
            </w:r>
            <w:r>
              <w:rPr>
                <w:rFonts w:ascii="Times New Roman" w:hAnsi="Times New Roman" w:cs="Times New Roman"/>
                <w:color w:val="auto"/>
                <w:sz w:val="18"/>
                <w:szCs w:val="18"/>
              </w:rPr>
              <w:t>(</w:t>
            </w:r>
            <w:r>
              <w:rPr>
                <w:rFonts w:ascii="Times New Roman" w:cs="Times New Roman"/>
                <w:color w:val="auto"/>
                <w:sz w:val="18"/>
                <w:szCs w:val="18"/>
              </w:rPr>
              <w:t>包括设计单位同意的证明文件、设计修改文件及必要的检验报告等</w:t>
            </w:r>
            <w:r>
              <w:rPr>
                <w:rFonts w:ascii="Times New Roman" w:hAnsi="Times New Roman" w:cs="Times New Roman"/>
                <w:color w:val="auto"/>
                <w:sz w:val="18"/>
                <w:szCs w:val="18"/>
              </w:rPr>
              <w:t>)</w:t>
            </w:r>
            <w:r>
              <w:rPr>
                <w:rFonts w:ascii="Times New Roman" w:cs="Times New Roman"/>
                <w:color w:val="auto"/>
                <w:sz w:val="18"/>
                <w:szCs w:val="18"/>
              </w:rPr>
              <w:t>报使用登记机关备案，并且办理使用登记变更手续。</w:t>
            </w:r>
          </w:p>
        </w:tc>
      </w:tr>
      <w:tr>
        <w:trPr>
          <w:trHeight w:val="1409"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临时进口管理</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5.12.2</w:t>
            </w:r>
          </w:p>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5.12.4</w:t>
            </w:r>
          </w:p>
        </w:tc>
        <w:tc>
          <w:tcPr>
            <w:tcW w:w="9356"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临时进口移动式压力容器的使用单位安全管理工作应当符合以下要求：</w:t>
            </w:r>
          </w:p>
          <w:p>
            <w:pPr>
              <w:pStyle w:val="15"/>
              <w:numPr>
                <w:ilvl w:val="0"/>
                <w:numId w:val="3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制定和执行临时进口移动式压力容器安全管理制度；</w:t>
            </w:r>
          </w:p>
          <w:p>
            <w:pPr>
              <w:pStyle w:val="15"/>
              <w:numPr>
                <w:ilvl w:val="0"/>
                <w:numId w:val="3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建立临时进口移动式压力容器档案；</w:t>
            </w:r>
          </w:p>
          <w:p>
            <w:pPr>
              <w:pStyle w:val="15"/>
              <w:numPr>
                <w:ilvl w:val="0"/>
                <w:numId w:val="3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按照规定要求办理临时进口移动式压力容器的通关手续，约请检验机构实施安全性能检验，安全性能检验不合格的临时进口移动式压力容器不得使用；</w:t>
            </w:r>
          </w:p>
        </w:tc>
      </w:tr>
    </w:tbl>
    <w:p>
      <w:pPr>
        <w:snapToGrid w:val="0"/>
        <w:rPr>
          <w:rFonts w:eastAsia="宋体"/>
          <w:color w:val="auto"/>
          <w:sz w:val="18"/>
          <w:szCs w:val="18"/>
          <w:lang w:eastAsia="zh-CN"/>
        </w:rPr>
      </w:pPr>
    </w:p>
    <w:p>
      <w:pPr>
        <w:snapToGrid w:val="0"/>
        <w:rPr>
          <w:color w:val="auto"/>
          <w:sz w:val="18"/>
          <w:szCs w:val="18"/>
          <w:lang w:eastAsia="zh-CN"/>
        </w:rPr>
        <w:sectPr>
          <w:headerReference r:id="rId12" w:type="default"/>
          <w:headerReference r:id="rId13" w:type="even"/>
          <w:pgSz w:w="16840" w:h="11900" w:orient="landscape"/>
          <w:pgMar w:top="1134" w:right="1134" w:bottom="1134" w:left="1134" w:header="0" w:footer="918" w:gutter="0"/>
          <w:pgNumType w:start="3"/>
          <w:cols w:space="720" w:num="1"/>
          <w:docGrid w:linePitch="360" w:charSpace="0"/>
        </w:sectPr>
      </w:pPr>
    </w:p>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836"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临时进口管理</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安全管理人员</w:t>
            </w:r>
          </w:p>
        </w:tc>
        <w:tc>
          <w:tcPr>
            <w:tcW w:w="887"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rPr>
              <w:t>每年至少一次</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5.12.2</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5.12.4</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w:t>
            </w:r>
            <w:r>
              <w:rPr>
                <w:rFonts w:ascii="Times New Roman" w:cs="Times New Roman"/>
                <w:color w:val="auto"/>
                <w:sz w:val="18"/>
                <w:szCs w:val="18"/>
              </w:rPr>
              <w:t>满足</w:t>
            </w: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w:t>
            </w:r>
            <w:r>
              <w:rPr>
                <w:rFonts w:ascii="Times New Roman" w:cs="Times New Roman"/>
                <w:color w:val="auto"/>
                <w:sz w:val="18"/>
                <w:szCs w:val="18"/>
              </w:rPr>
              <w:t>中</w:t>
            </w:r>
            <w:r>
              <w:rPr>
                <w:rFonts w:ascii="Times New Roman" w:hAnsi="Times New Roman" w:cs="Times New Roman"/>
                <w:color w:val="auto"/>
                <w:sz w:val="18"/>
                <w:szCs w:val="18"/>
                <w:lang w:val="en-US" w:eastAsia="zh-CN" w:bidi="en-US"/>
              </w:rPr>
              <w:t>5.12.4</w:t>
            </w:r>
            <w:r>
              <w:rPr>
                <w:rFonts w:ascii="Times New Roman" w:cs="Times New Roman"/>
                <w:color w:val="auto"/>
                <w:sz w:val="18"/>
                <w:szCs w:val="18"/>
              </w:rPr>
              <w:t>要求，且充装后即出境的临时进口罐式集装箱允许在境内充装，其他的临时进口移动式压力容器需要取得充装所在地省、直辖市或者设区的市的质监部门同意后方可在境内充装。</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符合《国际海运危险货物运输规则》的临时进口罐式集装箱</w:t>
            </w:r>
            <w:r>
              <w:rPr>
                <w:rFonts w:ascii="Times New Roman" w:hAnsi="Times New Roman" w:cs="Times New Roman"/>
                <w:color w:val="auto"/>
                <w:sz w:val="18"/>
                <w:szCs w:val="18"/>
              </w:rPr>
              <w:t>(</w:t>
            </w:r>
            <w:r>
              <w:rPr>
                <w:rFonts w:ascii="Times New Roman" w:cs="Times New Roman"/>
                <w:color w:val="auto"/>
                <w:sz w:val="18"/>
                <w:szCs w:val="18"/>
              </w:rPr>
              <w:t>以下简称临时罐箱</w:t>
            </w:r>
            <w:r>
              <w:rPr>
                <w:rFonts w:ascii="Times New Roman" w:hAnsi="Times New Roman" w:cs="Times New Roman"/>
                <w:color w:val="auto"/>
                <w:sz w:val="18"/>
                <w:szCs w:val="18"/>
              </w:rPr>
              <w:t>)</w:t>
            </w:r>
            <w:r>
              <w:rPr>
                <w:rFonts w:ascii="Times New Roman" w:cs="Times New Roman"/>
                <w:color w:val="auto"/>
                <w:sz w:val="18"/>
                <w:szCs w:val="18"/>
              </w:rPr>
              <w:t>的安全管理：</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对符合《国际海运危险货物运输规则》，按照该规则进行检验并且检验合格证明文件在有效期内的临时罐箱，如果卸载后或者充装后即出境</w:t>
            </w:r>
            <w:r>
              <w:rPr>
                <w:rFonts w:ascii="Times New Roman" w:hAnsi="Times New Roman" w:cs="Times New Roman"/>
                <w:color w:val="auto"/>
                <w:sz w:val="18"/>
                <w:szCs w:val="18"/>
              </w:rPr>
              <w:t>,</w:t>
            </w:r>
            <w:r>
              <w:rPr>
                <w:rFonts w:ascii="Times New Roman" w:cs="Times New Roman"/>
                <w:color w:val="auto"/>
                <w:sz w:val="18"/>
                <w:szCs w:val="18"/>
              </w:rPr>
              <w:t>可免除</w:t>
            </w: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w:t>
            </w:r>
            <w:r>
              <w:rPr>
                <w:rFonts w:ascii="Times New Roman" w:cs="Times New Roman"/>
                <w:color w:val="auto"/>
                <w:sz w:val="18"/>
                <w:szCs w:val="18"/>
              </w:rPr>
              <w:t>中</w:t>
            </w:r>
            <w:r>
              <w:rPr>
                <w:rFonts w:ascii="Times New Roman" w:hAnsi="Times New Roman" w:cs="Times New Roman"/>
                <w:color w:val="auto"/>
                <w:sz w:val="18"/>
                <w:szCs w:val="18"/>
                <w:lang w:val="en-US" w:eastAsia="zh-CN" w:bidi="en-US"/>
              </w:rPr>
              <w:t>5.12.2,5.12.3</w:t>
            </w:r>
            <w:r>
              <w:rPr>
                <w:rFonts w:ascii="Times New Roman" w:cs="Times New Roman"/>
                <w:color w:val="auto"/>
                <w:sz w:val="18"/>
                <w:szCs w:val="18"/>
              </w:rPr>
              <w:t>规定中的安全性能检验。</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临时罐箱在境内的使用单位应当自主执行检查并核对产权所在国家</w:t>
            </w:r>
            <w:r>
              <w:rPr>
                <w:rFonts w:ascii="Times New Roman" w:hAnsi="Times New Roman" w:cs="Times New Roman"/>
                <w:color w:val="auto"/>
                <w:sz w:val="18"/>
                <w:szCs w:val="18"/>
              </w:rPr>
              <w:t>(</w:t>
            </w:r>
            <w:r>
              <w:rPr>
                <w:rFonts w:ascii="Times New Roman" w:cs="Times New Roman"/>
                <w:color w:val="auto"/>
                <w:sz w:val="18"/>
                <w:szCs w:val="18"/>
              </w:rPr>
              <w:t>或者地区</w:t>
            </w:r>
            <w:r>
              <w:rPr>
                <w:rFonts w:ascii="Times New Roman" w:hAnsi="Times New Roman" w:cs="Times New Roman"/>
                <w:color w:val="auto"/>
                <w:sz w:val="18"/>
                <w:szCs w:val="18"/>
              </w:rPr>
              <w:t>)</w:t>
            </w:r>
            <w:r>
              <w:rPr>
                <w:rFonts w:ascii="Times New Roman" w:cs="Times New Roman"/>
                <w:color w:val="auto"/>
                <w:sz w:val="18"/>
                <w:szCs w:val="18"/>
              </w:rPr>
              <w:t>官方授权检验机构出具的检验合格证明文件，并且按照</w:t>
            </w:r>
            <w:r>
              <w:rPr>
                <w:rFonts w:ascii="Times New Roman" w:hAnsi="Times New Roman" w:cs="Times New Roman"/>
                <w:color w:val="auto"/>
                <w:sz w:val="18"/>
                <w:szCs w:val="18"/>
                <w:lang w:val="en-US" w:eastAsia="zh-CN" w:bidi="en-US"/>
              </w:rPr>
              <w:t>TSG R0005-2011</w:t>
            </w:r>
            <w:r>
              <w:rPr>
                <w:rFonts w:ascii="Times New Roman" w:cs="Times New Roman"/>
                <w:color w:val="auto"/>
                <w:sz w:val="18"/>
                <w:szCs w:val="18"/>
              </w:rPr>
              <w:t>中相关要求做好日常检查和维护保养工作。</w:t>
            </w:r>
          </w:p>
        </w:tc>
      </w:tr>
      <w:tr>
        <w:trPr>
          <w:trHeight w:val="1974"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运输安全要求</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5.13</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使用单位应当严格执行国务院有关部门的相关规定，移动式压力容器的运输过程作业安全至少还应当满足以下安全要求：</w:t>
            </w:r>
          </w:p>
          <w:p>
            <w:pPr>
              <w:pStyle w:val="15"/>
              <w:tabs>
                <w:tab w:val="left" w:pos="326"/>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公路危险货物运输过程中，除按照有关规定配备具有驾驶人员、押运人员资格的随车人员外，还需配备具有移动式压力容器操作资格的特种设备作业人员，对运输全过程进行监护；</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运输过程中，任何操作阀门必须置于闭止状态；</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快装接口安装盲法兰或者等效装置；</w:t>
            </w:r>
          </w:p>
          <w:p>
            <w:pPr>
              <w:pStyle w:val="15"/>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(4) </w:t>
            </w:r>
            <w:r>
              <w:rPr>
                <w:rFonts w:ascii="Times New Roman" w:cs="Times New Roman"/>
                <w:color w:val="auto"/>
                <w:sz w:val="18"/>
                <w:szCs w:val="18"/>
              </w:rPr>
              <w:t>充装冷冻液化气体介质的移动式压力容器，装卸间隔的时间不得超过其标态维持时间；</w:t>
            </w:r>
          </w:p>
          <w:p>
            <w:pPr>
              <w:pStyle w:val="15"/>
              <w:tabs>
                <w:tab w:val="left" w:pos="326"/>
              </w:tabs>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(5) </w:t>
            </w:r>
            <w:r>
              <w:rPr>
                <w:rFonts w:ascii="Times New Roman" w:cs="Times New Roman"/>
                <w:color w:val="auto"/>
                <w:sz w:val="18"/>
                <w:szCs w:val="18"/>
              </w:rPr>
              <w:t>罐式集装箱或者管束式集装箱按照规定的要求进行吊装和堆放。</w:t>
            </w:r>
          </w:p>
        </w:tc>
      </w:tr>
      <w:tr>
        <w:trPr>
          <w:trHeight w:val="571"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随车装备</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5.14</w:t>
            </w:r>
          </w:p>
        </w:tc>
        <w:tc>
          <w:tcPr>
            <w:tcW w:w="9356" w:type="dxa"/>
            <w:shd w:val="clear" w:color="auto" w:fill="FFFFFF"/>
            <w:noWrap w:val="0"/>
            <w:vAlign w:val="center"/>
          </w:tcPr>
          <w:p>
            <w:pPr>
              <w:pStyle w:val="15"/>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使用单位应当为操作人员或者押运员配备日常作业必需的安全防护装备、专用工具和必要的备品、备件等，还应当根据所充装介质的危害特性随车配备必需的应急处理器材和个人防护用品。</w:t>
            </w:r>
          </w:p>
        </w:tc>
      </w:tr>
      <w:tr>
        <w:trPr>
          <w:trHeight w:val="1544"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随车资料</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5.15</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除随车携带有关部门颁发的各种证书外，还应当携带以下文件和资料：</w:t>
            </w:r>
          </w:p>
          <w:p>
            <w:pPr>
              <w:pStyle w:val="15"/>
              <w:numPr>
                <w:ilvl w:val="0"/>
                <w:numId w:val="33"/>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《使用登记证》及电子记录卡；</w:t>
            </w:r>
          </w:p>
          <w:p>
            <w:pPr>
              <w:pStyle w:val="15"/>
              <w:numPr>
                <w:ilvl w:val="0"/>
                <w:numId w:val="33"/>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《特种设备作业人员证》和有关管理部门的从业资格证；</w:t>
            </w:r>
          </w:p>
          <w:p>
            <w:pPr>
              <w:pStyle w:val="15"/>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液面计指示值与液体容积对照表</w:t>
            </w:r>
            <w:r>
              <w:rPr>
                <w:rFonts w:ascii="Times New Roman" w:hAnsi="Times New Roman" w:cs="Times New Roman"/>
                <w:color w:val="auto"/>
                <w:sz w:val="18"/>
                <w:szCs w:val="18"/>
              </w:rPr>
              <w:t>(</w:t>
            </w:r>
            <w:r>
              <w:rPr>
                <w:rFonts w:ascii="Times New Roman" w:cs="Times New Roman"/>
                <w:color w:val="auto"/>
                <w:sz w:val="18"/>
                <w:szCs w:val="18"/>
              </w:rPr>
              <w:t>或者温度与压力对照表</w:t>
            </w:r>
            <w:r>
              <w:rPr>
                <w:rFonts w:ascii="Times New Roman" w:hAnsi="Times New Roman" w:cs="Times New Roman"/>
                <w:color w:val="auto"/>
                <w:sz w:val="18"/>
                <w:szCs w:val="18"/>
              </w:rPr>
              <w:t>)</w:t>
            </w:r>
            <w:r>
              <w:rPr>
                <w:rFonts w:ascii="Times New Roman" w:cs="Times New Roman"/>
                <w:color w:val="auto"/>
                <w:sz w:val="18"/>
                <w:szCs w:val="18"/>
              </w:rPr>
              <w:t>；</w:t>
            </w:r>
          </w:p>
          <w:p>
            <w:pPr>
              <w:pStyle w:val="15"/>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移动式压力容器装卸记录；</w:t>
            </w:r>
          </w:p>
          <w:p>
            <w:pPr>
              <w:pStyle w:val="15"/>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事故应急专项预案。</w:t>
            </w:r>
          </w:p>
        </w:tc>
      </w:tr>
      <w:tr>
        <w:trPr>
          <w:trHeight w:val="715"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应急救援</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5.16</w:t>
            </w:r>
          </w:p>
        </w:tc>
        <w:tc>
          <w:tcPr>
            <w:tcW w:w="9356" w:type="dxa"/>
            <w:shd w:val="clear" w:color="auto" w:fill="FFFFFF"/>
            <w:noWrap w:val="0"/>
            <w:vAlign w:val="center"/>
          </w:tcPr>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使用单位应当制定相应的事故应急专项预案，建立相应的应急救援组织机构，配置与之适应的应急救援装备，并且定期组织演练，演练应当有记录并进行分析总结。</w:t>
            </w:r>
          </w:p>
        </w:tc>
      </w:tr>
      <w:tr>
        <w:trPr>
          <w:trHeight w:val="711"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装卸用管使用</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6.3</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使用单位对装卸用管必须每年进行</w:t>
            </w:r>
            <w:r>
              <w:rPr>
                <w:rFonts w:ascii="Times New Roman" w:hAnsi="Times New Roman" w:eastAsia="Times New Roman" w:cs="Times New Roman"/>
                <w:color w:val="auto"/>
                <w:sz w:val="18"/>
                <w:szCs w:val="18"/>
              </w:rPr>
              <w:t>1</w:t>
            </w:r>
            <w:r>
              <w:rPr>
                <w:rFonts w:ascii="Times New Roman" w:cs="Times New Roman"/>
                <w:color w:val="auto"/>
                <w:sz w:val="18"/>
                <w:szCs w:val="18"/>
              </w:rPr>
              <w:t>次耐压试验，试验压力为装卸用管公称压力的</w:t>
            </w:r>
            <w:r>
              <w:rPr>
                <w:rFonts w:ascii="Times New Roman" w:hAnsi="Times New Roman" w:eastAsia="Times New Roman" w:cs="Times New Roman"/>
                <w:color w:val="auto"/>
                <w:sz w:val="18"/>
                <w:szCs w:val="18"/>
                <w:lang w:val="en-US" w:eastAsia="zh-CN" w:bidi="en-US"/>
              </w:rPr>
              <w:t>1.5</w:t>
            </w:r>
            <w:r>
              <w:rPr>
                <w:rFonts w:ascii="Times New Roman" w:cs="Times New Roman"/>
                <w:color w:val="auto"/>
                <w:sz w:val="18"/>
                <w:szCs w:val="18"/>
              </w:rPr>
              <w:t>倍，试验结果要有记录和试验人员的签字。</w:t>
            </w:r>
          </w:p>
        </w:tc>
      </w:tr>
      <w:tr>
        <w:trPr>
          <w:trHeight w:val="990"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日常检查和维护保养</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随车作业人员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每次出车前、停车后和装卸前后</w:t>
            </w: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5.7</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使用单位应当做好移动式压力容器的</w:t>
            </w:r>
            <w:r>
              <w:rPr>
                <w:rFonts w:ascii="Times New Roman" w:hAnsi="Times New Roman" w:cs="Times New Roman"/>
                <w:color w:val="auto"/>
                <w:sz w:val="18"/>
                <w:szCs w:val="18"/>
                <w:lang w:eastAsia="zh-CN"/>
              </w:rPr>
              <w:t>日</w:t>
            </w:r>
            <w:r>
              <w:rPr>
                <w:rFonts w:ascii="Times New Roman" w:cs="Times New Roman"/>
                <w:color w:val="auto"/>
                <w:sz w:val="18"/>
                <w:szCs w:val="18"/>
              </w:rPr>
              <w:t>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隐患，应当及时妥善处理。日常检查和维护保养与定期自行检查应当进行记录。</w:t>
            </w:r>
          </w:p>
        </w:tc>
      </w:tr>
    </w:tbl>
    <w:p>
      <w:pPr>
        <w:snapToGrid w:val="0"/>
        <w:rPr>
          <w:rFonts w:eastAsia="宋体"/>
          <w:color w:val="auto"/>
          <w:sz w:val="18"/>
          <w:szCs w:val="18"/>
          <w:lang w:eastAsia="zh-CN"/>
        </w:rPr>
      </w:pPr>
    </w:p>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694"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日常检查和</w:t>
            </w:r>
            <w:r>
              <w:rPr>
                <w:rFonts w:ascii="Times New Roman" w:hAnsi="Times New Roman" w:cs="Times New Roman"/>
                <w:color w:val="auto"/>
                <w:sz w:val="18"/>
                <w:szCs w:val="18"/>
              </w:rPr>
              <w:t xml:space="preserve"> </w:t>
            </w:r>
            <w:r>
              <w:rPr>
                <w:rFonts w:ascii="Times New Roman" w:cs="Times New Roman"/>
                <w:color w:val="auto"/>
                <w:sz w:val="18"/>
                <w:szCs w:val="18"/>
              </w:rPr>
              <w:t>维护保养</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随车作业人员</w:t>
            </w:r>
          </w:p>
        </w:tc>
        <w:tc>
          <w:tcPr>
            <w:tcW w:w="887"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rPr>
              <w:t>每次出车前、停车后和装卸前后</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5.7</w:t>
            </w:r>
          </w:p>
        </w:tc>
        <w:tc>
          <w:tcPr>
            <w:tcW w:w="9356" w:type="dxa"/>
            <w:vMerge w:val="restart"/>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日常检查和维护保养与定期自行检查至少包括以下内容：</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罐体或者气瓶涂层及漆色是否完好，有无脱落等；</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2</w:t>
            </w: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 xml:space="preserve"> </w:t>
            </w:r>
            <w:r>
              <w:rPr>
                <w:rFonts w:ascii="Times New Roman" w:hAnsi="Times New Roman" w:cs="Times New Roman"/>
                <w:color w:val="auto"/>
                <w:sz w:val="18"/>
                <w:szCs w:val="18"/>
              </w:rPr>
              <w:t>罐体保温层、真空绝热层是否完好；</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罐体或者气瓶外部的标志是否清晰；</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4</w:t>
            </w: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 xml:space="preserve"> </w:t>
            </w:r>
            <w:r>
              <w:rPr>
                <w:rFonts w:ascii="Times New Roman" w:hAnsi="Times New Roman" w:cs="Times New Roman"/>
                <w:color w:val="auto"/>
                <w:sz w:val="18"/>
                <w:szCs w:val="18"/>
              </w:rPr>
              <w:t>紧急切断阀以及相关的操作阀门是否置于闭止状态；</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安全附件是否完好；</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装卸附件是否完好；</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紧固件的连接是否牢固可靠、是否有松动现象；</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hAnsi="Times New Roman" w:cs="Times New Roman"/>
                <w:color w:val="auto"/>
                <w:sz w:val="18"/>
                <w:szCs w:val="18"/>
              </w:rPr>
              <w:t>罐体或者气瓶内压力、温度是否异常及有无明显的波动；</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hAnsi="Times New Roman" w:cs="Times New Roman"/>
                <w:color w:val="auto"/>
                <w:sz w:val="18"/>
                <w:szCs w:val="18"/>
              </w:rPr>
              <w:t>罐体或者气瓶各密封面有无泄漏；</w:t>
            </w:r>
          </w:p>
          <w:p>
            <w:pPr>
              <w:pStyle w:val="15"/>
              <w:tabs>
                <w:tab w:val="left" w:pos="413"/>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(10) </w:t>
            </w:r>
            <w:r>
              <w:rPr>
                <w:rFonts w:ascii="Times New Roman" w:hAnsi="Times New Roman" w:cs="Times New Roman"/>
                <w:color w:val="auto"/>
                <w:sz w:val="18"/>
                <w:szCs w:val="18"/>
              </w:rPr>
              <w:t>随车配备的应急处理器材、防护用品及专用工具、备品备件是否齐全，是否完好有效；</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1) </w:t>
            </w:r>
            <w:r>
              <w:rPr>
                <w:rFonts w:ascii="Times New Roman" w:cs="Times New Roman"/>
                <w:color w:val="auto"/>
                <w:sz w:val="18"/>
                <w:szCs w:val="18"/>
              </w:rPr>
              <w:t>罐体或者气瓶与走行装置或者框架的连接紧固装置是否完好、牢固。</w:t>
            </w:r>
          </w:p>
        </w:tc>
      </w:tr>
      <w:tr>
        <w:trPr>
          <w:trHeight w:val="1278"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定期自行检查</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安全管理人员</w:t>
            </w:r>
          </w:p>
        </w:tc>
        <w:tc>
          <w:tcPr>
            <w:tcW w:w="887"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至少每月进行一次</w:t>
            </w: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356" w:type="dxa"/>
            <w:vMerge w:val="continue"/>
            <w:shd w:val="clear" w:color="auto" w:fill="FFFFFF"/>
            <w:noWrap w:val="0"/>
            <w:vAlign w:val="center"/>
          </w:tcPr>
          <w:p>
            <w:pPr>
              <w:pStyle w:val="15"/>
              <w:tabs>
                <w:tab w:val="left" w:pos="326"/>
              </w:tabs>
              <w:snapToGrid w:val="0"/>
              <w:spacing w:line="240" w:lineRule="auto"/>
              <w:jc w:val="both"/>
              <w:rPr>
                <w:rFonts w:ascii="Times New Roman" w:hAnsi="Times New Roman" w:cs="Times New Roman"/>
                <w:color w:val="auto"/>
                <w:sz w:val="18"/>
                <w:szCs w:val="18"/>
                <w:lang w:eastAsia="zh-CN"/>
              </w:rPr>
            </w:pPr>
          </w:p>
        </w:tc>
      </w:tr>
      <w:tr>
        <w:trPr>
          <w:trHeight w:val="1281"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年度检验（汽车罐车、铁路</w:t>
            </w:r>
            <w:r>
              <w:rPr>
                <w:rFonts w:ascii="Times New Roman" w:hAnsi="Times New Roman" w:cs="Times New Roman"/>
                <w:color w:val="auto"/>
                <w:sz w:val="18"/>
                <w:szCs w:val="18"/>
              </w:rPr>
              <w:t xml:space="preserve"> </w:t>
            </w:r>
            <w:r>
              <w:rPr>
                <w:rFonts w:ascii="Times New Roman" w:cs="Times New Roman"/>
                <w:color w:val="auto"/>
                <w:sz w:val="18"/>
                <w:szCs w:val="18"/>
              </w:rPr>
              <w:t>罐车和罐式集装箱）</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检验机构有资质的检</w:t>
            </w:r>
            <w:r>
              <w:rPr>
                <w:rFonts w:ascii="Times New Roman" w:hAnsi="Times New Roman" w:cs="Times New Roman"/>
                <w:color w:val="auto"/>
                <w:sz w:val="18"/>
                <w:szCs w:val="18"/>
              </w:rPr>
              <w:t xml:space="preserve"> </w:t>
            </w:r>
            <w:r>
              <w:rPr>
                <w:rFonts w:ascii="Times New Roman" w:cs="Times New Roman"/>
                <w:color w:val="auto"/>
                <w:sz w:val="18"/>
                <w:szCs w:val="18"/>
              </w:rPr>
              <w:t>验人员</w:t>
            </w:r>
          </w:p>
        </w:tc>
        <w:tc>
          <w:tcPr>
            <w:tcW w:w="887" w:type="dxa"/>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每年至少一次</w:t>
            </w: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8.1</w:t>
            </w:r>
          </w:p>
        </w:tc>
        <w:tc>
          <w:tcPr>
            <w:tcW w:w="9356" w:type="dxa"/>
            <w:vMerge w:val="restart"/>
            <w:shd w:val="clear" w:color="auto" w:fill="FFFFFF"/>
            <w:noWrap w:val="0"/>
            <w:vAlign w:val="center"/>
          </w:tcPr>
          <w:p>
            <w:pPr>
              <w:pStyle w:val="15"/>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使用单位应当于移动式压力容器定期检验有效期届满前</w:t>
            </w:r>
            <w:r>
              <w:rPr>
                <w:rFonts w:ascii="Times New Roman" w:hAnsi="Times New Roman" w:eastAsia="Times New Roman" w:cs="Times New Roman"/>
                <w:color w:val="auto"/>
                <w:sz w:val="18"/>
                <w:szCs w:val="18"/>
              </w:rPr>
              <w:t>1</w:t>
            </w:r>
            <w:r>
              <w:rPr>
                <w:rFonts w:ascii="Times New Roman" w:cs="Times New Roman"/>
                <w:color w:val="auto"/>
                <w:sz w:val="18"/>
                <w:szCs w:val="18"/>
              </w:rPr>
              <w:t>个月向检验机构提出定期检验要求。</w:t>
            </w:r>
          </w:p>
        </w:tc>
      </w:tr>
      <w:tr>
        <w:trPr>
          <w:trHeight w:val="1258"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全面检验（汽车罐车、铁路</w:t>
            </w:r>
            <w:r>
              <w:rPr>
                <w:rFonts w:ascii="Times New Roman" w:hAnsi="Times New Roman" w:cs="Times New Roman"/>
                <w:color w:val="auto"/>
                <w:sz w:val="18"/>
                <w:szCs w:val="18"/>
              </w:rPr>
              <w:t xml:space="preserve"> </w:t>
            </w:r>
            <w:r>
              <w:rPr>
                <w:rFonts w:ascii="Times New Roman" w:cs="Times New Roman"/>
                <w:color w:val="auto"/>
                <w:sz w:val="18"/>
                <w:szCs w:val="18"/>
              </w:rPr>
              <w:t>罐车和罐式集装箱）</w:t>
            </w: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由检验人员根据安全状况等级确定</w:t>
            </w: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p>
        </w:tc>
        <w:tc>
          <w:tcPr>
            <w:tcW w:w="9356" w:type="dxa"/>
            <w:vMerge w:val="continue"/>
            <w:shd w:val="clear" w:color="auto" w:fill="FFFFFF"/>
            <w:noWrap w:val="0"/>
            <w:vAlign w:val="center"/>
          </w:tcPr>
          <w:p>
            <w:pPr>
              <w:pStyle w:val="15"/>
              <w:tabs>
                <w:tab w:val="left" w:pos="317"/>
              </w:tabs>
              <w:snapToGrid w:val="0"/>
              <w:spacing w:line="240" w:lineRule="auto"/>
              <w:rPr>
                <w:rFonts w:ascii="Times New Roman" w:hAnsi="Times New Roman" w:cs="Times New Roman"/>
                <w:color w:val="auto"/>
                <w:sz w:val="18"/>
                <w:szCs w:val="18"/>
              </w:rPr>
            </w:pPr>
          </w:p>
        </w:tc>
      </w:tr>
      <w:tr>
        <w:trPr>
          <w:trHeight w:val="1290" w:hRule="exact"/>
        </w:trPr>
        <w:tc>
          <w:tcPr>
            <w:tcW w:w="861"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年度检查</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cs="Times New Roman"/>
                <w:color w:val="auto"/>
                <w:sz w:val="18"/>
                <w:szCs w:val="18"/>
              </w:rPr>
              <w:t>长管拖车、管束式集</w:t>
            </w:r>
            <w:r>
              <w:rPr>
                <w:rFonts w:ascii="Times New Roman" w:hAnsi="Times New Roman" w:cs="Times New Roman"/>
                <w:color w:val="auto"/>
                <w:sz w:val="18"/>
                <w:szCs w:val="18"/>
              </w:rPr>
              <w:t xml:space="preserve"> </w:t>
            </w:r>
            <w:r>
              <w:rPr>
                <w:rFonts w:ascii="Times New Roman" w:cs="Times New Roman"/>
                <w:color w:val="auto"/>
                <w:sz w:val="18"/>
                <w:szCs w:val="18"/>
              </w:rPr>
              <w:t>装箱</w:t>
            </w:r>
            <w:r>
              <w:rPr>
                <w:rFonts w:ascii="Times New Roman" w:hAnsi="Times New Roman" w:cs="Times New Roman"/>
                <w:color w:val="auto"/>
                <w:sz w:val="18"/>
                <w:szCs w:val="18"/>
              </w:rPr>
              <w:t>)</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使用单位或有相应定</w:t>
            </w:r>
            <w:r>
              <w:rPr>
                <w:rFonts w:ascii="Times New Roman" w:hAnsi="Times New Roman" w:cs="Times New Roman"/>
                <w:color w:val="auto"/>
                <w:sz w:val="18"/>
                <w:szCs w:val="18"/>
              </w:rPr>
              <w:t xml:space="preserve"> </w:t>
            </w:r>
            <w:r>
              <w:rPr>
                <w:rFonts w:ascii="Times New Roman" w:cs="Times New Roman"/>
                <w:color w:val="auto"/>
                <w:sz w:val="18"/>
                <w:szCs w:val="18"/>
              </w:rPr>
              <w:t>期检验资质的检验机</w:t>
            </w:r>
            <w:r>
              <w:rPr>
                <w:rFonts w:ascii="Times New Roman" w:hAnsi="Times New Roman" w:cs="Times New Roman"/>
                <w:color w:val="auto"/>
                <w:sz w:val="18"/>
                <w:szCs w:val="18"/>
              </w:rPr>
              <w:t xml:space="preserve"> </w:t>
            </w:r>
            <w:r>
              <w:rPr>
                <w:rFonts w:ascii="Times New Roman" w:cs="Times New Roman"/>
                <w:color w:val="auto"/>
                <w:sz w:val="18"/>
                <w:szCs w:val="18"/>
              </w:rPr>
              <w:t>构的人员</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每年至少一</w:t>
            </w:r>
            <w:r>
              <w:rPr>
                <w:rFonts w:ascii="Times New Roman" w:hAnsi="Times New Roman" w:cs="Times New Roman"/>
                <w:color w:val="auto"/>
                <w:sz w:val="18"/>
                <w:szCs w:val="18"/>
              </w:rPr>
              <w:t xml:space="preserve"> </w:t>
            </w:r>
            <w:r>
              <w:rPr>
                <w:rFonts w:ascii="Times New Roman" w:cs="Times New Roman"/>
                <w:color w:val="auto"/>
                <w:sz w:val="18"/>
                <w:szCs w:val="18"/>
              </w:rPr>
              <w:t>次</w:t>
            </w:r>
            <w:r>
              <w:rPr>
                <w:rFonts w:ascii="Times New Roman" w:hAnsi="Times New Roman" w:cs="Times New Roman"/>
                <w:color w:val="auto"/>
                <w:sz w:val="18"/>
                <w:szCs w:val="18"/>
              </w:rPr>
              <w:t>(</w:t>
            </w:r>
            <w:r>
              <w:rPr>
                <w:rFonts w:ascii="Times New Roman" w:cs="Times New Roman"/>
                <w:color w:val="auto"/>
                <w:sz w:val="18"/>
                <w:szCs w:val="18"/>
              </w:rPr>
              <w:t>定期检验年度可免年度检查</w:t>
            </w:r>
            <w:r>
              <w:rPr>
                <w:rFonts w:ascii="Times New Roman" w:hAnsi="Times New Roman" w:cs="Times New Roman"/>
                <w:color w:val="auto"/>
                <w:sz w:val="18"/>
                <w:szCs w:val="18"/>
              </w:rPr>
              <w:t>)</w:t>
            </w:r>
          </w:p>
        </w:tc>
        <w:tc>
          <w:tcPr>
            <w:tcW w:w="1559" w:type="dxa"/>
            <w:vMerge w:val="restart"/>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移动式压力容器安全技术监察规程</w:t>
            </w:r>
            <w:r>
              <w:rPr>
                <w:rFonts w:eastAsia="宋体"/>
                <w:color w:val="auto"/>
                <w:sz w:val="18"/>
                <w:szCs w:val="18"/>
                <w:lang w:val="zh-TW" w:eastAsia="zh-TW" w:bidi="zh-TW"/>
              </w:rPr>
              <w:t xml:space="preserve"> (TSG R0005-2011)</w:t>
            </w:r>
            <w:r>
              <w:rPr>
                <w:rFonts w:hAnsi="宋体" w:eastAsia="宋体"/>
                <w:color w:val="auto"/>
                <w:sz w:val="18"/>
                <w:szCs w:val="18"/>
                <w:lang w:val="zh-TW" w:eastAsia="zh-TW" w:bidi="zh-TW"/>
              </w:rPr>
              <w:t>第</w:t>
            </w:r>
            <w:r>
              <w:rPr>
                <w:rFonts w:eastAsia="宋体"/>
                <w:color w:val="auto"/>
                <w:sz w:val="18"/>
                <w:szCs w:val="18"/>
                <w:lang w:val="zh-TW" w:eastAsia="zh-TW" w:bidi="zh-TW"/>
              </w:rPr>
              <w:t>2</w:t>
            </w:r>
            <w:r>
              <w:rPr>
                <w:rFonts w:hAnsi="宋体" w:eastAsia="宋体"/>
                <w:color w:val="auto"/>
                <w:sz w:val="18"/>
                <w:szCs w:val="18"/>
                <w:lang w:val="zh-TW" w:eastAsia="zh-TW" w:bidi="zh-TW"/>
              </w:rPr>
              <w:t>号修改单</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5.18</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年度检查</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使用单位每年对所使用的长管拖车、管束式集装箱至少进行</w:t>
            </w:r>
            <w:r>
              <w:rPr>
                <w:rFonts w:ascii="Times New Roman" w:hAnsi="Times New Roman" w:eastAsia="Times New Roman" w:cs="Times New Roman"/>
                <w:color w:val="auto"/>
                <w:sz w:val="18"/>
                <w:szCs w:val="18"/>
              </w:rPr>
              <w:t>1</w:t>
            </w:r>
            <w:r>
              <w:rPr>
                <w:rFonts w:ascii="Times New Roman" w:cs="Times New Roman"/>
                <w:color w:val="auto"/>
                <w:sz w:val="18"/>
                <w:szCs w:val="18"/>
              </w:rPr>
              <w:t>次年度检查，其年度检查的专项要求见</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J</w:t>
            </w:r>
            <w:r>
              <w:rPr>
                <w:rFonts w:ascii="Times New Roman" w:cs="Times New Roman"/>
                <w:color w:val="auto"/>
                <w:sz w:val="18"/>
                <w:szCs w:val="18"/>
                <w:lang w:val="en-US" w:eastAsia="zh-CN" w:bidi="en-US"/>
              </w:rPr>
              <w:t>。</w:t>
            </w:r>
            <w:r>
              <w:rPr>
                <w:rFonts w:ascii="Times New Roman" w:cs="Times New Roman"/>
                <w:color w:val="auto"/>
                <w:sz w:val="18"/>
                <w:szCs w:val="18"/>
              </w:rPr>
              <w:t>当年度进行定期检验的，可不再进行年度检查，年度检查工作完成后，</w:t>
            </w:r>
            <w:r>
              <w:rPr>
                <w:rFonts w:ascii="Times New Roman" w:hAnsi="Times New Roman" w:cs="Times New Roman"/>
                <w:color w:val="auto"/>
                <w:sz w:val="18"/>
                <w:szCs w:val="18"/>
              </w:rPr>
              <w:t xml:space="preserve"> </w:t>
            </w:r>
            <w:r>
              <w:rPr>
                <w:rFonts w:ascii="Times New Roman" w:cs="Times New Roman"/>
                <w:color w:val="auto"/>
                <w:sz w:val="18"/>
                <w:szCs w:val="18"/>
              </w:rPr>
              <w:t>应当进行使用安全状况分析，并且对年度检查中发现的隐患及时消除。年度检查工作可以由压力容器使用单位进行，也可以委托具有移动式压力容器定期检验资质的特种设备检验检测机构进行。</w:t>
            </w:r>
          </w:p>
        </w:tc>
      </w:tr>
      <w:tr>
        <w:trPr>
          <w:trHeight w:val="1549"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长管拖车、管束式集装箱年度检查专项要求：</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J1</w:t>
            </w:r>
            <w:r>
              <w:rPr>
                <w:rFonts w:ascii="Times New Roman" w:cs="Times New Roman"/>
                <w:color w:val="auto"/>
                <w:sz w:val="18"/>
                <w:szCs w:val="18"/>
              </w:rPr>
              <w:t>安全管理情况检查至少包括以下内容：</w:t>
            </w:r>
          </w:p>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安全管理制度和安全操作规程是否齐全有效；</w:t>
            </w:r>
          </w:p>
          <w:p>
            <w:pPr>
              <w:pStyle w:val="15"/>
              <w:numPr>
                <w:ilvl w:val="0"/>
                <w:numId w:val="34"/>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安全技术规范规定的设计文件、竣工图样、产品合格证</w:t>
            </w:r>
            <w:r>
              <w:rPr>
                <w:rFonts w:ascii="Times New Roman" w:hAnsi="Times New Roman" w:cs="Times New Roman"/>
                <w:color w:val="auto"/>
                <w:sz w:val="18"/>
                <w:szCs w:val="18"/>
              </w:rPr>
              <w:t>(</w:t>
            </w:r>
            <w:r>
              <w:rPr>
                <w:rFonts w:ascii="Times New Roman" w:cs="Times New Roman"/>
                <w:color w:val="auto"/>
                <w:sz w:val="18"/>
                <w:szCs w:val="18"/>
              </w:rPr>
              <w:t>含产品数据表</w:t>
            </w:r>
            <w:r>
              <w:rPr>
                <w:rFonts w:ascii="Times New Roman" w:hAnsi="Times New Roman" w:cs="Times New Roman"/>
                <w:color w:val="auto"/>
                <w:sz w:val="18"/>
                <w:szCs w:val="18"/>
              </w:rPr>
              <w:t>)</w:t>
            </w:r>
            <w:r>
              <w:rPr>
                <w:rFonts w:ascii="Times New Roman" w:cs="Times New Roman"/>
                <w:color w:val="auto"/>
                <w:sz w:val="18"/>
                <w:szCs w:val="18"/>
              </w:rPr>
              <w:t>、产品质量证明书、监督检验证书以及安装、改造、维修资料等是否完整；</w:t>
            </w:r>
          </w:p>
          <w:p>
            <w:pPr>
              <w:pStyle w:val="15"/>
              <w:numPr>
                <w:ilvl w:val="0"/>
                <w:numId w:val="3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《特种设备使用登记表》和《使用登记证》是否与实际相符；</w:t>
            </w:r>
          </w:p>
        </w:tc>
      </w:tr>
    </w:tbl>
    <w:p>
      <w:pPr>
        <w:snapToGrid w:val="0"/>
        <w:rPr>
          <w:rFonts w:eastAsia="宋体"/>
          <w:color w:val="auto"/>
          <w:sz w:val="18"/>
          <w:szCs w:val="18"/>
          <w:lang w:eastAsia="zh-CN"/>
        </w:rPr>
      </w:pPr>
    </w:p>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8510" w:hRule="atLeas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年度检查</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cs="Times New Roman"/>
                <w:color w:val="auto"/>
                <w:sz w:val="18"/>
                <w:szCs w:val="18"/>
              </w:rPr>
              <w:t>长管拖车、</w:t>
            </w:r>
            <w:r>
              <w:rPr>
                <w:rFonts w:ascii="Times New Roman" w:hAnsi="Times New Roman" w:cs="Times New Roman"/>
                <w:color w:val="auto"/>
                <w:sz w:val="18"/>
                <w:szCs w:val="18"/>
              </w:rPr>
              <w:t xml:space="preserve"> </w:t>
            </w:r>
            <w:r>
              <w:rPr>
                <w:rFonts w:ascii="Times New Roman" w:cs="Times New Roman"/>
                <w:color w:val="auto"/>
                <w:sz w:val="18"/>
                <w:szCs w:val="18"/>
              </w:rPr>
              <w:t>管束式集</w:t>
            </w:r>
            <w:r>
              <w:rPr>
                <w:rFonts w:ascii="Times New Roman" w:hAnsi="Times New Roman" w:cs="Times New Roman"/>
                <w:color w:val="auto"/>
                <w:sz w:val="18"/>
                <w:szCs w:val="18"/>
              </w:rPr>
              <w:t xml:space="preserve"> </w:t>
            </w:r>
            <w:r>
              <w:rPr>
                <w:rFonts w:ascii="Times New Roman" w:cs="Times New Roman"/>
                <w:color w:val="auto"/>
                <w:sz w:val="18"/>
                <w:szCs w:val="18"/>
              </w:rPr>
              <w:t>装箱</w:t>
            </w:r>
            <w:r>
              <w:rPr>
                <w:rFonts w:ascii="Times New Roman" w:hAnsi="Times New Roman" w:cs="Times New Roman"/>
                <w:color w:val="auto"/>
                <w:sz w:val="18"/>
                <w:szCs w:val="18"/>
              </w:rPr>
              <w:t>)</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使用单位或有相应定</w:t>
            </w:r>
            <w:r>
              <w:rPr>
                <w:rFonts w:ascii="Times New Roman" w:hAnsi="Times New Roman" w:cs="Times New Roman"/>
                <w:color w:val="auto"/>
                <w:sz w:val="18"/>
                <w:szCs w:val="18"/>
              </w:rPr>
              <w:t xml:space="preserve"> </w:t>
            </w:r>
            <w:r>
              <w:rPr>
                <w:rFonts w:ascii="Times New Roman" w:cs="Times New Roman"/>
                <w:color w:val="auto"/>
                <w:sz w:val="18"/>
                <w:szCs w:val="18"/>
              </w:rPr>
              <w:t>期检验资质的检验机</w:t>
            </w:r>
            <w:r>
              <w:rPr>
                <w:rFonts w:ascii="Times New Roman" w:hAnsi="Times New Roman" w:cs="Times New Roman"/>
                <w:color w:val="auto"/>
                <w:sz w:val="18"/>
                <w:szCs w:val="18"/>
              </w:rPr>
              <w:t xml:space="preserve"> </w:t>
            </w:r>
            <w:r>
              <w:rPr>
                <w:rFonts w:ascii="Times New Roman" w:cs="Times New Roman"/>
                <w:color w:val="auto"/>
                <w:sz w:val="18"/>
                <w:szCs w:val="18"/>
              </w:rPr>
              <w:t>构的人员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每年至少一</w:t>
            </w:r>
            <w:r>
              <w:rPr>
                <w:rFonts w:ascii="Times New Roman" w:hAnsi="Times New Roman" w:cs="Times New Roman"/>
                <w:color w:val="auto"/>
                <w:sz w:val="18"/>
                <w:szCs w:val="18"/>
              </w:rPr>
              <w:t xml:space="preserve"> </w:t>
            </w:r>
            <w:r>
              <w:rPr>
                <w:rFonts w:ascii="Times New Roman" w:cs="Times New Roman"/>
                <w:color w:val="auto"/>
                <w:sz w:val="18"/>
                <w:szCs w:val="18"/>
              </w:rPr>
              <w:t>次</w:t>
            </w:r>
            <w:r>
              <w:rPr>
                <w:rFonts w:ascii="Times New Roman" w:hAnsi="Times New Roman" w:cs="Times New Roman"/>
                <w:color w:val="auto"/>
                <w:sz w:val="18"/>
                <w:szCs w:val="18"/>
              </w:rPr>
              <w:t>(</w:t>
            </w:r>
            <w:r>
              <w:rPr>
                <w:rFonts w:ascii="Times New Roman" w:cs="Times New Roman"/>
                <w:color w:val="auto"/>
                <w:sz w:val="18"/>
                <w:szCs w:val="18"/>
              </w:rPr>
              <w:t>定期检验年度可免年度检查</w:t>
            </w:r>
            <w:r>
              <w:rPr>
                <w:rFonts w:ascii="Times New Roman" w:hAnsi="Times New Roman" w:cs="Times New Roman"/>
                <w:color w:val="auto"/>
                <w:sz w:val="18"/>
                <w:szCs w:val="18"/>
              </w:rPr>
              <w:t>)</w:t>
            </w:r>
          </w:p>
        </w:tc>
        <w:tc>
          <w:tcPr>
            <w:tcW w:w="15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w:t>
            </w:r>
            <w:r>
              <w:rPr>
                <w:rFonts w:ascii="Times New Roman" w:hAnsi="Times New Roman" w:cs="Times New Roman"/>
                <w:color w:val="auto"/>
                <w:sz w:val="18"/>
                <w:szCs w:val="18"/>
                <w:lang w:eastAsia="zh-CN"/>
              </w:rPr>
              <w:t>2</w:t>
            </w:r>
            <w:r>
              <w:rPr>
                <w:rFonts w:ascii="Times New Roman" w:cs="Times New Roman"/>
                <w:color w:val="auto"/>
                <w:sz w:val="18"/>
                <w:szCs w:val="18"/>
                <w:lang w:eastAsia="zh-CN"/>
              </w:rPr>
              <w:t>号修改单</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0"/>
            <w:vAlign w:val="center"/>
          </w:tcPr>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压力容器作业人员是否持证上岗；</w:t>
            </w:r>
          </w:p>
          <w:p>
            <w:pPr>
              <w:pStyle w:val="15"/>
              <w:numPr>
                <w:ilvl w:val="0"/>
                <w:numId w:val="34"/>
              </w:numPr>
              <w:tabs>
                <w:tab w:val="left" w:pos="35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日常维护保养、运行记录、定期安全检查记录是否符合要求；</w:t>
            </w:r>
          </w:p>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年度检查、定期检验报告是否齐全，检查、检验报告中所提出的问题是否得到解决；</w:t>
            </w:r>
          </w:p>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安全附件校验、修理和更换记录是否齐全真实；</w:t>
            </w:r>
          </w:p>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装卸记录是否齐全；</w:t>
            </w:r>
          </w:p>
          <w:p>
            <w:pPr>
              <w:pStyle w:val="15"/>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是否有应急预案和演练记录；</w:t>
            </w:r>
          </w:p>
          <w:p>
            <w:pPr>
              <w:pStyle w:val="15"/>
              <w:numPr>
                <w:ilvl w:val="0"/>
                <w:numId w:val="34"/>
              </w:numPr>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是否对事故、故障情况进行了记录。</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J2</w:t>
            </w:r>
            <w:r>
              <w:rPr>
                <w:rFonts w:ascii="Times New Roman" w:cs="Times New Roman"/>
                <w:color w:val="auto"/>
                <w:sz w:val="18"/>
                <w:szCs w:val="18"/>
              </w:rPr>
              <w:t>气瓶检查</w:t>
            </w:r>
          </w:p>
          <w:p>
            <w:pPr>
              <w:pStyle w:val="15"/>
              <w:numPr>
                <w:ilvl w:val="0"/>
                <w:numId w:val="3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核实拖车产品铭牌、逐只核实气瓶制造标志是否符合要求；</w:t>
            </w:r>
          </w:p>
          <w:p>
            <w:pPr>
              <w:pStyle w:val="15"/>
              <w:numPr>
                <w:ilvl w:val="0"/>
                <w:numId w:val="3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逐只检查气瓶外部，有无裂纹、腐蚀、油漆剥落、凹陷、变形、鼓包和机械接触损伤等；</w:t>
            </w:r>
          </w:p>
          <w:p>
            <w:pPr>
              <w:pStyle w:val="15"/>
              <w:numPr>
                <w:ilvl w:val="0"/>
                <w:numId w:val="35"/>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使用木锤或者重约</w:t>
            </w:r>
            <w:r>
              <w:rPr>
                <w:rFonts w:ascii="Times New Roman" w:hAnsi="Times New Roman" w:eastAsia="Times New Roman" w:cs="Times New Roman"/>
                <w:color w:val="auto"/>
                <w:sz w:val="18"/>
                <w:szCs w:val="18"/>
              </w:rPr>
              <w:t xml:space="preserve">250 </w:t>
            </w:r>
            <w:r>
              <w:rPr>
                <w:rFonts w:ascii="Times New Roman" w:hAnsi="Times New Roman" w:eastAsia="Times New Roman" w:cs="Times New Roman"/>
                <w:color w:val="auto"/>
                <w:sz w:val="18"/>
                <w:szCs w:val="18"/>
                <w:lang w:val="en-US" w:eastAsia="zh-CN" w:bidi="en-US"/>
              </w:rPr>
              <w:t>g</w:t>
            </w:r>
            <w:r>
              <w:rPr>
                <w:rFonts w:ascii="Times New Roman" w:cs="Times New Roman"/>
                <w:color w:val="auto"/>
                <w:sz w:val="18"/>
                <w:szCs w:val="18"/>
              </w:rPr>
              <w:t>的铜锤轻击瓶壁，逐只对气瓶进行音响检查是否有异常情况；</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w:t>
            </w:r>
            <w:r>
              <w:rPr>
                <w:rFonts w:ascii="Times New Roman" w:cs="Times New Roman"/>
                <w:color w:val="auto"/>
                <w:sz w:val="18"/>
                <w:szCs w:val="18"/>
              </w:rPr>
              <w:t>附件检查</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J3.1</w:t>
            </w:r>
            <w:r>
              <w:rPr>
                <w:rFonts w:ascii="Times New Roman" w:cs="Times New Roman"/>
                <w:color w:val="auto"/>
                <w:sz w:val="18"/>
                <w:szCs w:val="18"/>
              </w:rPr>
              <w:t>气瓶端塞</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检查有无变形、裂纹或者其他机械接触损伤。</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J3.2</w:t>
            </w:r>
            <w:r>
              <w:rPr>
                <w:rFonts w:ascii="Times New Roman" w:cs="Times New Roman"/>
                <w:color w:val="auto"/>
                <w:sz w:val="18"/>
                <w:szCs w:val="18"/>
              </w:rPr>
              <w:t>管路和阀门</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检查金属管路有无变形、裂纹、凹陷、扭曲或者其他机械接触损伤；</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检查阀门有无锈蚀、变形、泄漏，开闭是否正常；</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检查排污装置是否完好、通畅；</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cs="Times New Roman"/>
                <w:color w:val="auto"/>
                <w:sz w:val="18"/>
                <w:szCs w:val="18"/>
              </w:rPr>
              <w:t>检查软管两端接头的连接是否牢固可靠，软管外观有无破裂、鼓包、折皱、老化现象；</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（5）</w:t>
            </w:r>
            <w:r>
              <w:rPr>
                <w:rFonts w:ascii="Times New Roman" w:cs="Times New Roman"/>
                <w:color w:val="auto"/>
                <w:sz w:val="18"/>
                <w:szCs w:val="18"/>
              </w:rPr>
              <w:t>检查气动阀门有无损伤</w:t>
            </w:r>
            <w:r>
              <w:rPr>
                <w:rFonts w:ascii="Times New Roman" w:hAnsi="Times New Roman" w:cs="Times New Roman"/>
                <w:color w:val="auto"/>
                <w:sz w:val="18"/>
                <w:szCs w:val="18"/>
              </w:rPr>
              <w:t>,</w:t>
            </w:r>
            <w:r>
              <w:rPr>
                <w:rFonts w:ascii="Times New Roman" w:cs="Times New Roman"/>
                <w:color w:val="auto"/>
                <w:sz w:val="18"/>
                <w:szCs w:val="18"/>
              </w:rPr>
              <w:t>是否处于常闭状态。</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J3.3</w:t>
            </w:r>
            <w:r>
              <w:rPr>
                <w:rFonts w:ascii="Times New Roman" w:cs="Times New Roman"/>
                <w:color w:val="auto"/>
                <w:sz w:val="18"/>
                <w:szCs w:val="18"/>
              </w:rPr>
              <w:t>快装接头</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检查有无锈蚀、变形、裂纹和其他损坏。</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J4</w:t>
            </w:r>
            <w:r>
              <w:rPr>
                <w:rFonts w:ascii="Times New Roman" w:cs="Times New Roman"/>
                <w:color w:val="auto"/>
                <w:sz w:val="18"/>
                <w:szCs w:val="18"/>
              </w:rPr>
              <w:t>气瓶固定装置安全状况检查</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检查气瓶与前后两端支撑立板的连接是否松动，气瓶是否发生转动；</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检查框架有无裂纹、凹陷、扭曲或者其他机械接触损伤；</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检查框架与拖车底盘连接是否牢固可靠；</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cs="Times New Roman"/>
                <w:color w:val="auto"/>
                <w:sz w:val="18"/>
                <w:szCs w:val="18"/>
              </w:rPr>
              <w:t>检查捆绑带有无损伤、腐蚀，紧固连接螺栓有无腐蚀、松动、弯曲变形，螺母、垫片、缓冲垫是否齐全、完好，捆绑带与紧固螺栓连接处有无损伤、断裂。</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w:t>
            </w:r>
            <w:r>
              <w:rPr>
                <w:rFonts w:ascii="Times New Roman" w:cs="Times New Roman"/>
                <w:color w:val="auto"/>
                <w:sz w:val="18"/>
                <w:szCs w:val="18"/>
              </w:rPr>
              <w:t>安全附件检查</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J5.1</w:t>
            </w:r>
            <w:r>
              <w:rPr>
                <w:rFonts w:ascii="Times New Roman" w:cs="Times New Roman"/>
                <w:color w:val="auto"/>
                <w:sz w:val="18"/>
                <w:szCs w:val="18"/>
              </w:rPr>
              <w:t>易熔塞易熔合金</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检查易熔塞易熔合金使用条件是否超过产品说明书的规定，是否有易熔合金挤出、渗漏的情况。</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J5.2</w:t>
            </w:r>
            <w:r>
              <w:rPr>
                <w:rFonts w:ascii="Times New Roman" w:cs="Times New Roman"/>
                <w:color w:val="auto"/>
                <w:sz w:val="18"/>
                <w:szCs w:val="18"/>
              </w:rPr>
              <w:t>导静电装置</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检查瓶体、管路、阀门与导静电带接地端的电阻是否超过</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lang w:val="en-US" w:eastAsia="zh-CN" w:bidi="en-US"/>
              </w:rPr>
              <w:t>Ω</w:t>
            </w:r>
            <w:r>
              <w:rPr>
                <w:rFonts w:ascii="Times New Roman" w:cs="Times New Roman"/>
                <w:color w:val="auto"/>
                <w:sz w:val="18"/>
                <w:szCs w:val="18"/>
                <w:lang w:val="en-US" w:eastAsia="zh-CN" w:bidi="en-US"/>
              </w:rPr>
              <w:t>；</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检查导静电带安装是否正确。</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J5.3</w:t>
            </w:r>
            <w:r>
              <w:rPr>
                <w:rFonts w:ascii="Times New Roman" w:cs="Times New Roman"/>
                <w:color w:val="auto"/>
                <w:sz w:val="18"/>
                <w:szCs w:val="18"/>
              </w:rPr>
              <w:t>紧急切断装置</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设置紧急切断装置的长管拖车、管束式集装箱</w:t>
            </w:r>
            <w:r>
              <w:rPr>
                <w:rFonts w:ascii="Times New Roman" w:hAnsi="Times New Roman" w:cs="Times New Roman"/>
                <w:color w:val="auto"/>
                <w:sz w:val="18"/>
                <w:szCs w:val="18"/>
              </w:rPr>
              <w:t>,</w:t>
            </w:r>
            <w:r>
              <w:rPr>
                <w:rFonts w:ascii="Times New Roman" w:cs="Times New Roman"/>
                <w:color w:val="auto"/>
                <w:sz w:val="18"/>
                <w:szCs w:val="18"/>
              </w:rPr>
              <w:t>应当进行以下检查：</w:t>
            </w:r>
          </w:p>
        </w:tc>
      </w:tr>
    </w:tbl>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
        <w:gridCol w:w="856"/>
        <w:gridCol w:w="956"/>
        <w:gridCol w:w="887"/>
        <w:gridCol w:w="1559"/>
        <w:gridCol w:w="992"/>
        <w:gridCol w:w="9356"/>
      </w:tblGrid>
      <w:tr>
        <w:trPr>
          <w:gridBefore w:val="1"/>
          <w:wBefore w:w="5" w:type="dxa"/>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93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93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3974" w:hRule="atLeas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年度检查</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cs="Times New Roman"/>
                <w:color w:val="auto"/>
                <w:sz w:val="18"/>
                <w:szCs w:val="18"/>
              </w:rPr>
              <w:t>长管拖车、</w:t>
            </w:r>
            <w:r>
              <w:rPr>
                <w:rFonts w:ascii="Times New Roman" w:hAnsi="Times New Roman" w:cs="Times New Roman"/>
                <w:color w:val="auto"/>
                <w:sz w:val="18"/>
                <w:szCs w:val="18"/>
              </w:rPr>
              <w:t xml:space="preserve"> </w:t>
            </w:r>
            <w:r>
              <w:rPr>
                <w:rFonts w:ascii="Times New Roman" w:cs="Times New Roman"/>
                <w:color w:val="auto"/>
                <w:sz w:val="18"/>
                <w:szCs w:val="18"/>
              </w:rPr>
              <w:t>管束式集</w:t>
            </w:r>
            <w:r>
              <w:rPr>
                <w:rFonts w:ascii="Times New Roman" w:hAnsi="Times New Roman" w:cs="Times New Roman"/>
                <w:color w:val="auto"/>
                <w:sz w:val="18"/>
                <w:szCs w:val="18"/>
              </w:rPr>
              <w:t xml:space="preserve"> </w:t>
            </w:r>
            <w:r>
              <w:rPr>
                <w:rFonts w:ascii="Times New Roman" w:cs="Times New Roman"/>
                <w:color w:val="auto"/>
                <w:sz w:val="18"/>
                <w:szCs w:val="18"/>
              </w:rPr>
              <w:t>装箱</w:t>
            </w:r>
            <w:r>
              <w:rPr>
                <w:rFonts w:ascii="Times New Roman" w:hAnsi="Times New Roman" w:cs="Times New Roman"/>
                <w:color w:val="auto"/>
                <w:sz w:val="18"/>
                <w:szCs w:val="18"/>
              </w:rPr>
              <w:t>)</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使用单位或有相应定</w:t>
            </w:r>
            <w:r>
              <w:rPr>
                <w:rFonts w:ascii="Times New Roman" w:hAnsi="Times New Roman" w:cs="Times New Roman"/>
                <w:color w:val="auto"/>
                <w:sz w:val="18"/>
                <w:szCs w:val="18"/>
              </w:rPr>
              <w:t xml:space="preserve"> </w:t>
            </w:r>
            <w:r>
              <w:rPr>
                <w:rFonts w:ascii="Times New Roman" w:cs="Times New Roman"/>
                <w:color w:val="auto"/>
                <w:sz w:val="18"/>
                <w:szCs w:val="18"/>
              </w:rPr>
              <w:t>期检验资质的检验机</w:t>
            </w:r>
            <w:r>
              <w:rPr>
                <w:rFonts w:ascii="Times New Roman" w:hAnsi="Times New Roman" w:cs="Times New Roman"/>
                <w:color w:val="auto"/>
                <w:sz w:val="18"/>
                <w:szCs w:val="18"/>
              </w:rPr>
              <w:t xml:space="preserve"> </w:t>
            </w:r>
            <w:r>
              <w:rPr>
                <w:rFonts w:ascii="Times New Roman" w:cs="Times New Roman"/>
                <w:color w:val="auto"/>
                <w:sz w:val="18"/>
                <w:szCs w:val="18"/>
              </w:rPr>
              <w:t>构的人员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每年至少一</w:t>
            </w:r>
            <w:r>
              <w:rPr>
                <w:rFonts w:ascii="Times New Roman" w:hAnsi="Times New Roman" w:cs="Times New Roman"/>
                <w:color w:val="auto"/>
                <w:sz w:val="18"/>
                <w:szCs w:val="18"/>
              </w:rPr>
              <w:t xml:space="preserve"> </w:t>
            </w:r>
            <w:r>
              <w:rPr>
                <w:rFonts w:ascii="Times New Roman" w:cs="Times New Roman"/>
                <w:color w:val="auto"/>
                <w:sz w:val="18"/>
                <w:szCs w:val="18"/>
              </w:rPr>
              <w:t>次</w:t>
            </w:r>
            <w:r>
              <w:rPr>
                <w:rFonts w:ascii="Times New Roman" w:hAnsi="Times New Roman" w:cs="Times New Roman"/>
                <w:color w:val="auto"/>
                <w:sz w:val="18"/>
                <w:szCs w:val="18"/>
              </w:rPr>
              <w:t>(</w:t>
            </w:r>
            <w:r>
              <w:rPr>
                <w:rFonts w:ascii="Times New Roman" w:cs="Times New Roman"/>
                <w:color w:val="auto"/>
                <w:sz w:val="18"/>
                <w:szCs w:val="18"/>
              </w:rPr>
              <w:t>定期检验年度可免年度检查</w:t>
            </w:r>
            <w:r>
              <w:rPr>
                <w:rFonts w:ascii="Times New Roman" w:hAnsi="Times New Roman" w:cs="Times New Roman"/>
                <w:color w:val="auto"/>
                <w:sz w:val="18"/>
                <w:szCs w:val="18"/>
              </w:rPr>
              <w:t>)</w:t>
            </w:r>
          </w:p>
        </w:tc>
        <w:tc>
          <w:tcPr>
            <w:tcW w:w="15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w:t>
            </w:r>
            <w:r>
              <w:rPr>
                <w:rFonts w:ascii="Times New Roman" w:hAnsi="Times New Roman" w:cs="Times New Roman"/>
                <w:color w:val="auto"/>
                <w:sz w:val="18"/>
                <w:szCs w:val="18"/>
                <w:lang w:eastAsia="zh-CN"/>
              </w:rPr>
              <w:t>2</w:t>
            </w:r>
            <w:r>
              <w:rPr>
                <w:rFonts w:ascii="Times New Roman" w:cs="Times New Roman"/>
                <w:color w:val="auto"/>
                <w:sz w:val="18"/>
                <w:szCs w:val="18"/>
                <w:lang w:eastAsia="zh-CN"/>
              </w:rPr>
              <w:t>号修改单</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0"/>
            <w:vAlign w:val="center"/>
          </w:tcPr>
          <w:p>
            <w:pPr>
              <w:pStyle w:val="15"/>
              <w:numPr>
                <w:ilvl w:val="0"/>
                <w:numId w:val="36"/>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紧急切断装置的设置是否符合标准和设计图样的规定；</w:t>
            </w:r>
          </w:p>
          <w:p>
            <w:pPr>
              <w:pStyle w:val="15"/>
              <w:numPr>
                <w:ilvl w:val="0"/>
                <w:numId w:val="36"/>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外观质量是否良好；</w:t>
            </w:r>
          </w:p>
          <w:p>
            <w:pPr>
              <w:pStyle w:val="15"/>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解体检查阀体、先导杆、弹簧、密封面、凸轮等有无损伤变形、腐蚀生锈、裂纹等缺陷；</w:t>
            </w:r>
          </w:p>
          <w:p>
            <w:pPr>
              <w:pStyle w:val="15"/>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性能校验是否合格；</w:t>
            </w:r>
          </w:p>
          <w:p>
            <w:pPr>
              <w:pStyle w:val="15"/>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远控系统动作是否灵敏可靠。</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J6</w:t>
            </w:r>
            <w:r>
              <w:rPr>
                <w:rFonts w:ascii="Times New Roman" w:cs="Times New Roman"/>
                <w:color w:val="auto"/>
                <w:sz w:val="18"/>
                <w:szCs w:val="18"/>
              </w:rPr>
              <w:t>整车泄漏性试验</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R0005-2011</w:t>
            </w: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J</w:t>
            </w:r>
            <w:r>
              <w:rPr>
                <w:rFonts w:asci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J2</w:t>
            </w:r>
            <w:r>
              <w:rPr>
                <w:rFonts w:ascii="Times New Roman" w:cs="Times New Roman"/>
                <w:color w:val="auto"/>
                <w:sz w:val="18"/>
                <w:szCs w:val="18"/>
              </w:rPr>
              <w:t>〜</w:t>
            </w:r>
            <w:r>
              <w:rPr>
                <w:rFonts w:ascii="Times New Roman" w:hAnsi="Times New Roman" w:eastAsia="Times New Roman" w:cs="Times New Roman"/>
                <w:color w:val="auto"/>
                <w:sz w:val="18"/>
                <w:szCs w:val="18"/>
                <w:lang w:val="en-US" w:eastAsia="zh-CN" w:bidi="en-US"/>
              </w:rPr>
              <w:t>J5</w:t>
            </w:r>
            <w:r>
              <w:rPr>
                <w:rFonts w:ascii="Times New Roman" w:cs="Times New Roman"/>
                <w:color w:val="auto"/>
                <w:sz w:val="18"/>
                <w:szCs w:val="18"/>
              </w:rPr>
              <w:t>的检查项目完成后，应当对长管拖车所有密封面进行泄漏性检查。检查所用介质为氮气或者充装气体，压力为气瓶公称工作压力的</w:t>
            </w:r>
            <w:r>
              <w:rPr>
                <w:rFonts w:ascii="Times New Roman" w:hAnsi="Times New Roman" w:eastAsia="Times New Roman" w:cs="Times New Roman"/>
                <w:color w:val="auto"/>
                <w:sz w:val="18"/>
                <w:szCs w:val="18"/>
                <w:lang w:val="en-US" w:eastAsia="zh-CN" w:bidi="en-US"/>
              </w:rPr>
              <w:t>0.8</w:t>
            </w:r>
            <w:r>
              <w:rPr>
                <w:rFonts w:ascii="Times New Roman" w:cs="Times New Roman"/>
                <w:color w:val="auto"/>
                <w:sz w:val="18"/>
                <w:szCs w:val="18"/>
              </w:rPr>
              <w:t>至</w:t>
            </w:r>
            <w:r>
              <w:rPr>
                <w:rFonts w:ascii="Times New Roman" w:hAnsi="Times New Roman" w:eastAsia="Times New Roman" w:cs="Times New Roman"/>
                <w:color w:val="auto"/>
                <w:sz w:val="18"/>
                <w:szCs w:val="18"/>
                <w:lang w:val="en-US" w:eastAsia="zh-CN" w:bidi="en-US"/>
              </w:rPr>
              <w:t>1.0</w:t>
            </w:r>
            <w:r>
              <w:rPr>
                <w:rFonts w:ascii="Times New Roman" w:cs="Times New Roman"/>
                <w:color w:val="auto"/>
                <w:sz w:val="18"/>
                <w:szCs w:val="18"/>
              </w:rPr>
              <w:t>倍。</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J7</w:t>
            </w:r>
            <w:r>
              <w:rPr>
                <w:rFonts w:ascii="Times New Roman" w:cs="Times New Roman"/>
                <w:color w:val="auto"/>
                <w:sz w:val="18"/>
                <w:szCs w:val="18"/>
              </w:rPr>
              <w:t>年度检查结论及报告</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年度检查工作完成后，检查人员根据实际检查情况出具检查报告，作出以下结论意见：</w:t>
            </w:r>
          </w:p>
          <w:p>
            <w:pPr>
              <w:pStyle w:val="15"/>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符合要求，是指未发现或者只有轻度不影响安全使用的缺陷，可以在允许的参数范围内继续使用；</w:t>
            </w:r>
          </w:p>
          <w:p>
            <w:pPr>
              <w:pStyle w:val="15"/>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基本符合要求，是指发现一般缺陷，经过使用单位采取措施后能保证安全运行，可以有条件的监控使用，结论中应当注明监控运行需要解决的问题及其完成期限；</w:t>
            </w:r>
          </w:p>
          <w:p>
            <w:pPr>
              <w:pStyle w:val="15"/>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不符合要求，是指发现严重缺陷，不能保证压力容器安全运行，不允许继续使用，应当停止运行或者申请检验机构进行进一步检验。</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年度检查由使用单位自行实施时，其年度检查报告应当由使用单位安全管理负责人或者授权的安全管理员审批。</w:t>
            </w:r>
          </w:p>
        </w:tc>
      </w:tr>
      <w:tr>
        <w:trPr>
          <w:trHeight w:val="1395" w:hRule="exact"/>
        </w:trPr>
        <w:tc>
          <w:tcPr>
            <w:tcW w:w="86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定期检验</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cs="Times New Roman"/>
                <w:color w:val="auto"/>
                <w:sz w:val="18"/>
                <w:szCs w:val="18"/>
              </w:rPr>
              <w:t>长管拖车、</w:t>
            </w:r>
            <w:r>
              <w:rPr>
                <w:rFonts w:ascii="Times New Roman" w:hAnsi="Times New Roman" w:cs="Times New Roman"/>
                <w:color w:val="auto"/>
                <w:sz w:val="18"/>
                <w:szCs w:val="18"/>
              </w:rPr>
              <w:t xml:space="preserve"> </w:t>
            </w:r>
            <w:r>
              <w:rPr>
                <w:rFonts w:ascii="Times New Roman" w:cs="Times New Roman"/>
                <w:color w:val="auto"/>
                <w:sz w:val="18"/>
                <w:szCs w:val="18"/>
              </w:rPr>
              <w:t>管束式集</w:t>
            </w:r>
            <w:r>
              <w:rPr>
                <w:rFonts w:ascii="Times New Roman" w:hAnsi="Times New Roman" w:cs="Times New Roman"/>
                <w:color w:val="auto"/>
                <w:sz w:val="18"/>
                <w:szCs w:val="18"/>
              </w:rPr>
              <w:t xml:space="preserve"> </w:t>
            </w:r>
            <w:r>
              <w:rPr>
                <w:rFonts w:ascii="Times New Roman" w:cs="Times New Roman"/>
                <w:color w:val="auto"/>
                <w:sz w:val="18"/>
                <w:szCs w:val="18"/>
              </w:rPr>
              <w:t>装箱</w:t>
            </w:r>
            <w:r>
              <w:rPr>
                <w:rFonts w:ascii="Times New Roman" w:hAnsi="Times New Roman" w:cs="Times New Roman"/>
                <w:color w:val="auto"/>
                <w:sz w:val="18"/>
                <w:szCs w:val="18"/>
              </w:rPr>
              <w:t>)</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检验机构有资质的检</w:t>
            </w:r>
            <w:r>
              <w:rPr>
                <w:rFonts w:ascii="Times New Roman" w:hAnsi="Times New Roman" w:cs="Times New Roman"/>
                <w:color w:val="auto"/>
                <w:sz w:val="18"/>
                <w:szCs w:val="18"/>
              </w:rPr>
              <w:t xml:space="preserve"> </w:t>
            </w:r>
            <w:r>
              <w:rPr>
                <w:rFonts w:ascii="Times New Roman" w:cs="Times New Roman"/>
                <w:color w:val="auto"/>
                <w:sz w:val="18"/>
                <w:szCs w:val="18"/>
              </w:rPr>
              <w:t>验人员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由检验人员确定</w:t>
            </w:r>
          </w:p>
        </w:tc>
        <w:tc>
          <w:tcPr>
            <w:tcW w:w="15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8.1</w:t>
            </w:r>
          </w:p>
        </w:tc>
        <w:tc>
          <w:tcPr>
            <w:tcW w:w="9356" w:type="dxa"/>
            <w:shd w:val="clear" w:color="auto" w:fill="FFFFFF"/>
            <w:noWrap w:val="0"/>
            <w:vAlign w:val="center"/>
          </w:tcPr>
          <w:p>
            <w:pPr>
              <w:pStyle w:val="15"/>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使用单位应当于移动式压力容器定期检验有效期届满前</w:t>
            </w:r>
            <w:r>
              <w:rPr>
                <w:rFonts w:ascii="Times New Roman" w:hAnsi="Times New Roman" w:eastAsia="Times New Roman" w:cs="Times New Roman"/>
                <w:color w:val="auto"/>
                <w:sz w:val="18"/>
                <w:szCs w:val="18"/>
              </w:rPr>
              <w:t>1</w:t>
            </w:r>
            <w:r>
              <w:rPr>
                <w:rFonts w:ascii="Times New Roman" w:cs="Times New Roman"/>
                <w:color w:val="auto"/>
                <w:sz w:val="18"/>
                <w:szCs w:val="18"/>
              </w:rPr>
              <w:t>个月向检验机构提出定期检验要求。</w:t>
            </w:r>
          </w:p>
        </w:tc>
      </w:tr>
    </w:tbl>
    <w:p>
      <w:pPr>
        <w:snapToGrid w:val="0"/>
        <w:rPr>
          <w:rFonts w:eastAsia="宋体"/>
          <w:color w:val="auto"/>
          <w:sz w:val="18"/>
          <w:szCs w:val="18"/>
          <w:lang w:eastAsia="zh-CN"/>
        </w:rPr>
        <w:sectPr>
          <w:headerReference r:id="rId14" w:type="default"/>
          <w:footerReference r:id="rId16" w:type="default"/>
          <w:headerReference r:id="rId15" w:type="even"/>
          <w:footerReference r:id="rId17" w:type="even"/>
          <w:pgSz w:w="16840" w:h="11900" w:orient="landscape"/>
          <w:pgMar w:top="1134" w:right="1134" w:bottom="1134" w:left="1134" w:header="0" w:footer="986" w:gutter="0"/>
          <w:cols w:space="720" w:num="1"/>
          <w:docGrid w:linePitch="360" w:charSpace="0"/>
        </w:sectPr>
      </w:pPr>
    </w:p>
    <w:p>
      <w:pPr>
        <w:pStyle w:val="14"/>
        <w:snapToGrid w:val="0"/>
        <w:spacing w:before="120" w:beforeLines="50" w:after="120"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lang w:eastAsia="zh-CN"/>
        </w:rPr>
        <w:t>移动式压力容器日常检查和维护保养（定期自行检查）</w:t>
      </w:r>
      <w:r>
        <w:rPr>
          <w:rFonts w:ascii="Times New Roman" w:hAnsi="黑体" w:eastAsia="黑体" w:cs="Times New Roman"/>
          <w:b/>
          <w:color w:val="auto"/>
          <w:sz w:val="21"/>
          <w:szCs w:val="21"/>
        </w:rPr>
        <w:t>记录表格式</w:t>
      </w:r>
    </w:p>
    <w:tbl>
      <w:tblPr>
        <w:tblStyle w:val="8"/>
        <w:tblpPr/>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
        <w:gridCol w:w="1236"/>
        <w:gridCol w:w="425"/>
        <w:gridCol w:w="4253"/>
        <w:gridCol w:w="1134"/>
        <w:gridCol w:w="2508"/>
      </w:tblGrid>
      <w:tr>
        <w:trPr>
          <w:gridBefore w:val="1"/>
          <w:wBefore w:w="5" w:type="dxa"/>
          <w:trHeight w:val="567" w:hRule="exact"/>
          <w:jc w:val="center"/>
        </w:trPr>
        <w:tc>
          <w:tcPr>
            <w:tcW w:w="1666"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使用</w:t>
            </w:r>
            <w:r>
              <w:rPr>
                <w:rFonts w:ascii="Times New Roman" w:hAnsi="黑体" w:eastAsia="黑体" w:cs="Times New Roman"/>
                <w:b/>
                <w:color w:val="auto"/>
                <w:sz w:val="18"/>
                <w:szCs w:val="18"/>
                <w:lang w:eastAsia="zh-CN"/>
              </w:rPr>
              <w:t>证号</w:t>
            </w:r>
          </w:p>
        </w:tc>
        <w:tc>
          <w:tcPr>
            <w:tcW w:w="7895" w:type="dxa"/>
            <w:gridSpan w:val="3"/>
            <w:shd w:val="clear" w:color="auto" w:fill="FFFFFF"/>
            <w:noWrap w:val="0"/>
            <w:vAlign w:val="center"/>
          </w:tcPr>
          <w:p>
            <w:pPr>
              <w:snapToGrid w:val="0"/>
              <w:jc w:val="center"/>
              <w:rPr>
                <w:rFonts w:eastAsia="黑体"/>
                <w:b/>
                <w:color w:val="auto"/>
                <w:sz w:val="18"/>
                <w:szCs w:val="18"/>
              </w:rPr>
            </w:pPr>
          </w:p>
        </w:tc>
      </w:tr>
      <w:tr>
        <w:trPr>
          <w:gridBefore w:val="1"/>
          <w:wBefore w:w="5" w:type="dxa"/>
          <w:trHeight w:val="567" w:hRule="exact"/>
          <w:jc w:val="center"/>
        </w:trPr>
        <w:tc>
          <w:tcPr>
            <w:tcW w:w="1666"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车牌号码</w:t>
            </w:r>
          </w:p>
        </w:tc>
        <w:tc>
          <w:tcPr>
            <w:tcW w:w="7895" w:type="dxa"/>
            <w:gridSpan w:val="3"/>
            <w:shd w:val="clear" w:color="auto" w:fill="FFFFFF"/>
            <w:noWrap w:val="0"/>
            <w:vAlign w:val="center"/>
          </w:tcPr>
          <w:p>
            <w:pPr>
              <w:snapToGrid w:val="0"/>
              <w:jc w:val="center"/>
              <w:rPr>
                <w:rFonts w:eastAsia="黑体"/>
                <w:b/>
                <w:color w:val="auto"/>
                <w:sz w:val="18"/>
                <w:szCs w:val="18"/>
              </w:rPr>
            </w:pPr>
          </w:p>
        </w:tc>
      </w:tr>
      <w:tr>
        <w:trPr>
          <w:gridBefore w:val="1"/>
          <w:wBefore w:w="5" w:type="dxa"/>
          <w:trHeight w:val="567" w:hRule="exact"/>
          <w:jc w:val="center"/>
        </w:trPr>
        <w:tc>
          <w:tcPr>
            <w:tcW w:w="1666"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检查项目</w:t>
            </w:r>
          </w:p>
        </w:tc>
        <w:tc>
          <w:tcPr>
            <w:tcW w:w="425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检查内容</w:t>
            </w: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2508"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636" w:hRule="exact"/>
          <w:jc w:val="center"/>
        </w:trPr>
        <w:tc>
          <w:tcPr>
            <w:tcW w:w="1241"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外观</w:t>
            </w:r>
          </w:p>
        </w:tc>
        <w:tc>
          <w:tcPr>
            <w:tcW w:w="4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罐体或者气瓶涂层及漆色是否完好，有无脱落等</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罐体保温层、真空绝热层是否完好</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罐体或者气瓶外部的标志是否清晰</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设备状态</w:t>
            </w: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紧急切断阀以及相关的操作阀门是否置于闭止状态</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安全附件是否完好</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装卸附件是否完好</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紧固件的连接是否牢固可靠、是否有松动现象</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罐体或者气瓶各密封面有无泄漏</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636" w:hRule="exact"/>
          <w:jc w:val="center"/>
        </w:trPr>
        <w:tc>
          <w:tcPr>
            <w:tcW w:w="1241"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25" w:type="dxa"/>
            <w:shd w:val="clear" w:color="auto" w:fill="FFFFFF"/>
            <w:noWrap w:val="0"/>
            <w:vAlign w:val="center"/>
          </w:tcPr>
          <w:p>
            <w:pPr>
              <w:jc w:val="center"/>
              <w:rPr>
                <w:color w:val="auto"/>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罐体或者气瓶与行走装置或者框架的连接紧固装置是否完好、牢固</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711"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Calibri" w:cs="Times New Roman"/>
                <w:color w:val="auto"/>
                <w:kern w:val="2"/>
                <w:sz w:val="18"/>
                <w:szCs w:val="18"/>
                <w:lang w:eastAsia="zh-CN" w:bidi="ar-SA"/>
              </w:rPr>
              <w:t>工艺参数</w:t>
            </w:r>
          </w:p>
        </w:tc>
        <w:tc>
          <w:tcPr>
            <w:tcW w:w="4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是否做好防腐等停炉保养工作</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708"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Calibri" w:cs="Times New Roman"/>
                <w:color w:val="auto"/>
                <w:kern w:val="2"/>
                <w:sz w:val="18"/>
                <w:szCs w:val="18"/>
                <w:lang w:eastAsia="zh-CN" w:bidi="ar-SA"/>
              </w:rPr>
              <w:t>随车装备</w:t>
            </w:r>
          </w:p>
        </w:tc>
        <w:tc>
          <w:tcPr>
            <w:tcW w:w="425" w:type="dxa"/>
            <w:shd w:val="clear" w:color="auto" w:fill="FFFFFF"/>
            <w:noWrap w:val="0"/>
            <w:vAlign w:val="center"/>
          </w:tcPr>
          <w:p>
            <w:pPr>
              <w:snapToGrid w:val="0"/>
              <w:jc w:val="center"/>
              <w:rPr>
                <w:color w:val="auto"/>
                <w:sz w:val="18"/>
                <w:szCs w:val="18"/>
                <w:lang w:eastAsia="zh-CN"/>
              </w:rPr>
            </w:pPr>
            <w:r>
              <w:rPr>
                <w:color w:val="auto"/>
                <w:sz w:val="18"/>
                <w:szCs w:val="18"/>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随车配备的应急处理器材、防护用品及专用工具、备品备件是否齐全，是否完好有效</w:t>
            </w: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trHeight w:val="708"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kern w:val="2"/>
                <w:sz w:val="18"/>
                <w:szCs w:val="18"/>
                <w:lang w:eastAsia="zh-CN" w:bidi="ar-SA"/>
              </w:rPr>
            </w:pPr>
            <w:r>
              <w:rPr>
                <w:rFonts w:ascii="Times New Roman" w:hAnsi="Calibri" w:cs="Times New Roman"/>
                <w:color w:val="auto"/>
                <w:kern w:val="2"/>
                <w:sz w:val="18"/>
                <w:szCs w:val="18"/>
                <w:lang w:eastAsia="zh-CN" w:bidi="ar-SA"/>
              </w:rPr>
              <w:t>其他异常情况及采取措施</w:t>
            </w:r>
          </w:p>
        </w:tc>
        <w:tc>
          <w:tcPr>
            <w:tcW w:w="425" w:type="dxa"/>
            <w:shd w:val="clear" w:color="auto" w:fill="FFFFFF"/>
            <w:noWrap w:val="0"/>
            <w:vAlign w:val="center"/>
          </w:tcPr>
          <w:p>
            <w:pPr>
              <w:snapToGrid w:val="0"/>
              <w:jc w:val="center"/>
              <w:rPr>
                <w:rFonts w:eastAsia="宋体"/>
                <w:color w:val="auto"/>
                <w:sz w:val="18"/>
                <w:szCs w:val="18"/>
                <w:lang w:eastAsia="zh-CN"/>
              </w:rPr>
            </w:pPr>
            <w:r>
              <w:rPr>
                <w:rFonts w:eastAsia="宋体"/>
                <w:color w:val="auto"/>
                <w:sz w:val="18"/>
                <w:szCs w:val="18"/>
                <w:lang w:eastAsia="zh-CN"/>
              </w:rPr>
              <w:t>--</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c>
          <w:tcPr>
            <w:tcW w:w="1134" w:type="dxa"/>
            <w:shd w:val="clear" w:color="auto" w:fill="FFFFFF"/>
            <w:noWrap w:val="0"/>
            <w:vAlign w:val="top"/>
          </w:tcPr>
          <w:p>
            <w:pPr>
              <w:snapToGrid w:val="0"/>
              <w:rPr>
                <w:color w:val="auto"/>
                <w:sz w:val="18"/>
                <w:szCs w:val="18"/>
                <w:lang w:eastAsia="zh-CN"/>
              </w:rPr>
            </w:pPr>
          </w:p>
        </w:tc>
        <w:tc>
          <w:tcPr>
            <w:tcW w:w="2508" w:type="dxa"/>
            <w:shd w:val="clear" w:color="auto" w:fill="FFFFFF"/>
            <w:noWrap w:val="0"/>
            <w:vAlign w:val="top"/>
          </w:tcPr>
          <w:p>
            <w:pPr>
              <w:snapToGrid w:val="0"/>
              <w:rPr>
                <w:color w:val="auto"/>
                <w:sz w:val="18"/>
                <w:szCs w:val="18"/>
                <w:lang w:eastAsia="zh-CN"/>
              </w:rPr>
            </w:pPr>
          </w:p>
        </w:tc>
      </w:tr>
      <w:tr>
        <w:trPr>
          <w:gridBefore w:val="1"/>
          <w:wBefore w:w="5" w:type="dxa"/>
          <w:trHeight w:val="614" w:hRule="exact"/>
          <w:jc w:val="center"/>
        </w:trPr>
        <w:tc>
          <w:tcPr>
            <w:tcW w:w="1666"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4253"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c>
          <w:tcPr>
            <w:tcW w:w="3642"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本记录表为建议表格，使用单位可根据本单位实际情况修改。</w:t>
      </w:r>
    </w:p>
    <w:p>
      <w:pPr>
        <w:pStyle w:val="14"/>
        <w:snapToGrid w:val="0"/>
        <w:spacing w:line="240" w:lineRule="auto"/>
        <w:rPr>
          <w:rFonts w:ascii="Times New Roman" w:cs="Times New Roman"/>
          <w:color w:val="auto"/>
          <w:sz w:val="18"/>
          <w:szCs w:val="18"/>
        </w:rPr>
        <w:sectPr>
          <w:pgSz w:w="11900" w:h="16840"/>
          <w:pgMar w:top="1134" w:right="1134" w:bottom="1134" w:left="1134" w:header="0" w:footer="986" w:gutter="0"/>
          <w:cols w:space="720" w:num="1"/>
          <w:docGrid w:linePitch="360" w:charSpace="0"/>
        </w:sectPr>
      </w:pPr>
      <w:r>
        <w:rPr>
          <w:rFonts w:ascii="Times New Roman" w:hAnsi="Times New Roman" w:eastAsia="Times New Roman" w:cs="Times New Roman"/>
          <w:color w:val="auto"/>
          <w:sz w:val="18"/>
          <w:szCs w:val="18"/>
          <w:lang w:val="en-US" w:eastAsia="zh-CN" w:bidi="en-US"/>
        </w:rPr>
        <w:t xml:space="preserve">2. </w:t>
      </w:r>
      <w:r>
        <w:rPr>
          <w:rFonts w:cs="Times New Roman"/>
          <w:color w:val="auto"/>
          <w:sz w:val="18"/>
          <w:szCs w:val="18"/>
        </w:rPr>
        <w:t>★</w:t>
      </w:r>
      <w:r>
        <w:rPr>
          <w:rFonts w:ascii="Times New Roman" w:cs="Times New Roman"/>
          <w:color w:val="auto"/>
          <w:sz w:val="18"/>
          <w:szCs w:val="18"/>
        </w:rPr>
        <w:t>是《移动式压力容器安全技术监察规程》要求的检查项目。</w:t>
      </w:r>
    </w:p>
    <w:p>
      <w:pPr>
        <w:snapToGrid w:val="0"/>
        <w:spacing w:after="120" w:afterLines="5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B.4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移动式压力容器</w:t>
      </w:r>
      <w:r>
        <w:rPr>
          <w:rFonts w:eastAsia="黑体"/>
          <w:b/>
          <w:color w:val="auto"/>
          <w:sz w:val="21"/>
          <w:szCs w:val="21"/>
          <w:lang w:eastAsia="zh-CN"/>
        </w:rPr>
        <w:t>(</w:t>
      </w:r>
      <w:r>
        <w:rPr>
          <w:rFonts w:hAnsi="黑体" w:eastAsia="黑体"/>
          <w:b/>
          <w:color w:val="auto"/>
          <w:sz w:val="21"/>
          <w:szCs w:val="21"/>
          <w:lang w:eastAsia="zh-CN"/>
        </w:rPr>
        <w:t>装卸</w:t>
      </w:r>
      <w:r>
        <w:rPr>
          <w:rFonts w:eastAsia="黑体"/>
          <w:b/>
          <w:color w:val="auto"/>
          <w:sz w:val="21"/>
          <w:szCs w:val="21"/>
          <w:lang w:eastAsia="zh-CN"/>
        </w:rPr>
        <w:t>)</w:t>
      </w:r>
      <w:r>
        <w:rPr>
          <w:rFonts w:hAnsi="黑体" w:eastAsia="黑体"/>
          <w:b/>
          <w:color w:val="auto"/>
          <w:sz w:val="21"/>
          <w:szCs w:val="21"/>
          <w:lang w:eastAsia="zh-CN"/>
        </w:rPr>
        <w:t>专项要求</w:t>
      </w:r>
    </w:p>
    <w:tbl>
      <w:tblPr>
        <w:tblStyle w:val="8"/>
        <w:tblW w:w="146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56"/>
        <w:gridCol w:w="887"/>
        <w:gridCol w:w="1559"/>
        <w:gridCol w:w="992"/>
        <w:gridCol w:w="10317"/>
      </w:tblGrid>
      <w:tr>
        <w:trPr>
          <w:trHeight w:val="290"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实施单位</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5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1031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55" w:hRule="atLeas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10317"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3546"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特种设备装卸单位</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装卸前</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移动式压力容器安全技术监察规程</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6.4.1</w:t>
            </w:r>
          </w:p>
        </w:tc>
        <w:tc>
          <w:tcPr>
            <w:tcW w:w="1031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装卸前应当对移动式压力容器逐台进行检查，检查是否符合以下要求：</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随车规定携带的文件和资料应当齐全有效，并且装卸的介质应与铭牌和使用登记资料、标志一致；</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首次充装投入使用并且有置换要求的，应当有置换合格报告或者证明文件；</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购买、充装剧毒介质的，应当有剧毒介质（剧毒化学品）的购买凭证、准购证以及运输通行证；</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随车作业人员应当持证上岗，资格证书有效；</w:t>
            </w:r>
          </w:p>
          <w:p>
            <w:pPr>
              <w:pStyle w:val="15"/>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移动式压力容器铭牌与各种标志（包括颜色、环形色带、警示性、介质等）应当符合相关规定，充装的介质与罐体或者 气瓶涂装标志一致；</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移动式压力容器应当在定期检验有效期内，安全附件应当齐全、工作状态正常，并且在校验有效期内；</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压力、温度、充装量（或者剩余量）应当符合要求；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hAnsi="Times New Roman" w:cs="Times New Roman"/>
                <w:color w:val="auto"/>
                <w:sz w:val="18"/>
                <w:szCs w:val="18"/>
              </w:rPr>
              <w:t>各密封面的密封状态应当完好无泄漏；</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hAnsi="Times New Roman" w:cs="Times New Roman"/>
                <w:color w:val="auto"/>
                <w:sz w:val="18"/>
                <w:szCs w:val="18"/>
              </w:rPr>
              <w:t>随车防护用具、检查和维护保养、维修等专用工具和备品、备件应当配备齐全、完好；</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(10)  </w:t>
            </w:r>
            <w:r>
              <w:rPr>
                <w:rFonts w:ascii="Times New Roman" w:hAnsi="Times New Roman" w:cs="Times New Roman"/>
                <w:color w:val="auto"/>
                <w:sz w:val="18"/>
                <w:szCs w:val="18"/>
              </w:rPr>
              <w:t>易燃、易爆介质作业现场应当采取防止明火和防静电措施；</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(11)  </w:t>
            </w:r>
            <w:r>
              <w:rPr>
                <w:rFonts w:ascii="Times New Roman" w:hAnsi="Times New Roman" w:cs="Times New Roman"/>
                <w:color w:val="auto"/>
                <w:sz w:val="18"/>
                <w:szCs w:val="18"/>
              </w:rPr>
              <w:t>装卸液氧等氧化性介质的连接接头应当采取避免油脂污染措施；</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(12)  </w:t>
            </w:r>
            <w:r>
              <w:rPr>
                <w:rFonts w:ascii="Times New Roman" w:hAnsi="Times New Roman" w:cs="Times New Roman"/>
                <w:color w:val="auto"/>
                <w:sz w:val="18"/>
                <w:szCs w:val="18"/>
              </w:rPr>
              <w:t>罐</w:t>
            </w:r>
            <w:r>
              <w:rPr>
                <w:rFonts w:ascii="Times New Roman" w:cs="Times New Roman"/>
                <w:color w:val="auto"/>
                <w:sz w:val="18"/>
                <w:szCs w:val="18"/>
              </w:rPr>
              <w:t>体或者气瓶与走行装置或者框架的连接应当完好、可靠。</w:t>
            </w:r>
            <w:r>
              <w:rPr>
                <w:rFonts w:ascii="Times New Roman" w:hAnsi="Times New Roman" w:cs="Times New Roman"/>
                <w:color w:val="auto"/>
                <w:sz w:val="18"/>
                <w:szCs w:val="18"/>
              </w:rPr>
              <w:t xml:space="preserve"> </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未经检查合格的移动式压力容器不得进入装卸区域进行装卸作业。</w:t>
            </w:r>
          </w:p>
        </w:tc>
      </w:tr>
      <w:tr>
        <w:trPr>
          <w:trHeight w:val="2853" w:hRule="atLeast"/>
        </w:trPr>
        <w:tc>
          <w:tcPr>
            <w:tcW w:w="861"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887"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装卸中</w:t>
            </w:r>
          </w:p>
        </w:tc>
        <w:tc>
          <w:tcPr>
            <w:tcW w:w="1559" w:type="dxa"/>
            <w:vMerge w:val="continue"/>
            <w:shd w:val="clear" w:color="auto" w:fill="FFFFFF"/>
            <w:noWrap w:val="0"/>
            <w:vAlign w:val="center"/>
          </w:tcPr>
          <w:p>
            <w:pPr>
              <w:snapToGrid w:val="0"/>
              <w:jc w:val="center"/>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6.4.2</w:t>
            </w:r>
          </w:p>
        </w:tc>
        <w:tc>
          <w:tcPr>
            <w:tcW w:w="1031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装卸作业过程的工作质量和安全应当符合以下要求：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充装人员必须持证上岗，按照规定的装卸工艺规程进行操作，装卸单位安全管理人员进行巡回检查；</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按照指定位置停车，汽车发动机必须熄火，切断车辆总电源</w:t>
            </w:r>
            <w:r>
              <w:rPr>
                <w:rFonts w:ascii="Times New Roman" w:hAnsi="Times New Roman" w:cs="Times New Roman"/>
                <w:color w:val="auto"/>
                <w:sz w:val="18"/>
                <w:szCs w:val="18"/>
              </w:rPr>
              <w:t>,</w:t>
            </w:r>
            <w:r>
              <w:rPr>
                <w:rFonts w:ascii="Times New Roman" w:cs="Times New Roman"/>
                <w:color w:val="auto"/>
                <w:sz w:val="18"/>
                <w:szCs w:val="18"/>
              </w:rPr>
              <w:t>并且采取防止车辆发生滑动的有效措施；</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装卸易燃、易爆介质前，移动式压力容器上的导静电装置与装卸台接地线进行连接；</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cs="Times New Roman"/>
                <w:color w:val="auto"/>
                <w:sz w:val="18"/>
                <w:szCs w:val="18"/>
              </w:rPr>
              <w:t>装卸接口的盲法兰或者等效装置必须在其内部压力卸尽后卸除；</w:t>
            </w:r>
          </w:p>
          <w:p>
            <w:pPr>
              <w:pStyle w:val="15"/>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cs="Times New Roman"/>
                <w:color w:val="auto"/>
                <w:sz w:val="18"/>
                <w:szCs w:val="18"/>
              </w:rPr>
              <w:t>使用充装单位专用的装卸用管进行充装</w:t>
            </w:r>
            <w:r>
              <w:rPr>
                <w:rFonts w:ascii="Times New Roman" w:hAnsi="Times New Roman" w:cs="Times New Roman"/>
                <w:color w:val="auto"/>
                <w:sz w:val="18"/>
                <w:szCs w:val="18"/>
              </w:rPr>
              <w:t>,</w:t>
            </w:r>
            <w:r>
              <w:rPr>
                <w:rFonts w:ascii="Times New Roman" w:cs="Times New Roman"/>
                <w:color w:val="auto"/>
                <w:sz w:val="18"/>
                <w:szCs w:val="18"/>
              </w:rPr>
              <w:t>不得使用随车携带的装卸用管进行充装；</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cs="Times New Roman"/>
                <w:color w:val="auto"/>
                <w:sz w:val="18"/>
                <w:szCs w:val="18"/>
              </w:rPr>
              <w:t>装卸用管与移动式压力容器的连接符合充装工艺规程的要求，连接必须安全可靠；</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(7)  </w:t>
            </w:r>
            <w:r>
              <w:rPr>
                <w:rFonts w:ascii="Times New Roman" w:cs="Times New Roman"/>
                <w:color w:val="auto"/>
                <w:sz w:val="18"/>
                <w:szCs w:val="18"/>
              </w:rPr>
              <w:t>装卸不允许与空气混合的介质前，进行管道吹扫或者置换；</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cs="Times New Roman"/>
                <w:color w:val="auto"/>
                <w:sz w:val="18"/>
                <w:szCs w:val="18"/>
              </w:rPr>
              <w:t>装卸作业过程中，操作人员必须处在规定的工作岗位上；配置紧急切断装置的，操作人员必须位于紧急切断装置的远控系统位置</w:t>
            </w:r>
            <w:r>
              <w:rPr>
                <w:rFonts w:ascii="Times New Roman" w:cs="Times New Roman"/>
                <w:color w:val="auto"/>
                <w:sz w:val="18"/>
                <w:szCs w:val="18"/>
                <w:lang w:eastAsia="zh-CN"/>
              </w:rPr>
              <w:t>；</w:t>
            </w:r>
            <w:r>
              <w:rPr>
                <w:rFonts w:ascii="Times New Roman" w:cs="Times New Roman"/>
                <w:color w:val="auto"/>
                <w:sz w:val="18"/>
                <w:szCs w:val="18"/>
              </w:rPr>
              <w:t>配置装卸安全连锁报警保护装置的，该装置处于完好的工作状态；</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cs="Times New Roman"/>
                <w:color w:val="auto"/>
                <w:sz w:val="18"/>
                <w:szCs w:val="18"/>
              </w:rPr>
              <w:t>装卸时的压力、温度和流速符合与所装卸介质相关的技术规范及其相应标准的要求，超过规定指标时必须迅速采取有效措施；</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(10)  </w:t>
            </w:r>
            <w:r>
              <w:rPr>
                <w:rFonts w:ascii="Times New Roman" w:cs="Times New Roman"/>
                <w:color w:val="auto"/>
                <w:sz w:val="18"/>
                <w:szCs w:val="18"/>
              </w:rPr>
              <w:t>移动式压力容器充装量（或者充装压力）不得超过核准的最大允许充装量（或者充装压力），严禁超装、错装。</w:t>
            </w:r>
          </w:p>
        </w:tc>
      </w:tr>
      <w:tr>
        <w:trPr>
          <w:trHeight w:val="1901" w:hRule="exac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shd w:val="clear" w:color="auto" w:fill="FFFFFF"/>
            <w:noWrap w:val="0"/>
            <w:vAlign w:val="center"/>
          </w:tcPr>
          <w:p>
            <w:pPr>
              <w:pStyle w:val="15"/>
              <w:snapToGrid w:val="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装卸后</w:t>
            </w:r>
          </w:p>
        </w:tc>
        <w:tc>
          <w:tcPr>
            <w:tcW w:w="1559" w:type="dxa"/>
            <w:vMerge w:val="continue"/>
            <w:shd w:val="clear" w:color="auto" w:fill="FFFFFF"/>
            <w:noWrap w:val="0"/>
            <w:vAlign w:val="center"/>
          </w:tcPr>
          <w:p>
            <w:pPr>
              <w:snapToGrid w:val="0"/>
              <w:jc w:val="center"/>
              <w:rPr>
                <w:color w:val="auto"/>
                <w:sz w:val="18"/>
                <w:szCs w:val="18"/>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6.4.3</w:t>
            </w:r>
          </w:p>
        </w:tc>
        <w:tc>
          <w:tcPr>
            <w:tcW w:w="10317"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装卸后的移动式压力容器应当进行检查，检查是否满足以下要求并且进行记录：</w:t>
            </w:r>
          </w:p>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移动式压力容器上与装卸作业相关的操作阀门应当置于闭止状态</w:t>
            </w:r>
            <w:r>
              <w:rPr>
                <w:rFonts w:ascii="Times New Roman" w:hAnsi="Times New Roman" w:cs="Times New Roman"/>
                <w:color w:val="auto"/>
                <w:sz w:val="18"/>
                <w:szCs w:val="18"/>
              </w:rPr>
              <w:t>,</w:t>
            </w:r>
            <w:r>
              <w:rPr>
                <w:rFonts w:ascii="Times New Roman" w:cs="Times New Roman"/>
                <w:color w:val="auto"/>
                <w:sz w:val="18"/>
                <w:szCs w:val="18"/>
              </w:rPr>
              <w:t>装卸连接口安装的盲法兰等装置应当符合要求；</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压力、温度、充装量（或者剩余量）应当符合要求；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移动式压力容器所有密封面、阀门、接管等应当无泄漏；</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cs="Times New Roman"/>
                <w:color w:val="auto"/>
                <w:sz w:val="18"/>
                <w:szCs w:val="18"/>
              </w:rPr>
              <w:t>所有安全附件、装卸附件应当完好；</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cs="Times New Roman"/>
                <w:color w:val="auto"/>
                <w:sz w:val="18"/>
                <w:szCs w:val="18"/>
              </w:rPr>
              <w:t>充装冷冻液化气体的移动式压力容器，其罐体外壁不应存在结露、结霜现象；</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cs="Times New Roman"/>
                <w:color w:val="auto"/>
                <w:sz w:val="18"/>
                <w:szCs w:val="18"/>
              </w:rPr>
              <w:t>移动式压力容器与装卸台的所有连接件应当分离。</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充装完成后，复核充装介质和充装量（或者充装压力），如有超装、错装，充装单位必须立即处理，否则严禁车辆驶离充装单位。</w:t>
            </w:r>
          </w:p>
        </w:tc>
      </w:tr>
    </w:tbl>
    <w:p>
      <w:pPr>
        <w:snapToGrid w:val="0"/>
        <w:spacing w:after="120" w:afterLines="5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B.5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氧舱专项要求</w:t>
      </w:r>
    </w:p>
    <w:tbl>
      <w:tblPr>
        <w:tblStyle w:val="8"/>
        <w:tblW w:w="1467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430"/>
        <w:gridCol w:w="567"/>
        <w:gridCol w:w="851"/>
        <w:gridCol w:w="850"/>
        <w:gridCol w:w="992"/>
        <w:gridCol w:w="10120"/>
      </w:tblGrid>
      <w:tr>
        <w:trPr>
          <w:trHeight w:val="144"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r>
              <w:rPr>
                <w:rFonts w:ascii="Times New Roman" w:hAnsi="Times New Roman" w:eastAsia="黑体" w:cs="Times New Roman"/>
                <w:b/>
                <w:color w:val="auto"/>
                <w:sz w:val="18"/>
                <w:szCs w:val="18"/>
                <w:lang w:eastAsia="zh-CN"/>
              </w:rPr>
              <w:t>(</w:t>
            </w:r>
            <w:r>
              <w:rPr>
                <w:rFonts w:ascii="Times New Roman" w:hAnsi="黑体" w:eastAsia="黑体" w:cs="Times New Roman"/>
                <w:b/>
                <w:color w:val="auto"/>
                <w:sz w:val="18"/>
                <w:szCs w:val="18"/>
                <w:lang w:eastAsia="zh-CN"/>
              </w:rPr>
              <w:t>途径</w:t>
            </w:r>
            <w:r>
              <w:rPr>
                <w:rFonts w:ascii="Times New Roman" w:hAnsi="Times New Roman" w:eastAsia="黑体" w:cs="Times New Roman"/>
                <w:b/>
                <w:color w:val="auto"/>
                <w:sz w:val="18"/>
                <w:szCs w:val="18"/>
                <w:lang w:eastAsia="zh-CN"/>
              </w:rPr>
              <w:t>)</w:t>
            </w:r>
          </w:p>
        </w:tc>
        <w:tc>
          <w:tcPr>
            <w:tcW w:w="43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实施单位</w:t>
            </w:r>
          </w:p>
        </w:tc>
        <w:tc>
          <w:tcPr>
            <w:tcW w:w="56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5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1842"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1012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430"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5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10120"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400" w:hRule="atLeast"/>
        </w:trPr>
        <w:tc>
          <w:tcPr>
            <w:tcW w:w="86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日常安</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全检查</w:t>
            </w:r>
          </w:p>
        </w:tc>
        <w:tc>
          <w:tcPr>
            <w:tcW w:w="43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w:t>
            </w:r>
          </w:p>
        </w:tc>
        <w:tc>
          <w:tcPr>
            <w:tcW w:w="56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自定</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自定</w:t>
            </w:r>
          </w:p>
        </w:tc>
        <w:tc>
          <w:tcPr>
            <w:tcW w:w="850" w:type="dxa"/>
            <w:vMerge w:val="restart"/>
            <w:shd w:val="clear" w:color="auto" w:fill="FFFFFF"/>
            <w:noWrap w:val="0"/>
            <w:vAlign w:val="center"/>
          </w:tcPr>
          <w:p>
            <w:pPr>
              <w:snapToGrid w:val="0"/>
              <w:jc w:val="center"/>
              <w:rPr>
                <w:color w:val="auto"/>
                <w:sz w:val="18"/>
                <w:szCs w:val="18"/>
              </w:rPr>
            </w:pPr>
            <w:r>
              <w:rPr>
                <w:rFonts w:hAnsi="宋体" w:eastAsia="宋体"/>
                <w:color w:val="auto"/>
                <w:sz w:val="18"/>
                <w:szCs w:val="18"/>
                <w:lang w:val="zh-TW" w:eastAsia="zh-TW" w:bidi="zh-TW"/>
              </w:rPr>
              <w:t>氧舱安全技术监察规程（</w:t>
            </w:r>
            <w:r>
              <w:rPr>
                <w:rFonts w:eastAsia="宋体"/>
                <w:color w:val="auto"/>
                <w:sz w:val="18"/>
                <w:szCs w:val="18"/>
                <w:lang w:val="zh-TW" w:eastAsia="zh-TW" w:bidi="zh-TW"/>
              </w:rPr>
              <w:t>TSG 24-2015</w:t>
            </w:r>
            <w:r>
              <w:rPr>
                <w:rFonts w:hAnsi="宋体" w:eastAsia="宋体"/>
                <w:color w:val="auto"/>
                <w:sz w:val="18"/>
                <w:szCs w:val="18"/>
                <w:lang w:val="zh-TW" w:eastAsia="zh-TW" w:bidi="zh-TW"/>
              </w:rPr>
              <w:t>）</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1(6)</w:t>
            </w: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2(4)</w:t>
            </w:r>
          </w:p>
        </w:tc>
        <w:tc>
          <w:tcPr>
            <w:tcW w:w="10120" w:type="dxa"/>
            <w:shd w:val="clear" w:color="auto" w:fill="FFFFFF"/>
            <w:noWrap w:val="0"/>
            <w:vAlign w:val="center"/>
          </w:tcPr>
          <w:p>
            <w:pPr>
              <w:pStyle w:val="15"/>
              <w:snapToGrid w:val="0"/>
              <w:spacing w:line="200" w:lineRule="exact"/>
              <w:jc w:val="both"/>
              <w:rPr>
                <w:rFonts w:ascii="Times New Roman" w:hAnsi="Times New Roman" w:cs="Times New Roman"/>
                <w:color w:val="auto"/>
                <w:sz w:val="18"/>
                <w:szCs w:val="18"/>
              </w:rPr>
            </w:pPr>
            <w:r>
              <w:rPr>
                <w:rFonts w:ascii="Times New Roman" w:cs="Times New Roman"/>
                <w:color w:val="auto"/>
                <w:sz w:val="18"/>
                <w:szCs w:val="18"/>
              </w:rPr>
              <w:t>（使用单位根据设备运行情况及安全要求自行以书面形式确定）</w:t>
            </w:r>
            <w:r>
              <w:rPr>
                <w:rFonts w:ascii="Times New Roman" w:hAnsi="Times New Roman" w:cs="Times New Roman"/>
                <w:color w:val="auto"/>
                <w:sz w:val="18"/>
                <w:szCs w:val="18"/>
              </w:rPr>
              <w:t xml:space="preserve"> </w:t>
            </w:r>
            <w:r>
              <w:rPr>
                <w:rFonts w:ascii="Times New Roman" w:cs="Times New Roman"/>
                <w:color w:val="auto"/>
                <w:sz w:val="18"/>
                <w:szCs w:val="18"/>
              </w:rPr>
              <w:t>氧舱管理的专项制度：日常安全检查、年度检查和隐患处理制度。</w:t>
            </w:r>
          </w:p>
          <w:p>
            <w:pPr>
              <w:pStyle w:val="15"/>
              <w:snapToGrid w:val="0"/>
              <w:spacing w:line="200" w:lineRule="exact"/>
              <w:jc w:val="both"/>
              <w:rPr>
                <w:rFonts w:ascii="Times New Roman" w:hAnsi="Times New Roman" w:cs="Times New Roman"/>
                <w:color w:val="auto"/>
                <w:sz w:val="18"/>
                <w:szCs w:val="18"/>
              </w:rPr>
            </w:pPr>
            <w:r>
              <w:rPr>
                <w:rFonts w:ascii="Times New Roman" w:cs="Times New Roman"/>
                <w:color w:val="auto"/>
                <w:sz w:val="18"/>
                <w:szCs w:val="18"/>
              </w:rPr>
              <w:t>使用单位应组织实施定期自行检查（包括日常安全检查和年度检查）工作</w:t>
            </w:r>
            <w:r>
              <w:rPr>
                <w:rFonts w:ascii="Times New Roman" w:hAnsi="Times New Roman" w:cs="Times New Roman"/>
                <w:color w:val="auto"/>
                <w:sz w:val="18"/>
                <w:szCs w:val="18"/>
              </w:rPr>
              <w:t>,</w:t>
            </w:r>
            <w:r>
              <w:rPr>
                <w:rFonts w:ascii="Times New Roman" w:cs="Times New Roman"/>
                <w:color w:val="auto"/>
                <w:sz w:val="18"/>
                <w:szCs w:val="18"/>
              </w:rPr>
              <w:t>并且记录安全检查情况和问题以及采取的处理措施。</w:t>
            </w:r>
          </w:p>
        </w:tc>
      </w:tr>
      <w:tr>
        <w:trPr>
          <w:trHeight w:val="795" w:hRule="exact"/>
        </w:trPr>
        <w:tc>
          <w:tcPr>
            <w:tcW w:w="86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维护保养</w:t>
            </w:r>
          </w:p>
        </w:tc>
        <w:tc>
          <w:tcPr>
            <w:tcW w:w="43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w:t>
            </w:r>
          </w:p>
        </w:tc>
        <w:tc>
          <w:tcPr>
            <w:tcW w:w="56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安全管理人员</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每月至少一次</w:t>
            </w:r>
          </w:p>
        </w:tc>
        <w:tc>
          <w:tcPr>
            <w:tcW w:w="850"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8.1(3)</w:t>
            </w:r>
            <w:r>
              <w:rPr>
                <w:rFonts w:ascii="Times New Roman" w:cs="Times New Roman"/>
                <w:color w:val="auto"/>
                <w:sz w:val="18"/>
                <w:szCs w:val="18"/>
              </w:rPr>
              <w:t>、</w:t>
            </w:r>
            <w:r>
              <w:rPr>
                <w:rFonts w:ascii="Times New Roman" w:hAnsi="Times New Roman" w:eastAsia="Times New Roman" w:cs="Times New Roman"/>
                <w:color w:val="auto"/>
                <w:sz w:val="18"/>
                <w:szCs w:val="18"/>
                <w:lang w:val="en-US" w:eastAsia="en-US" w:bidi="en-US"/>
              </w:rPr>
              <w:t>8.2.5</w:t>
            </w:r>
          </w:p>
        </w:tc>
        <w:tc>
          <w:tcPr>
            <w:tcW w:w="10120" w:type="dxa"/>
            <w:shd w:val="clear" w:color="auto" w:fill="FFFFFF"/>
            <w:noWrap w:val="0"/>
            <w:vAlign w:val="center"/>
          </w:tcPr>
          <w:p>
            <w:pPr>
              <w:pStyle w:val="15"/>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维护保养工作的时间根据氧舱使用情况确定，但是每月至少一次。维护保养工作由使用单位安全管理人员组织，维护保养人员进行，也可以委托具有维护保养能力的专业机构进行。</w:t>
            </w:r>
          </w:p>
          <w:p>
            <w:pPr>
              <w:pStyle w:val="15"/>
              <w:snapToGrid w:val="0"/>
              <w:spacing w:line="200" w:lineRule="exact"/>
              <w:jc w:val="both"/>
              <w:rPr>
                <w:rFonts w:ascii="Times New Roman" w:hAnsi="Times New Roman" w:cs="Times New Roman"/>
                <w:color w:val="auto"/>
                <w:sz w:val="18"/>
                <w:szCs w:val="18"/>
              </w:rPr>
            </w:pPr>
            <w:r>
              <w:rPr>
                <w:rFonts w:ascii="Times New Roman" w:cs="Times New Roman"/>
                <w:color w:val="auto"/>
                <w:sz w:val="18"/>
                <w:szCs w:val="18"/>
              </w:rPr>
              <w:t>维护保养项目和内容按照氧舱使用维护说明书的要求，检查氧舱使用情况，进行清洁、更换易损零部件、修复和排除故障，保持氧舱安全使用状态，并且记录维护保养情况。</w:t>
            </w:r>
          </w:p>
        </w:tc>
      </w:tr>
      <w:tr>
        <w:trPr>
          <w:trHeight w:val="6802" w:hRule="exact"/>
        </w:trPr>
        <w:tc>
          <w:tcPr>
            <w:tcW w:w="86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43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使用单位或委托专业检验机构</w:t>
            </w:r>
          </w:p>
        </w:tc>
        <w:tc>
          <w:tcPr>
            <w:tcW w:w="56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安全管理人员</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w:t>
            </w:r>
            <w:r>
              <w:rPr>
                <w:rFonts w:ascii="Times New Roman" w:cs="Times New Roman"/>
                <w:color w:val="auto"/>
                <w:sz w:val="18"/>
                <w:szCs w:val="18"/>
                <w:lang w:eastAsia="zh-CN"/>
              </w:rPr>
              <w:t>年</w:t>
            </w:r>
            <w:r>
              <w:rPr>
                <w:rFonts w:ascii="Times New Roman" w:cs="Times New Roman"/>
                <w:color w:val="auto"/>
                <w:sz w:val="18"/>
                <w:szCs w:val="18"/>
              </w:rPr>
              <w:t>至少</w:t>
            </w:r>
            <w:r>
              <w:rPr>
                <w:rFonts w:ascii="Times New Roman" w:cs="Times New Roman"/>
                <w:color w:val="auto"/>
                <w:sz w:val="18"/>
                <w:szCs w:val="18"/>
                <w:lang w:eastAsia="zh-CN"/>
              </w:rPr>
              <w:t>一</w:t>
            </w:r>
            <w:r>
              <w:rPr>
                <w:rFonts w:ascii="Times New Roman" w:cs="Times New Roman"/>
                <w:color w:val="auto"/>
                <w:sz w:val="18"/>
                <w:szCs w:val="18"/>
              </w:rPr>
              <w:t>次</w:t>
            </w:r>
          </w:p>
        </w:tc>
        <w:tc>
          <w:tcPr>
            <w:tcW w:w="850" w:type="dxa"/>
            <w:vMerge w:val="continue"/>
            <w:shd w:val="clear" w:color="auto" w:fill="FFFFFF"/>
            <w:noWrap w:val="0"/>
            <w:vAlign w:val="center"/>
          </w:tcPr>
          <w:p>
            <w:pPr>
              <w:snapToGrid w:val="0"/>
              <w:jc w:val="center"/>
              <w:rPr>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8.1(3)</w:t>
            </w: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1(6)</w:t>
            </w:r>
            <w:r>
              <w:rPr>
                <w:rFonts w:ascii="Times New Roman" w:cs="Times New Roman"/>
                <w:color w:val="auto"/>
                <w:sz w:val="18"/>
                <w:szCs w:val="18"/>
              </w:rPr>
              <w:t>、</w:t>
            </w:r>
            <w:r>
              <w:rPr>
                <w:rFonts w:ascii="Times New Roman" w:hAnsi="Times New Roman" w:eastAsia="Times New Roman" w:cs="Times New Roman"/>
                <w:color w:val="auto"/>
                <w:sz w:val="18"/>
                <w:szCs w:val="18"/>
                <w:lang w:val="en-US" w:eastAsia="en-US" w:bidi="en-US"/>
              </w:rPr>
              <w:t>8.4</w:t>
            </w:r>
          </w:p>
        </w:tc>
        <w:tc>
          <w:tcPr>
            <w:tcW w:w="10120" w:type="dxa"/>
            <w:shd w:val="clear" w:color="auto" w:fill="FFFFFF"/>
            <w:noWrap w:val="0"/>
            <w:vAlign w:val="center"/>
          </w:tcPr>
          <w:p>
            <w:pPr>
              <w:pStyle w:val="15"/>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安全管理工作情况</w:t>
            </w:r>
            <w:r>
              <w:rPr>
                <w:rFonts w:hint="eastAsia" w:ascii="Times New Roman" w:cs="Times New Roman"/>
                <w:color w:val="auto"/>
                <w:sz w:val="18"/>
                <w:szCs w:val="18"/>
                <w:lang w:eastAsia="zh-CN"/>
              </w:rPr>
              <w:t>：</w:t>
            </w:r>
            <w:r>
              <w:rPr>
                <w:rFonts w:ascii="Times New Roman" w:cs="Times New Roman"/>
                <w:color w:val="auto"/>
                <w:sz w:val="18"/>
                <w:szCs w:val="18"/>
              </w:rPr>
              <w:t>检查本年度使用安全管理工作情况。</w:t>
            </w:r>
          </w:p>
          <w:p>
            <w:pPr>
              <w:pStyle w:val="15"/>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资料</w:t>
            </w:r>
          </w:p>
          <w:p>
            <w:pPr>
              <w:pStyle w:val="15"/>
              <w:tabs>
                <w:tab w:val="left" w:pos="31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本年度内氧舱的运行、维护保养记录；</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安全附件与安全保护装置及仪表检验或者检定记录、报告；</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安全管理、维护保养人员的资格证。</w:t>
            </w:r>
          </w:p>
          <w:p>
            <w:pPr>
              <w:pStyle w:val="15"/>
              <w:numPr>
                <w:ilvl w:val="0"/>
                <w:numId w:val="38"/>
              </w:numPr>
              <w:tabs>
                <w:tab w:val="left" w:pos="19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舱体</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舱门、递物筒的密封材料是否老化、变形；</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医用氧气加压氧舱舱内导静电装置的连接情况是否符合要求；</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有机玻璃材料是否有划伤、劣化、银纹等缺陷以及泄漏情况；</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cs="Times New Roman"/>
                <w:color w:val="auto"/>
                <w:sz w:val="18"/>
                <w:szCs w:val="18"/>
              </w:rPr>
              <w:t>呼吸气体浓度测定装置采集口是否畅通，保护情况是否良好。</w:t>
            </w:r>
          </w:p>
          <w:p>
            <w:pPr>
              <w:pStyle w:val="15"/>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压力调节及呼吸气系统</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氧舱内呼吸装置（包括急救吸氧装置）是否能够正常工作；</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舱内外应急排气装置开启、关闭是否灵敏可靠，警示标志是否符合要求；</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压力调节及呼吸气系统控制阀门操作是否灵敏可靠、无泄漏；</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cs="Times New Roman"/>
                <w:color w:val="auto"/>
                <w:sz w:val="18"/>
                <w:szCs w:val="18"/>
              </w:rPr>
              <w:t>呼吸气系统有无油脂污染现象；</w:t>
            </w:r>
          </w:p>
          <w:p>
            <w:pPr>
              <w:pStyle w:val="15"/>
              <w:tabs>
                <w:tab w:val="left" w:pos="31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cs="Times New Roman"/>
                <w:color w:val="auto"/>
                <w:sz w:val="18"/>
                <w:szCs w:val="18"/>
              </w:rPr>
              <w:t>气体过滤材料是否按照相关标准要求进行了清洗、更换；</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cs="Times New Roman"/>
                <w:color w:val="auto"/>
                <w:sz w:val="18"/>
                <w:szCs w:val="18"/>
              </w:rPr>
              <w:t>采集气瓶作为呼吸气体供应源的，检查气瓶是否在检验有效期内。</w:t>
            </w:r>
          </w:p>
          <w:p>
            <w:pPr>
              <w:pStyle w:val="15"/>
              <w:numPr>
                <w:ilvl w:val="0"/>
                <w:numId w:val="38"/>
              </w:numPr>
              <w:tabs>
                <w:tab w:val="left" w:pos="211"/>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电气系统与舱内环境调节系统</w:t>
            </w:r>
          </w:p>
          <w:p>
            <w:pPr>
              <w:pStyle w:val="15"/>
              <w:tabs>
                <w:tab w:val="left" w:pos="317"/>
              </w:tabs>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照明装置（应急照明装置）、视频监控装置、通讯对讲装置、应急呼叫装置、温度调节和加湿装置是否能够正常工作；</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在正常供电网络中断时，应急电源装置是否能够自动投入使用；</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舱内环境调节系统空调电机，控制装置等工作是否正常。</w:t>
            </w:r>
          </w:p>
          <w:p>
            <w:pPr>
              <w:pStyle w:val="15"/>
              <w:numPr>
                <w:ilvl w:val="0"/>
                <w:numId w:val="39"/>
              </w:numPr>
              <w:tabs>
                <w:tab w:val="left" w:pos="20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消防系统与使用环境</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cs="Times New Roman"/>
                <w:color w:val="auto"/>
                <w:sz w:val="18"/>
                <w:szCs w:val="18"/>
              </w:rPr>
              <w:t>水喷淋消防系统是否完好；</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cs="Times New Roman"/>
                <w:color w:val="auto"/>
                <w:sz w:val="18"/>
                <w:szCs w:val="18"/>
              </w:rPr>
              <w:t>舱内外配备的消防器材是否在有效期以及警示标志是否符合要求；</w:t>
            </w:r>
          </w:p>
          <w:p>
            <w:pPr>
              <w:pStyle w:val="15"/>
              <w:snapToGrid w:val="0"/>
              <w:spacing w:line="200" w:lineRule="exact"/>
              <w:jc w:val="both"/>
              <w:rPr>
                <w:rFonts w:hint="eastAsia" w:ascii="Times New Roman" w:cs="Times New Roman"/>
                <w:color w:val="auto"/>
                <w:sz w:val="18"/>
                <w:szCs w:val="18"/>
                <w:lang w:eastAsia="zh-CN"/>
              </w:rPr>
            </w:pPr>
            <w:r>
              <w:rPr>
                <w:rFonts w:ascii="Times New Roman" w:hAnsi="Times New Roman" w:cs="Times New Roman"/>
                <w:color w:val="auto"/>
                <w:sz w:val="18"/>
                <w:szCs w:val="18"/>
                <w:lang w:eastAsia="zh-CN"/>
              </w:rPr>
              <w:t xml:space="preserve">(3)  </w:t>
            </w:r>
            <w:r>
              <w:rPr>
                <w:rFonts w:ascii="Times New Roman" w:cs="Times New Roman"/>
                <w:color w:val="auto"/>
                <w:sz w:val="18"/>
                <w:szCs w:val="18"/>
              </w:rPr>
              <w:t>氧舱以及呼吸气体供应源场地（房间）的防爆、通风、消防措施情况是否符合要求，有无油脂污染情况等。</w:t>
            </w:r>
          </w:p>
          <w:p>
            <w:pPr>
              <w:pStyle w:val="15"/>
              <w:numPr>
                <w:ilvl w:val="0"/>
                <w:numId w:val="39"/>
              </w:numPr>
              <w:tabs>
                <w:tab w:val="left" w:pos="19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安全附件与安全保护装置及仪表</w:t>
            </w:r>
          </w:p>
          <w:p>
            <w:pPr>
              <w:pStyle w:val="15"/>
              <w:tabs>
                <w:tab w:val="left" w:pos="317"/>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安全阀、仪器、仪表是否在校验、检定有效期内；</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呼吸气体浓度、温度、湿度测量仪表工作是否正常；</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呼吸气体浓度测定装置报警功能是否符合要求；</w:t>
            </w:r>
          </w:p>
          <w:p>
            <w:pPr>
              <w:pStyle w:val="15"/>
              <w:tabs>
                <w:tab w:val="left" w:pos="322"/>
              </w:tabs>
              <w:snapToGrid w:val="0"/>
              <w:spacing w:line="200" w:lineRule="exact"/>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cs="Times New Roman"/>
                <w:color w:val="auto"/>
                <w:sz w:val="18"/>
                <w:szCs w:val="18"/>
              </w:rPr>
              <w:t>呼吸气体浓度传感器是否在有效期内；</w:t>
            </w:r>
          </w:p>
          <w:p>
            <w:pPr>
              <w:pStyle w:val="15"/>
              <w:tabs>
                <w:tab w:val="left" w:pos="322"/>
              </w:tabs>
              <w:snapToGrid w:val="0"/>
              <w:spacing w:line="200" w:lineRule="exact"/>
              <w:rPr>
                <w:rFonts w:hint="eastAsia" w:ascii="Times New Roman" w:cs="Times New Roman"/>
                <w:color w:val="auto"/>
                <w:sz w:val="18"/>
                <w:szCs w:val="18"/>
                <w:lang w:eastAsia="zh-CN"/>
              </w:rPr>
            </w:pPr>
            <w:r>
              <w:rPr>
                <w:rFonts w:hint="eastAsia"/>
                <w:color w:val="auto"/>
                <w:sz w:val="18"/>
                <w:szCs w:val="18"/>
              </w:rPr>
              <w:t>（</w:t>
            </w:r>
            <w:r>
              <w:rPr>
                <w:rFonts w:ascii="Times New Roman" w:hAnsi="Times New Roman" w:eastAsia="Times New Roman" w:cs="Times New Roman"/>
                <w:color w:val="auto"/>
                <w:sz w:val="18"/>
                <w:szCs w:val="18"/>
              </w:rPr>
              <w:t>5</w:t>
            </w:r>
            <w:r>
              <w:rPr>
                <w:rFonts w:hint="eastAsia"/>
                <w:color w:val="auto"/>
                <w:sz w:val="18"/>
                <w:szCs w:val="18"/>
              </w:rPr>
              <w:t>）</w:t>
            </w:r>
            <w:r>
              <w:rPr>
                <w:rFonts w:ascii="Times New Roman" w:cs="Times New Roman"/>
                <w:color w:val="auto"/>
                <w:sz w:val="18"/>
                <w:szCs w:val="18"/>
              </w:rPr>
              <w:t>氧舱运行参数自动测定、显示、记录装置工作是否正常。</w:t>
            </w:r>
          </w:p>
          <w:p>
            <w:pPr>
              <w:pStyle w:val="15"/>
              <w:numPr>
                <w:ilvl w:val="0"/>
                <w:numId w:val="39"/>
              </w:numPr>
              <w:tabs>
                <w:tab w:val="left" w:pos="202"/>
              </w:tabs>
              <w:snapToGrid w:val="0"/>
              <w:spacing w:line="200" w:lineRule="exact"/>
              <w:rPr>
                <w:rFonts w:ascii="Times New Roman" w:hAnsi="Times New Roman" w:cs="Times New Roman"/>
                <w:color w:val="auto"/>
                <w:sz w:val="18"/>
                <w:szCs w:val="18"/>
              </w:rPr>
            </w:pPr>
            <w:r>
              <w:rPr>
                <w:rFonts w:ascii="Times New Roman" w:cs="Times New Roman"/>
                <w:color w:val="auto"/>
                <w:sz w:val="18"/>
                <w:szCs w:val="18"/>
              </w:rPr>
              <w:t>配套压力容器</w:t>
            </w:r>
            <w:r>
              <w:rPr>
                <w:rFonts w:hint="eastAsia" w:ascii="Times New Roman" w:cs="Times New Roman"/>
                <w:color w:val="auto"/>
                <w:sz w:val="18"/>
                <w:szCs w:val="18"/>
                <w:lang w:eastAsia="zh-CN"/>
              </w:rPr>
              <w:t>：</w:t>
            </w:r>
            <w:r>
              <w:rPr>
                <w:rFonts w:ascii="Times New Roman" w:cs="Times New Roman"/>
                <w:color w:val="auto"/>
                <w:sz w:val="18"/>
                <w:szCs w:val="18"/>
              </w:rPr>
              <w:t>按照《固定式压力容器安全技术监察规程》中有关年度检查的规定执行。</w:t>
            </w:r>
          </w:p>
          <w:p>
            <w:pPr>
              <w:pStyle w:val="15"/>
              <w:numPr>
                <w:ilvl w:val="0"/>
                <w:numId w:val="39"/>
              </w:numPr>
              <w:tabs>
                <w:tab w:val="left" w:pos="197"/>
              </w:tabs>
              <w:snapToGrid w:val="0"/>
              <w:spacing w:line="200" w:lineRule="exact"/>
              <w:rPr>
                <w:rFonts w:hint="eastAsia" w:ascii="Times New Roman" w:hAnsi="Times New Roman" w:cs="Times New Roman"/>
                <w:color w:val="auto"/>
                <w:sz w:val="18"/>
                <w:szCs w:val="18"/>
                <w:lang w:eastAsia="zh-CN"/>
              </w:rPr>
            </w:pPr>
            <w:r>
              <w:rPr>
                <w:rFonts w:ascii="Times New Roman" w:cs="Times New Roman"/>
                <w:color w:val="auto"/>
                <w:sz w:val="18"/>
                <w:szCs w:val="18"/>
              </w:rPr>
              <w:t>修理、更换情况</w:t>
            </w:r>
            <w:r>
              <w:rPr>
                <w:rFonts w:hint="eastAsia" w:ascii="Times New Roman" w:cs="Times New Roman"/>
                <w:color w:val="auto"/>
                <w:sz w:val="18"/>
                <w:szCs w:val="18"/>
                <w:lang w:eastAsia="zh-CN"/>
              </w:rPr>
              <w:t>：</w:t>
            </w:r>
            <w:r>
              <w:rPr>
                <w:rFonts w:ascii="Times New Roman" w:cs="Times New Roman"/>
                <w:color w:val="auto"/>
                <w:sz w:val="18"/>
                <w:szCs w:val="18"/>
              </w:rPr>
              <w:t>检查本年度经过修理的部位、更换的零部件的工作是否正常。</w:t>
            </w:r>
          </w:p>
          <w:p>
            <w:pPr>
              <w:pStyle w:val="15"/>
              <w:numPr>
                <w:ilvl w:val="0"/>
                <w:numId w:val="39"/>
              </w:numPr>
              <w:tabs>
                <w:tab w:val="left" w:pos="197"/>
              </w:tabs>
              <w:snapToGrid w:val="0"/>
              <w:spacing w:line="200" w:lineRule="exact"/>
              <w:rPr>
                <w:rFonts w:hint="eastAsia" w:ascii="Times New Roman" w:hAnsi="Times New Roman" w:cs="Times New Roman"/>
                <w:color w:val="auto"/>
                <w:sz w:val="18"/>
                <w:szCs w:val="18"/>
                <w:lang w:eastAsia="zh-CN"/>
              </w:rPr>
            </w:pPr>
            <w:r>
              <w:rPr>
                <w:rFonts w:ascii="Times New Roman" w:cs="Times New Roman"/>
                <w:color w:val="auto"/>
                <w:sz w:val="18"/>
                <w:szCs w:val="18"/>
              </w:rPr>
              <w:t>安全警示标志</w:t>
            </w:r>
            <w:r>
              <w:rPr>
                <w:rFonts w:hint="eastAsia" w:ascii="Times New Roman" w:cs="Times New Roman"/>
                <w:color w:val="auto"/>
                <w:sz w:val="18"/>
                <w:szCs w:val="18"/>
                <w:lang w:eastAsia="zh-CN"/>
              </w:rPr>
              <w:t>：</w:t>
            </w:r>
            <w:r>
              <w:rPr>
                <w:rFonts w:ascii="Times New Roman" w:cs="Times New Roman"/>
                <w:color w:val="auto"/>
                <w:sz w:val="18"/>
                <w:szCs w:val="18"/>
              </w:rPr>
              <w:t>安全警示标志及其说明情况是否完整清晰。</w:t>
            </w:r>
          </w:p>
        </w:tc>
      </w:tr>
      <w:tr>
        <w:trPr>
          <w:trHeight w:val="422" w:hRule="exact"/>
        </w:trPr>
        <w:tc>
          <w:tcPr>
            <w:tcW w:w="861" w:type="dxa"/>
            <w:shd w:val="clear" w:color="auto" w:fill="FFFFFF"/>
            <w:noWrap w:val="0"/>
            <w:vAlign w:val="center"/>
          </w:tcPr>
          <w:p>
            <w:pPr>
              <w:pStyle w:val="15"/>
              <w:snapToGrid w:val="0"/>
              <w:spacing w:line="200" w:lineRule="exact"/>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定期检验</w:t>
            </w:r>
          </w:p>
        </w:tc>
        <w:tc>
          <w:tcPr>
            <w:tcW w:w="430" w:type="dxa"/>
            <w:shd w:val="clear" w:color="auto" w:fill="FFFFFF"/>
            <w:noWrap w:val="0"/>
            <w:vAlign w:val="center"/>
          </w:tcPr>
          <w:p>
            <w:pPr>
              <w:pStyle w:val="15"/>
              <w:snapToGrid w:val="0"/>
              <w:spacing w:line="200" w:lineRule="exact"/>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检验机构</w:t>
            </w:r>
          </w:p>
        </w:tc>
        <w:tc>
          <w:tcPr>
            <w:tcW w:w="567" w:type="dxa"/>
            <w:shd w:val="clear" w:color="auto" w:fill="FFFFFF"/>
            <w:noWrap w:val="0"/>
            <w:vAlign w:val="center"/>
          </w:tcPr>
          <w:p>
            <w:pPr>
              <w:pStyle w:val="15"/>
              <w:snapToGrid w:val="0"/>
              <w:spacing w:line="200" w:lineRule="exact"/>
              <w:jc w:val="center"/>
              <w:rPr>
                <w:rFonts w:ascii="Times New Roman" w:hAnsi="Times New Roman" w:cs="Times New Roman"/>
                <w:color w:val="auto"/>
                <w:sz w:val="18"/>
                <w:szCs w:val="18"/>
              </w:rPr>
            </w:pPr>
            <w:r>
              <w:rPr>
                <w:rFonts w:ascii="Times New Roman" w:cs="Times New Roman"/>
                <w:color w:val="auto"/>
                <w:sz w:val="18"/>
                <w:szCs w:val="18"/>
              </w:rPr>
              <w:t>有资质的检验人员</w:t>
            </w:r>
          </w:p>
        </w:tc>
        <w:tc>
          <w:tcPr>
            <w:tcW w:w="851" w:type="dxa"/>
            <w:shd w:val="clear" w:color="auto" w:fill="FFFFFF"/>
            <w:noWrap w:val="0"/>
            <w:vAlign w:val="center"/>
          </w:tcPr>
          <w:p>
            <w:pPr>
              <w:pStyle w:val="15"/>
              <w:snapToGrid w:val="0"/>
              <w:spacing w:line="200" w:lineRule="exact"/>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检验人员确定</w:t>
            </w:r>
          </w:p>
        </w:tc>
        <w:tc>
          <w:tcPr>
            <w:tcW w:w="850" w:type="dxa"/>
            <w:vMerge w:val="continue"/>
            <w:shd w:val="clear" w:color="auto" w:fill="FFFFFF"/>
            <w:noWrap w:val="0"/>
            <w:vAlign w:val="center"/>
          </w:tcPr>
          <w:p>
            <w:pPr>
              <w:snapToGrid w:val="0"/>
              <w:spacing w:line="200" w:lineRule="exact"/>
              <w:jc w:val="center"/>
              <w:rPr>
                <w:color w:val="auto"/>
                <w:sz w:val="18"/>
                <w:szCs w:val="18"/>
                <w:lang w:eastAsia="zh-CN"/>
              </w:rPr>
            </w:pPr>
          </w:p>
        </w:tc>
        <w:tc>
          <w:tcPr>
            <w:tcW w:w="992" w:type="dxa"/>
            <w:shd w:val="clear" w:color="auto" w:fill="FFFFFF"/>
            <w:noWrap w:val="0"/>
            <w:vAlign w:val="center"/>
          </w:tcPr>
          <w:p>
            <w:pPr>
              <w:pStyle w:val="15"/>
              <w:snapToGrid w:val="0"/>
              <w:spacing w:line="20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8.1</w:t>
            </w:r>
          </w:p>
        </w:tc>
        <w:tc>
          <w:tcPr>
            <w:tcW w:w="10120" w:type="dxa"/>
            <w:shd w:val="clear" w:color="auto" w:fill="FFFFFF"/>
            <w:noWrap w:val="0"/>
            <w:vAlign w:val="center"/>
          </w:tcPr>
          <w:p>
            <w:pPr>
              <w:pStyle w:val="15"/>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使用单位在氧舱定期检验有效期届满的</w:t>
            </w:r>
            <w:r>
              <w:rPr>
                <w:rFonts w:ascii="Times New Roman" w:hAnsi="Times New Roman" w:eastAsia="Times New Roman" w:cs="Times New Roman"/>
                <w:color w:val="auto"/>
                <w:sz w:val="18"/>
                <w:szCs w:val="18"/>
              </w:rPr>
              <w:t>1</w:t>
            </w:r>
            <w:r>
              <w:rPr>
                <w:rFonts w:ascii="Times New Roman" w:cs="Times New Roman"/>
                <w:color w:val="auto"/>
                <w:sz w:val="18"/>
                <w:szCs w:val="18"/>
              </w:rPr>
              <w:t>个月以前，向检验机构申报定期检验。</w:t>
            </w:r>
          </w:p>
        </w:tc>
      </w:tr>
    </w:tbl>
    <w:p>
      <w:pPr>
        <w:snapToGrid w:val="0"/>
        <w:spacing w:line="20" w:lineRule="exact"/>
        <w:rPr>
          <w:rFonts w:eastAsia="宋体"/>
          <w:color w:val="auto"/>
          <w:sz w:val="18"/>
          <w:szCs w:val="18"/>
          <w:lang w:eastAsia="zh-CN"/>
        </w:rPr>
      </w:pPr>
    </w:p>
    <w:p>
      <w:pPr>
        <w:pStyle w:val="14"/>
        <w:snapToGrid w:val="0"/>
        <w:spacing w:line="240" w:lineRule="auto"/>
        <w:rPr>
          <w:rFonts w:ascii="Times New Roman" w:cs="Times New Roman"/>
          <w:color w:val="auto"/>
          <w:sz w:val="18"/>
          <w:szCs w:val="18"/>
        </w:rPr>
      </w:pPr>
    </w:p>
    <w:p>
      <w:pPr>
        <w:snapToGrid w:val="0"/>
        <w:spacing w:after="120" w:afterLines="5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B.6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气瓶充装专项要求</w:t>
      </w:r>
    </w:p>
    <w:tbl>
      <w:tblPr>
        <w:tblStyle w:val="8"/>
        <w:tblW w:w="1467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956"/>
        <w:gridCol w:w="887"/>
        <w:gridCol w:w="1559"/>
        <w:gridCol w:w="913"/>
        <w:gridCol w:w="8539"/>
      </w:tblGrid>
      <w:tr>
        <w:trPr>
          <w:trHeight w:val="339"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r>
              <w:rPr>
                <w:rFonts w:ascii="Times New Roman" w:hAnsi="Times New Roman" w:eastAsia="黑体" w:cs="Times New Roman"/>
                <w:b/>
                <w:color w:val="auto"/>
                <w:sz w:val="18"/>
                <w:szCs w:val="18"/>
                <w:lang w:eastAsia="zh-CN"/>
              </w:rPr>
              <w:t>(</w:t>
            </w:r>
            <w:r>
              <w:rPr>
                <w:rFonts w:ascii="Times New Roman" w:hAnsi="黑体" w:eastAsia="黑体" w:cs="Times New Roman"/>
                <w:b/>
                <w:color w:val="auto"/>
                <w:sz w:val="18"/>
                <w:szCs w:val="18"/>
                <w:lang w:eastAsia="zh-CN"/>
              </w:rPr>
              <w:t>途径</w:t>
            </w:r>
            <w:r>
              <w:rPr>
                <w:rFonts w:ascii="Times New Roman" w:hAnsi="Times New Roman" w:eastAsia="黑体" w:cs="Times New Roman"/>
                <w:b/>
                <w:color w:val="auto"/>
                <w:sz w:val="18"/>
                <w:szCs w:val="18"/>
                <w:lang w:eastAsia="zh-CN"/>
              </w:rPr>
              <w:t>)</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实施单位</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472"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853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1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8539"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208" w:hRule="atLeast"/>
        </w:trPr>
        <w:tc>
          <w:tcPr>
            <w:tcW w:w="86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充装前检查、充装过程控制、充装后检查</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充装</w:t>
            </w:r>
            <w:r>
              <w:rPr>
                <w:rFonts w:ascii="Times New Roman" w:cs="Times New Roman"/>
                <w:color w:val="auto"/>
                <w:sz w:val="18"/>
                <w:szCs w:val="18"/>
              </w:rPr>
              <w:t>单位</w:t>
            </w:r>
          </w:p>
        </w:tc>
        <w:tc>
          <w:tcPr>
            <w:tcW w:w="9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作业人员</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充装前后</w:t>
            </w:r>
          </w:p>
        </w:tc>
        <w:tc>
          <w:tcPr>
            <w:tcW w:w="155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气瓶安全技术规程</w:t>
            </w:r>
          </w:p>
          <w:p>
            <w:pPr>
              <w:snapToGrid w:val="0"/>
              <w:jc w:val="center"/>
              <w:rPr>
                <w:color w:val="auto"/>
                <w:sz w:val="18"/>
                <w:szCs w:val="18"/>
                <w:lang w:eastAsia="zh-CN"/>
              </w:rPr>
            </w:pPr>
            <w:r>
              <w:rPr>
                <w:color w:val="auto"/>
                <w:sz w:val="18"/>
                <w:szCs w:val="18"/>
                <w:lang w:eastAsia="zh-CN"/>
              </w:rPr>
              <w:t xml:space="preserve">(TSG </w:t>
            </w:r>
            <w:r>
              <w:rPr>
                <w:rFonts w:eastAsia="宋体"/>
                <w:color w:val="auto"/>
                <w:sz w:val="18"/>
                <w:szCs w:val="18"/>
                <w:lang w:eastAsia="zh-CN"/>
              </w:rPr>
              <w:t>23</w:t>
            </w:r>
            <w:r>
              <w:rPr>
                <w:color w:val="auto"/>
                <w:sz w:val="18"/>
                <w:szCs w:val="18"/>
                <w:lang w:eastAsia="zh-CN"/>
              </w:rPr>
              <w:t>-20</w:t>
            </w:r>
            <w:r>
              <w:rPr>
                <w:rFonts w:eastAsia="宋体"/>
                <w:color w:val="auto"/>
                <w:sz w:val="18"/>
                <w:szCs w:val="18"/>
                <w:lang w:eastAsia="zh-CN"/>
              </w:rPr>
              <w:t>21</w:t>
            </w:r>
            <w:r>
              <w:rPr>
                <w:color w:val="auto"/>
                <w:sz w:val="18"/>
                <w:szCs w:val="18"/>
                <w:lang w:eastAsia="zh-CN"/>
              </w:rPr>
              <w:t>)</w:t>
            </w:r>
          </w:p>
        </w:tc>
        <w:tc>
          <w:tcPr>
            <w:tcW w:w="91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8.6.3.1</w:t>
            </w:r>
          </w:p>
        </w:tc>
        <w:tc>
          <w:tcPr>
            <w:tcW w:w="853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气瓶充装</w:t>
            </w:r>
            <w:r>
              <w:rPr>
                <w:rFonts w:ascii="Times New Roman" w:cs="Times New Roman"/>
                <w:color w:val="auto"/>
                <w:sz w:val="18"/>
                <w:szCs w:val="18"/>
                <w:lang w:eastAsia="zh-CN"/>
              </w:rPr>
              <w:t>检查与记录基本要求：</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(1)充装前（后），应当逐只对气瓶进行检查，并且填写检查记录；</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(2)气瓶充装过程中，应当逐只进行检查，并且填写充装记录；</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(3)检查记录和充装记录可以采用电子记录方式，并且应当由作业人员签字确认。</w:t>
            </w:r>
          </w:p>
        </w:tc>
      </w:tr>
      <w:tr>
        <w:trPr>
          <w:trHeight w:val="2108" w:hRule="atLeas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1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8.6.3.2</w:t>
            </w:r>
          </w:p>
        </w:tc>
        <w:tc>
          <w:tcPr>
            <w:tcW w:w="853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检查发现以下情况的气瓶，应当先进行处理，否则严禁充装：</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 出厂标志、颜色标记不符合规定，瓶内介质未确认；</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 气瓶附件损坏、不全或者不符合规定；</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(3)气瓶内无剩余压力；</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(4)超过检验期限；</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(5)外观存在明显损伤，需检查确认能否使用；</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(6)充装氧化或者强氧化气体气瓶沾有油脂；</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(7)充装可燃气体的新气瓶首次充装或者定期检验后的首次充装，未经过置换或者抽真空处理。</w:t>
            </w:r>
          </w:p>
        </w:tc>
      </w:tr>
      <w:tr>
        <w:trPr>
          <w:trHeight w:val="722" w:hRule="exact"/>
        </w:trPr>
        <w:tc>
          <w:tcPr>
            <w:tcW w:w="86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559" w:type="dxa"/>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特种设备生产和充装单位许可规则</w:t>
            </w:r>
            <w:r>
              <w:rPr>
                <w:rFonts w:eastAsia="宋体"/>
                <w:color w:val="auto"/>
                <w:sz w:val="18"/>
                <w:szCs w:val="18"/>
                <w:lang w:val="zh-TW" w:eastAsia="zh-TW" w:bidi="zh-TW"/>
              </w:rPr>
              <w:t xml:space="preserve"> (TSG 07-2019)</w:t>
            </w:r>
          </w:p>
        </w:tc>
        <w:tc>
          <w:tcPr>
            <w:tcW w:w="91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D2.8</w:t>
            </w:r>
          </w:p>
        </w:tc>
        <w:tc>
          <w:tcPr>
            <w:tcW w:w="853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车用气瓶的充装单位应当采用信息化手段对气瓶充装进行控制和记录</w:t>
            </w:r>
            <w:r>
              <w:rPr>
                <w:rFonts w:ascii="Times New Roman" w:cs="Times New Roman"/>
                <w:color w:val="auto"/>
                <w:sz w:val="18"/>
                <w:szCs w:val="18"/>
                <w:lang w:eastAsia="zh-CN"/>
              </w:rPr>
              <w:t>；</w:t>
            </w:r>
            <w:r>
              <w:rPr>
                <w:rFonts w:ascii="Times New Roman" w:cs="Times New Roman"/>
                <w:color w:val="auto"/>
                <w:sz w:val="18"/>
                <w:szCs w:val="18"/>
              </w:rPr>
              <w:t>鼓励其他气瓶充装单位采用信息化手段对气瓶及其充装、使用进行安全管理。</w:t>
            </w:r>
          </w:p>
        </w:tc>
      </w:tr>
      <w:tr>
        <w:trPr>
          <w:trHeight w:val="1124" w:hRule="exact"/>
        </w:trPr>
        <w:tc>
          <w:tcPr>
            <w:tcW w:w="86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定期检验</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有资质的检验机构</w:t>
            </w:r>
            <w:r>
              <w:rPr>
                <w:rFonts w:ascii="Times New Roman" w:cs="Times New Roman"/>
                <w:color w:val="auto"/>
                <w:sz w:val="18"/>
                <w:szCs w:val="18"/>
                <w:lang w:eastAsia="zh-CN"/>
              </w:rPr>
              <w:t>或充装单位</w:t>
            </w:r>
          </w:p>
        </w:tc>
        <w:tc>
          <w:tcPr>
            <w:tcW w:w="956"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持证检验人员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按气瓶类型</w:t>
            </w:r>
          </w:p>
        </w:tc>
        <w:tc>
          <w:tcPr>
            <w:tcW w:w="15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气瓶安全技术规程</w:t>
            </w:r>
          </w:p>
          <w:p>
            <w:pPr>
              <w:snapToGrid w:val="0"/>
              <w:jc w:val="center"/>
              <w:rPr>
                <w:color w:val="auto"/>
                <w:sz w:val="18"/>
                <w:szCs w:val="18"/>
                <w:lang w:eastAsia="zh-CN"/>
              </w:rPr>
            </w:pPr>
            <w:r>
              <w:rPr>
                <w:color w:val="auto"/>
                <w:sz w:val="18"/>
                <w:szCs w:val="18"/>
                <w:lang w:eastAsia="zh-CN"/>
              </w:rPr>
              <w:t xml:space="preserve">(TSG </w:t>
            </w:r>
            <w:r>
              <w:rPr>
                <w:rFonts w:eastAsia="宋体"/>
                <w:color w:val="auto"/>
                <w:sz w:val="18"/>
                <w:szCs w:val="18"/>
                <w:lang w:eastAsia="zh-CN"/>
              </w:rPr>
              <w:t>23</w:t>
            </w:r>
            <w:r>
              <w:rPr>
                <w:color w:val="auto"/>
                <w:sz w:val="18"/>
                <w:szCs w:val="18"/>
                <w:lang w:eastAsia="zh-CN"/>
              </w:rPr>
              <w:t>-20</w:t>
            </w:r>
            <w:r>
              <w:rPr>
                <w:rFonts w:eastAsia="宋体"/>
                <w:color w:val="auto"/>
                <w:sz w:val="18"/>
                <w:szCs w:val="18"/>
                <w:lang w:eastAsia="zh-CN"/>
              </w:rPr>
              <w:t>21</w:t>
            </w:r>
            <w:r>
              <w:rPr>
                <w:color w:val="auto"/>
                <w:sz w:val="18"/>
                <w:szCs w:val="18"/>
                <w:lang w:eastAsia="zh-CN"/>
              </w:rPr>
              <w:t>)</w:t>
            </w:r>
          </w:p>
        </w:tc>
        <w:tc>
          <w:tcPr>
            <w:tcW w:w="91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8.5.5</w:t>
            </w:r>
          </w:p>
        </w:tc>
        <w:tc>
          <w:tcPr>
            <w:tcW w:w="853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使用单位应当在气瓶检验有效期届满前一个月，向气瓶定期检验机构提出定期检验申请，并且送检气瓶。</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气瓶充装单位（车用气瓶充装单位除外）申请自行检验已办理使用登记的自有产权气瓶的，可在充装许可申请时一并提出申请，经评审机构按照特种设备有关检验机构核准的规定进行评审，符合要求的，在充装许可证上备注</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（含定期检验）</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w:t>
            </w:r>
          </w:p>
        </w:tc>
      </w:tr>
    </w:tbl>
    <w:p>
      <w:pPr>
        <w:snapToGrid w:val="0"/>
        <w:rPr>
          <w:rFonts w:eastAsia="宋体"/>
          <w:color w:val="auto"/>
          <w:sz w:val="18"/>
          <w:szCs w:val="18"/>
          <w:lang w:eastAsia="zh-CN"/>
        </w:rPr>
      </w:pPr>
    </w:p>
    <w:p>
      <w:pPr>
        <w:snapToGrid w:val="0"/>
        <w:rPr>
          <w:rFonts w:eastAsia="宋体"/>
          <w:color w:val="auto"/>
          <w:sz w:val="18"/>
          <w:szCs w:val="18"/>
          <w:lang w:eastAsia="zh-CN"/>
        </w:rPr>
        <w:sectPr>
          <w:pgSz w:w="16840" w:h="11900" w:orient="landscape"/>
          <w:pgMar w:top="1134" w:right="1134" w:bottom="1134" w:left="1134" w:header="0" w:footer="986" w:gutter="0"/>
          <w:cols w:space="720" w:num="1"/>
          <w:docGrid w:linePitch="360" w:charSpace="0"/>
        </w:sectPr>
      </w:pPr>
    </w:p>
    <w:p>
      <w:pPr>
        <w:snapToGrid w:val="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B.7  </w:t>
      </w:r>
      <w:r>
        <w:rPr>
          <w:rFonts w:hAnsi="黑体" w:eastAsia="黑体"/>
          <w:b/>
          <w:color w:val="auto"/>
          <w:sz w:val="21"/>
          <w:szCs w:val="21"/>
        </w:rPr>
        <w:t>特种设备</w:t>
      </w:r>
      <w:r>
        <w:rPr>
          <w:rFonts w:hAnsi="黑体" w:eastAsia="黑体"/>
          <w:b/>
          <w:color w:val="auto"/>
          <w:sz w:val="21"/>
          <w:szCs w:val="21"/>
          <w:lang w:eastAsia="zh-CN"/>
        </w:rPr>
        <w:t>隐患排查清单</w:t>
      </w:r>
      <w:r>
        <w:rPr>
          <w:rFonts w:eastAsia="黑体"/>
          <w:b/>
          <w:color w:val="auto"/>
          <w:sz w:val="21"/>
          <w:szCs w:val="21"/>
          <w:lang w:eastAsia="zh-CN"/>
        </w:rPr>
        <w:t>——</w:t>
      </w:r>
      <w:r>
        <w:rPr>
          <w:rFonts w:hAnsi="黑体" w:eastAsia="黑体"/>
          <w:b/>
          <w:color w:val="auto"/>
          <w:sz w:val="21"/>
          <w:szCs w:val="21"/>
          <w:lang w:eastAsia="zh-CN"/>
        </w:rPr>
        <w:t>工业管道专项要求</w:t>
      </w:r>
    </w:p>
    <w:p>
      <w:pPr>
        <w:snapToGrid w:val="0"/>
        <w:rPr>
          <w:rFonts w:eastAsia="宋体"/>
          <w:color w:val="auto"/>
          <w:sz w:val="18"/>
          <w:szCs w:val="18"/>
          <w:lang w:eastAsia="zh-CN"/>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
        <w:gridCol w:w="852"/>
        <w:gridCol w:w="718"/>
        <w:gridCol w:w="850"/>
        <w:gridCol w:w="992"/>
        <w:gridCol w:w="993"/>
        <w:gridCol w:w="10201"/>
      </w:tblGrid>
      <w:tr>
        <w:trPr>
          <w:gridBefore w:val="1"/>
          <w:wBefore w:w="5" w:type="dxa"/>
          <w:trHeight w:val="339" w:hRule="atLeast"/>
          <w:tblHeader/>
        </w:trPr>
        <w:tc>
          <w:tcPr>
            <w:tcW w:w="85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p>
        </w:tc>
        <w:tc>
          <w:tcPr>
            <w:tcW w:w="718"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1985"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1020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blHeader/>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18"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10201"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144" w:hRule="exact"/>
        </w:trPr>
        <w:tc>
          <w:tcPr>
            <w:tcW w:w="857"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管道改造</w:t>
            </w:r>
          </w:p>
        </w:tc>
        <w:tc>
          <w:tcPr>
            <w:tcW w:w="7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安全管理人员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每年一次</w:t>
            </w: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压力管道安全技术监察规程</w:t>
            </w:r>
            <w:r>
              <w:rPr>
                <w:rFonts w:ascii="Times New Roman" w:hAnsi="Times New Roman" w:cs="Times New Roman"/>
                <w:color w:val="auto"/>
                <w:sz w:val="18"/>
                <w:szCs w:val="18"/>
              </w:rPr>
              <w:t>——</w:t>
            </w:r>
            <w:r>
              <w:rPr>
                <w:rFonts w:ascii="Times New Roman" w:cs="Times New Roman"/>
                <w:color w:val="auto"/>
                <w:sz w:val="18"/>
                <w:szCs w:val="18"/>
              </w:rPr>
              <w:t>工业管道</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(TSG D0001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2009)</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第一百一十条</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的改造，应当由管道设计单位、安装单位进行设计和施工。安装单位应当在施工前将拟进行改造的情况书面告知登记机关后，方可施工。改造施工结束后，安装单位应当向使用单位提供施工质量证明文件。对于</w:t>
            </w:r>
            <w:r>
              <w:rPr>
                <w:rFonts w:ascii="Times New Roman" w:hAnsi="Times New Roman" w:eastAsia="Times New Roman" w:cs="Times New Roman"/>
                <w:color w:val="auto"/>
                <w:sz w:val="18"/>
                <w:szCs w:val="18"/>
                <w:lang w:val="en-US" w:eastAsia="zh-CN" w:bidi="en-US"/>
              </w:rPr>
              <w:t>GC1</w:t>
            </w:r>
            <w:r>
              <w:rPr>
                <w:rFonts w:ascii="Times New Roman" w:cs="Times New Roman"/>
                <w:color w:val="auto"/>
                <w:sz w:val="18"/>
                <w:szCs w:val="18"/>
              </w:rPr>
              <w:t>级管道或改造长度大于</w:t>
            </w:r>
            <w:r>
              <w:rPr>
                <w:rFonts w:ascii="Times New Roman" w:hAnsi="Times New Roman" w:eastAsia="Times New Roman" w:cs="Times New Roman"/>
                <w:color w:val="auto"/>
                <w:sz w:val="18"/>
                <w:szCs w:val="18"/>
              </w:rPr>
              <w:t xml:space="preserve">500 </w:t>
            </w:r>
            <w:r>
              <w:rPr>
                <w:rFonts w:ascii="Times New Roman" w:hAnsi="Times New Roman" w:eastAsia="Times New Roman" w:cs="Times New Roman"/>
                <w:color w:val="auto"/>
                <w:sz w:val="18"/>
                <w:szCs w:val="18"/>
                <w:lang w:val="en-US" w:eastAsia="zh-CN" w:bidi="en-US"/>
              </w:rPr>
              <w:t>m</w:t>
            </w:r>
            <w:r>
              <w:rPr>
                <w:rFonts w:ascii="Times New Roman" w:cs="Times New Roman"/>
                <w:color w:val="auto"/>
                <w:sz w:val="18"/>
                <w:szCs w:val="18"/>
              </w:rPr>
              <w:t>的管道，还应当实施监督检验，检验机构应当提供监督检验报告。</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改造是指改变管道受压部分结构</w:t>
            </w:r>
            <w:r>
              <w:rPr>
                <w:rFonts w:ascii="Times New Roman" w:hAnsi="Times New Roman" w:cs="Times New Roman"/>
                <w:color w:val="auto"/>
                <w:sz w:val="18"/>
                <w:szCs w:val="18"/>
              </w:rPr>
              <w:t>(</w:t>
            </w:r>
            <w:r>
              <w:rPr>
                <w:rFonts w:ascii="Times New Roman" w:cs="Times New Roman"/>
                <w:color w:val="auto"/>
                <w:sz w:val="18"/>
                <w:szCs w:val="18"/>
              </w:rPr>
              <w:t>如改变受压元件的规格、材质，改变管道的结构布置，改变支吊架位置等</w:t>
            </w:r>
            <w:r>
              <w:rPr>
                <w:rFonts w:ascii="Times New Roman" w:hAnsi="Times New Roman" w:cs="Times New Roman"/>
                <w:color w:val="auto"/>
                <w:sz w:val="18"/>
                <w:szCs w:val="18"/>
              </w:rPr>
              <w:t>)</w:t>
            </w:r>
            <w:r>
              <w:rPr>
                <w:rFonts w:ascii="Times New Roman" w:cs="Times New Roman"/>
                <w:color w:val="auto"/>
                <w:sz w:val="18"/>
                <w:szCs w:val="18"/>
              </w:rPr>
              <w:t>，致使管道性能参数或管道特性发生变更的活动。</w:t>
            </w:r>
          </w:p>
        </w:tc>
      </w:tr>
      <w:tr>
        <w:trPr>
          <w:trHeight w:val="693" w:hRule="exact"/>
        </w:trPr>
        <w:tc>
          <w:tcPr>
            <w:tcW w:w="857"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管道维修</w:t>
            </w:r>
          </w:p>
        </w:tc>
        <w:tc>
          <w:tcPr>
            <w:tcW w:w="718"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压力管道作业人员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每年一次</w:t>
            </w:r>
          </w:p>
        </w:tc>
        <w:tc>
          <w:tcPr>
            <w:tcW w:w="992" w:type="dxa"/>
            <w:vMerge w:val="continue"/>
            <w:shd w:val="clear" w:color="auto" w:fill="FFFFFF"/>
            <w:noWrap w:val="0"/>
            <w:vAlign w:val="center"/>
          </w:tcPr>
          <w:p>
            <w:pPr>
              <w:snapToGrid w:val="0"/>
              <w:jc w:val="center"/>
              <w:rPr>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第一百一十三条</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压力管道的维修分为一般维修和重大维修。</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重大维修是指对管道不可拆卸部分受压元件的维修，以及采用焊接方法更换管段及阀门、管子矫形、受压元件挖补与焊补、带压堵漏。带压堵漏还应当符合第一百一十五条的要求。重大维修外的其他维修为一般维修。</w:t>
            </w:r>
          </w:p>
        </w:tc>
      </w:tr>
      <w:tr>
        <w:trPr>
          <w:trHeight w:val="717"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每年至少一次</w:t>
            </w:r>
          </w:p>
        </w:tc>
        <w:tc>
          <w:tcPr>
            <w:tcW w:w="992" w:type="dxa"/>
            <w:vMerge w:val="continue"/>
            <w:shd w:val="clear" w:color="auto" w:fill="FFFFFF"/>
            <w:noWrap w:val="0"/>
            <w:vAlign w:val="center"/>
          </w:tcPr>
          <w:p>
            <w:pPr>
              <w:snapToGrid w:val="0"/>
              <w:jc w:val="center"/>
              <w:rPr>
                <w:color w:val="auto"/>
                <w:sz w:val="18"/>
                <w:szCs w:val="18"/>
              </w:rPr>
            </w:pPr>
          </w:p>
        </w:tc>
        <w:tc>
          <w:tcPr>
            <w:tcW w:w="9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第一百一十四条</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管道重大维修应当由有资格的安装单位进行施工，使用单位和安装单位在修理改造施工前应当制订重大维修方</w:t>
            </w:r>
            <w:r>
              <w:rPr>
                <w:rFonts w:ascii="Times New Roman" w:hAnsi="Times New Roman" w:cs="Times New Roman"/>
                <w:color w:val="auto"/>
                <w:sz w:val="18"/>
                <w:szCs w:val="18"/>
              </w:rPr>
              <w:t xml:space="preserve"> </w:t>
            </w:r>
            <w:r>
              <w:rPr>
                <w:rFonts w:ascii="Times New Roman" w:cs="Times New Roman"/>
                <w:color w:val="auto"/>
                <w:sz w:val="18"/>
                <w:szCs w:val="18"/>
              </w:rPr>
              <w:t>案，重大维修方案应当经使用单位技术负责人批准。对于</w:t>
            </w:r>
            <w:r>
              <w:rPr>
                <w:rFonts w:ascii="Times New Roman" w:hAnsi="Times New Roman" w:eastAsia="Times New Roman" w:cs="Times New Roman"/>
                <w:color w:val="auto"/>
                <w:sz w:val="18"/>
                <w:szCs w:val="18"/>
                <w:lang w:val="en-US" w:eastAsia="zh-CN" w:bidi="en-US"/>
              </w:rPr>
              <w:t>GC1</w:t>
            </w:r>
            <w:r>
              <w:rPr>
                <w:rFonts w:ascii="Times New Roman" w:cs="Times New Roman"/>
                <w:color w:val="auto"/>
                <w:sz w:val="18"/>
                <w:szCs w:val="18"/>
              </w:rPr>
              <w:t>级管道采用焊接方法更换管段及阀门时，安装单位应当在施工前，应当将拟进行的维修情况书面告知管道使用登记机关，并向监督检验机构申请监督检验后。方可进行重大维修施工。</w:t>
            </w:r>
          </w:p>
        </w:tc>
      </w:tr>
      <w:tr>
        <w:trPr>
          <w:trHeight w:val="415"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snapToGrid w:val="0"/>
              <w:jc w:val="center"/>
              <w:rPr>
                <w:color w:val="auto"/>
                <w:sz w:val="18"/>
                <w:szCs w:val="18"/>
              </w:rPr>
            </w:pPr>
          </w:p>
        </w:tc>
        <w:tc>
          <w:tcPr>
            <w:tcW w:w="9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重大维修施工后，安装单位应当向使用单位提供施工质量证明文件；监督检验机构在监督检验后，应当提供监督检验报告。</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管道的维修应当参照国家相关标准进行</w:t>
            </w:r>
            <w:r>
              <w:rPr>
                <w:rFonts w:ascii="Times New Roman" w:hAnsi="Times New Roman" w:cs="Times New Roman"/>
                <w:color w:val="auto"/>
                <w:sz w:val="18"/>
                <w:szCs w:val="18"/>
              </w:rPr>
              <w:t>,</w:t>
            </w:r>
            <w:r>
              <w:rPr>
                <w:rFonts w:ascii="Times New Roman" w:cs="Times New Roman"/>
                <w:color w:val="auto"/>
                <w:sz w:val="18"/>
                <w:szCs w:val="18"/>
              </w:rPr>
              <w:t>维修后的管道安全性能必须满足安全使用要求。</w:t>
            </w:r>
          </w:p>
        </w:tc>
      </w:tr>
      <w:tr>
        <w:trPr>
          <w:trHeight w:val="1126"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snapToGrid w:val="0"/>
              <w:jc w:val="center"/>
              <w:rPr>
                <w:color w:val="auto"/>
                <w:sz w:val="18"/>
                <w:szCs w:val="18"/>
                <w:lang w:eastAsia="zh-CN"/>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第一百一十五条</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管道内部有压力时，一般不得对受压元件进行重大维修。对于生产工艺过程特殊，需要带温带压紧固螺栓或出现</w:t>
            </w:r>
            <w:r>
              <w:rPr>
                <w:rFonts w:ascii="Times New Roman" w:hAnsi="Times New Roman" w:cs="Times New Roman"/>
                <w:color w:val="auto"/>
                <w:sz w:val="18"/>
                <w:szCs w:val="18"/>
              </w:rPr>
              <w:t xml:space="preserve"> </w:t>
            </w:r>
            <w:r>
              <w:rPr>
                <w:rFonts w:ascii="Times New Roman" w:cs="Times New Roman"/>
                <w:color w:val="auto"/>
                <w:sz w:val="18"/>
                <w:szCs w:val="18"/>
              </w:rPr>
              <w:t>紧急情况需要采用带压密封堵漏作业时，使用单位应当制定有效的操作要求和防护措施，经技术负责人批准后，在</w:t>
            </w:r>
            <w:r>
              <w:rPr>
                <w:rFonts w:ascii="Times New Roman" w:hAnsi="Times New Roman" w:cs="Times New Roman"/>
                <w:color w:val="auto"/>
                <w:sz w:val="18"/>
                <w:szCs w:val="18"/>
              </w:rPr>
              <w:t xml:space="preserve"> </w:t>
            </w:r>
            <w:r>
              <w:rPr>
                <w:rFonts w:ascii="Times New Roman" w:cs="Times New Roman"/>
                <w:color w:val="auto"/>
                <w:sz w:val="18"/>
                <w:szCs w:val="18"/>
              </w:rPr>
              <w:t>安全管理人员现场监督下实施。实施带压堵漏的操作人员应当经过专业培训，持有相应项目的《特种设备作业人</w:t>
            </w:r>
            <w:r>
              <w:rPr>
                <w:rFonts w:ascii="Times New Roman" w:hAnsi="Times New Roman" w:cs="Times New Roman"/>
                <w:color w:val="auto"/>
                <w:sz w:val="18"/>
                <w:szCs w:val="18"/>
              </w:rPr>
              <w:t xml:space="preserve"> </w:t>
            </w:r>
            <w:r>
              <w:rPr>
                <w:rFonts w:ascii="Times New Roman" w:cs="Times New Roman"/>
                <w:color w:val="auto"/>
                <w:sz w:val="18"/>
                <w:szCs w:val="18"/>
              </w:rPr>
              <w:t>员证》。</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使用单位应当严格控制带压密封堵漏技术的使用频次，每条管道上使用带压密封堵漏的部位不得超过两处。管道</w:t>
            </w:r>
            <w:r>
              <w:rPr>
                <w:rFonts w:ascii="Times New Roman" w:hAnsi="Times New Roman" w:cs="Times New Roman"/>
                <w:color w:val="auto"/>
                <w:sz w:val="18"/>
                <w:szCs w:val="18"/>
              </w:rPr>
              <w:t xml:space="preserve"> </w:t>
            </w:r>
            <w:r>
              <w:rPr>
                <w:rFonts w:ascii="Times New Roman" w:cs="Times New Roman"/>
                <w:color w:val="auto"/>
                <w:sz w:val="18"/>
                <w:szCs w:val="18"/>
              </w:rPr>
              <w:t>停机检修时，带压密封堵漏的卡具应予拆除，必要时重新进行维修。</w:t>
            </w:r>
          </w:p>
        </w:tc>
      </w:tr>
      <w:tr>
        <w:trPr>
          <w:trHeight w:val="3544" w:hRule="exact"/>
        </w:trPr>
        <w:tc>
          <w:tcPr>
            <w:tcW w:w="857"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经常性维护保养</w:t>
            </w:r>
          </w:p>
        </w:tc>
        <w:tc>
          <w:tcPr>
            <w:tcW w:w="7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使用单位自定</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使用单位自定</w:t>
            </w:r>
          </w:p>
        </w:tc>
        <w:tc>
          <w:tcPr>
            <w:tcW w:w="992"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第一百一十二条</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使用单位应当对压力管道进行经常性维护保养，并且做出记录。存入管道技术档案。发现情况异常，应当及时处理。</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建议对下列内容检查、保养：</w:t>
            </w:r>
          </w:p>
          <w:p>
            <w:pPr>
              <w:pStyle w:val="15"/>
              <w:numPr>
                <w:ilvl w:val="0"/>
                <w:numId w:val="40"/>
              </w:numPr>
              <w:tabs>
                <w:tab w:val="left" w:pos="19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压力管道本体、保温层、防腐层；</w:t>
            </w:r>
          </w:p>
          <w:p>
            <w:pPr>
              <w:pStyle w:val="15"/>
              <w:numPr>
                <w:ilvl w:val="0"/>
                <w:numId w:val="40"/>
              </w:numPr>
              <w:tabs>
                <w:tab w:val="left" w:pos="21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阀门操作机构；</w:t>
            </w:r>
          </w:p>
          <w:p>
            <w:pPr>
              <w:pStyle w:val="15"/>
              <w:numPr>
                <w:ilvl w:val="0"/>
                <w:numId w:val="40"/>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安全附件、安全保护装置、测量调控装置、附属仪器仪表；</w:t>
            </w:r>
          </w:p>
          <w:p>
            <w:pPr>
              <w:pStyle w:val="15"/>
              <w:numPr>
                <w:ilvl w:val="0"/>
                <w:numId w:val="41"/>
              </w:numPr>
              <w:tabs>
                <w:tab w:val="left" w:pos="20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紧固件；</w:t>
            </w:r>
          </w:p>
          <w:p>
            <w:pPr>
              <w:pStyle w:val="15"/>
              <w:numPr>
                <w:ilvl w:val="0"/>
                <w:numId w:val="41"/>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管道的振动情况；</w:t>
            </w:r>
          </w:p>
          <w:p>
            <w:pPr>
              <w:pStyle w:val="15"/>
              <w:numPr>
                <w:ilvl w:val="0"/>
                <w:numId w:val="41"/>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静电跨接和接地；</w:t>
            </w:r>
          </w:p>
          <w:p>
            <w:pPr>
              <w:pStyle w:val="15"/>
              <w:numPr>
                <w:ilvl w:val="0"/>
                <w:numId w:val="41"/>
              </w:numPr>
              <w:tabs>
                <w:tab w:val="left" w:pos="19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停用管道的防护、保养；</w:t>
            </w:r>
          </w:p>
          <w:p>
            <w:pPr>
              <w:pStyle w:val="15"/>
              <w:numPr>
                <w:ilvl w:val="0"/>
                <w:numId w:val="41"/>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支吊架检查、保养；</w:t>
            </w:r>
          </w:p>
          <w:p>
            <w:pPr>
              <w:pStyle w:val="15"/>
              <w:numPr>
                <w:ilvl w:val="0"/>
                <w:numId w:val="41"/>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跑、冒、滴、漏维护；</w:t>
            </w:r>
          </w:p>
          <w:p>
            <w:pPr>
              <w:pStyle w:val="15"/>
              <w:numPr>
                <w:ilvl w:val="0"/>
                <w:numId w:val="41"/>
              </w:numPr>
              <w:tabs>
                <w:tab w:val="left" w:pos="29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高、低温管道的热、冷紧；</w:t>
            </w:r>
          </w:p>
          <w:p>
            <w:pPr>
              <w:pStyle w:val="15"/>
              <w:numPr>
                <w:ilvl w:val="0"/>
                <w:numId w:val="41"/>
              </w:numPr>
              <w:tabs>
                <w:tab w:val="left" w:pos="28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禁止将管道及支架作接地零线、撬抬重物的支点等；</w:t>
            </w:r>
          </w:p>
          <w:p>
            <w:pPr>
              <w:pStyle w:val="15"/>
              <w:numPr>
                <w:ilvl w:val="0"/>
                <w:numId w:val="41"/>
              </w:numPr>
              <w:tabs>
                <w:tab w:val="left" w:pos="28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其他需要维护保养的。</w:t>
            </w:r>
          </w:p>
          <w:p>
            <w:pPr>
              <w:pStyle w:val="15"/>
              <w:tabs>
                <w:tab w:val="left" w:pos="28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lang w:eastAsia="zh-CN"/>
              </w:rPr>
              <w:t>对发现的异常情况及时处理并且记录，保证在用压力管道始终处于正常使用状态。</w:t>
            </w:r>
          </w:p>
        </w:tc>
      </w:tr>
      <w:tr>
        <w:trPr>
          <w:trHeight w:val="718" w:hRule="exact"/>
        </w:trPr>
        <w:tc>
          <w:tcPr>
            <w:tcW w:w="857"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日常检查</w:t>
            </w:r>
          </w:p>
        </w:tc>
        <w:tc>
          <w:tcPr>
            <w:tcW w:w="7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压力管道</w:t>
            </w:r>
            <w:r>
              <w:rPr>
                <w:rFonts w:ascii="Times New Roman" w:hAnsi="Times New Roman" w:cs="Times New Roman"/>
                <w:color w:val="auto"/>
                <w:sz w:val="18"/>
                <w:szCs w:val="18"/>
              </w:rPr>
              <w:t xml:space="preserve"> </w:t>
            </w:r>
            <w:r>
              <w:rPr>
                <w:rFonts w:ascii="Times New Roman" w:cs="Times New Roman"/>
                <w:color w:val="auto"/>
                <w:sz w:val="18"/>
                <w:szCs w:val="18"/>
              </w:rPr>
              <w:t>作业人员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位自定</w:t>
            </w: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第一百条</w:t>
            </w:r>
          </w:p>
        </w:tc>
        <w:tc>
          <w:tcPr>
            <w:tcW w:w="10201"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使用单位应结合管道运行的实际情况，制定日常检查、维修和安全保护装置的要求。</w:t>
            </w:r>
          </w:p>
        </w:tc>
      </w:tr>
      <w:tr>
        <w:trPr>
          <w:trHeight w:val="486" w:hRule="exact"/>
        </w:trPr>
        <w:tc>
          <w:tcPr>
            <w:tcW w:w="857"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718"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压力管道</w:t>
            </w:r>
            <w:r>
              <w:rPr>
                <w:rFonts w:ascii="Times New Roman" w:cs="Times New Roman"/>
                <w:color w:val="auto"/>
                <w:sz w:val="18"/>
                <w:szCs w:val="18"/>
              </w:rPr>
              <w:t>作业人员或有资格的检验人员</w:t>
            </w:r>
          </w:p>
        </w:tc>
        <w:tc>
          <w:tcPr>
            <w:tcW w:w="850"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每年一次</w:t>
            </w:r>
          </w:p>
        </w:tc>
        <w:tc>
          <w:tcPr>
            <w:tcW w:w="992" w:type="dxa"/>
            <w:vMerge w:val="restart"/>
            <w:shd w:val="clear" w:color="auto" w:fill="FFFFFF"/>
            <w:noWrap w:val="0"/>
            <w:vAlign w:val="center"/>
          </w:tcPr>
          <w:p>
            <w:pPr>
              <w:snapToGrid w:val="0"/>
              <w:jc w:val="center"/>
              <w:rPr>
                <w:rFonts w:eastAsia="宋体"/>
                <w:color w:val="auto"/>
                <w:sz w:val="18"/>
                <w:szCs w:val="18"/>
                <w:lang w:eastAsia="zh-CN"/>
              </w:rPr>
            </w:pPr>
            <w:r>
              <w:rPr>
                <w:rFonts w:eastAsia="宋体"/>
                <w:color w:val="auto"/>
                <w:sz w:val="18"/>
                <w:szCs w:val="18"/>
                <w:lang w:eastAsia="zh-CN"/>
              </w:rPr>
              <w:t>压力管道定期检验规则</w:t>
            </w:r>
            <w:r>
              <w:rPr>
                <w:color w:val="auto"/>
                <w:sz w:val="18"/>
                <w:szCs w:val="18"/>
                <w:lang w:eastAsia="zh-CN"/>
              </w:rPr>
              <w:t>—</w:t>
            </w:r>
            <w:r>
              <w:rPr>
                <w:rFonts w:hAnsi="宋体" w:eastAsia="宋体"/>
                <w:color w:val="auto"/>
                <w:sz w:val="18"/>
                <w:szCs w:val="18"/>
                <w:lang w:eastAsia="zh-CN"/>
              </w:rPr>
              <w:t>工业管道</w:t>
            </w:r>
            <w:r>
              <w:rPr>
                <w:color w:val="auto"/>
                <w:sz w:val="18"/>
                <w:szCs w:val="18"/>
                <w:lang w:eastAsia="zh-CN"/>
              </w:rPr>
              <w:t xml:space="preserve"> (TSG D</w:t>
            </w:r>
            <w:r>
              <w:rPr>
                <w:rFonts w:eastAsia="宋体"/>
                <w:color w:val="auto"/>
                <w:sz w:val="18"/>
                <w:szCs w:val="18"/>
                <w:lang w:eastAsia="zh-CN"/>
              </w:rPr>
              <w:t>7005-2018</w:t>
            </w:r>
            <w:r>
              <w:rPr>
                <w:color w:val="auto"/>
                <w:sz w:val="18"/>
                <w:szCs w:val="18"/>
                <w:lang w:eastAsia="zh-CN"/>
              </w:rPr>
              <w:t>)</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A2</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使用单位应当制定年度检查管理制度，年度检查工作可以由使用单位安全管理人员组织经过专业培训的人员进行，也可以委托具有工业管道定期检验资质的检验机构进行。</w:t>
            </w:r>
          </w:p>
        </w:tc>
      </w:tr>
      <w:tr>
        <w:trPr>
          <w:trHeight w:val="280"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年度检查应当至少包括管道安全管理情况、管道运行状况和安全保护与仪表的检查，必要时应当进行壁厚测定和电阻值测量的检查。</w:t>
            </w:r>
          </w:p>
        </w:tc>
      </w:tr>
      <w:tr>
        <w:trPr>
          <w:trHeight w:val="1984"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A3.1</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管道安全管理情况检查内容：</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安全管理制度和安全操作规程是否齐全有效；</w:t>
            </w:r>
          </w:p>
          <w:p>
            <w:pPr>
              <w:pStyle w:val="15"/>
              <w:numPr>
                <w:ilvl w:val="0"/>
                <w:numId w:val="42"/>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相关安全技术规范规定的设计文件、安装竣工图、质量证明文件、监督检验证书及安装、改造、修理资料等是否完整；</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安全管理人员是否持证上岗；</w:t>
            </w:r>
          </w:p>
          <w:p>
            <w:pPr>
              <w:pStyle w:val="15"/>
              <w:numPr>
                <w:ilvl w:val="0"/>
                <w:numId w:val="42"/>
              </w:numPr>
              <w:tabs>
                <w:tab w:val="left" w:pos="350"/>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日常维护、运行记录、定期安全检查记录是否符合要求；</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年度检查、定期检验报告是否齐全，检查、检验报告中所提出的问题是否得到解决；</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安全附件与仪表校验</w:t>
            </w:r>
            <w:r>
              <w:rPr>
                <w:rFonts w:ascii="Times New Roman" w:hAnsi="Times New Roman" w:cs="Times New Roman"/>
                <w:color w:val="auto"/>
                <w:sz w:val="18"/>
                <w:szCs w:val="18"/>
              </w:rPr>
              <w:t>(</w:t>
            </w:r>
            <w:r>
              <w:rPr>
                <w:rFonts w:ascii="Times New Roman" w:cs="Times New Roman"/>
                <w:color w:val="auto"/>
                <w:sz w:val="18"/>
                <w:szCs w:val="18"/>
              </w:rPr>
              <w:t>检定</w:t>
            </w:r>
            <w:r>
              <w:rPr>
                <w:rFonts w:ascii="Times New Roman" w:hAnsi="Times New Roman" w:cs="Times New Roman"/>
                <w:color w:val="auto"/>
                <w:sz w:val="18"/>
                <w:szCs w:val="18"/>
              </w:rPr>
              <w:t>)</w:t>
            </w:r>
            <w:r>
              <w:rPr>
                <w:rFonts w:ascii="Times New Roman" w:cs="Times New Roman"/>
                <w:color w:val="auto"/>
                <w:sz w:val="18"/>
                <w:szCs w:val="18"/>
              </w:rPr>
              <w:t>、修理和更换记录是否齐全；</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是否已按照相关要求制定专项应急预案，并且有演练记录；</w:t>
            </w:r>
          </w:p>
          <w:p>
            <w:pPr>
              <w:pStyle w:val="15"/>
              <w:numPr>
                <w:ilvl w:val="0"/>
                <w:numId w:val="42"/>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是否对事故、故障以及处理情况进行了记录。</w:t>
            </w:r>
          </w:p>
        </w:tc>
      </w:tr>
      <w:tr>
        <w:trPr>
          <w:trHeight w:val="2116"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A3.2.2</w:t>
            </w:r>
          </w:p>
        </w:tc>
        <w:tc>
          <w:tcPr>
            <w:tcW w:w="10201"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检查时，应重点考虑以下部位：</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压缩机、泵的出口部位；</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补偿器、三通、弯头</w:t>
            </w:r>
            <w:r>
              <w:rPr>
                <w:rFonts w:ascii="Times New Roman" w:hAnsi="Times New Roman" w:cs="Times New Roman"/>
                <w:color w:val="auto"/>
                <w:sz w:val="18"/>
                <w:szCs w:val="18"/>
              </w:rPr>
              <w:t>(</w:t>
            </w:r>
            <w:r>
              <w:rPr>
                <w:rFonts w:ascii="Times New Roman" w:cs="Times New Roman"/>
                <w:color w:val="auto"/>
                <w:sz w:val="18"/>
                <w:szCs w:val="18"/>
              </w:rPr>
              <w:t>弯管</w:t>
            </w:r>
            <w:r>
              <w:rPr>
                <w:rFonts w:ascii="Times New Roman" w:hAnsi="Times New Roman" w:cs="Times New Roman"/>
                <w:color w:val="auto"/>
                <w:sz w:val="18"/>
                <w:szCs w:val="18"/>
              </w:rPr>
              <w:t>)</w:t>
            </w:r>
            <w:r>
              <w:rPr>
                <w:rFonts w:ascii="Times New Roman" w:cs="Times New Roman"/>
                <w:color w:val="auto"/>
                <w:sz w:val="18"/>
                <w:szCs w:val="18"/>
              </w:rPr>
              <w:t>、大小头、支管连接、阀门连接以及介质流动的死角等部位；</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支吊架损坏部位附近的管道组成件以及焊接接头；</w:t>
            </w:r>
          </w:p>
          <w:p>
            <w:pPr>
              <w:pStyle w:val="15"/>
              <w:numPr>
                <w:ilvl w:val="0"/>
                <w:numId w:val="43"/>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曾经出现过影响管道安全运行问题的部位；</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处于生产流程要害部位的管段以及与重要装置或设备相连接的管段；</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工作条件苛刻以及承受交变载荷的管段；</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基于风险的检验分析报告中给出的高风险管段；</w:t>
            </w:r>
          </w:p>
          <w:p>
            <w:pPr>
              <w:pStyle w:val="15"/>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上次定期检验提出重点监控的管段。</w:t>
            </w:r>
          </w:p>
        </w:tc>
      </w:tr>
      <w:tr>
        <w:trPr>
          <w:trHeight w:val="3990"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A3.2.1</w:t>
            </w:r>
          </w:p>
        </w:tc>
        <w:tc>
          <w:tcPr>
            <w:tcW w:w="10201"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管道运行状况检查内容：</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检查管道漆色、标志等是否符合相关规定；</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检查管道组成件以及其焊接接头等有无裂纹、过热、变形、泄漏、损伤等情况；</w:t>
            </w:r>
          </w:p>
          <w:p>
            <w:pPr>
              <w:pStyle w:val="15"/>
              <w:numPr>
                <w:ilvl w:val="0"/>
                <w:numId w:val="4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外表面有无腐蚀，有无异常结霜、结露等情况；</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管道有无异常振动，管道与相邻构件之间有无相互碰撞、摩擦情况；</w:t>
            </w:r>
          </w:p>
          <w:p>
            <w:pPr>
              <w:pStyle w:val="15"/>
              <w:numPr>
                <w:ilvl w:val="0"/>
                <w:numId w:val="44"/>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管道隔热层有无破损、脱落、跑冷等以及防腐层破损等情况</w:t>
            </w:r>
            <w:r>
              <w:rPr>
                <w:rFonts w:ascii="Times New Roman" w:hAnsi="Times New Roman" w:cs="Times New Roman"/>
                <w:color w:val="auto"/>
                <w:sz w:val="18"/>
                <w:szCs w:val="18"/>
              </w:rPr>
              <w:t>;</w:t>
            </w:r>
            <w:r>
              <w:rPr>
                <w:rFonts w:ascii="Times New Roman" w:cs="Times New Roman"/>
                <w:color w:val="auto"/>
                <w:sz w:val="18"/>
                <w:szCs w:val="18"/>
              </w:rPr>
              <w:t>必要时可以采用红外热成像检测、热流密度检测等技术手段进行监测和节能评价；</w:t>
            </w:r>
          </w:p>
          <w:p>
            <w:pPr>
              <w:pStyle w:val="15"/>
              <w:numPr>
                <w:ilvl w:val="0"/>
                <w:numId w:val="44"/>
              </w:numPr>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支吊架有无脱落、变形、腐蚀、损坏、主要受力焊接接头有无开裂，支架与管道接触处是否积水，恒力弹簧支吊架转体位移指示是否符合要求，变力弹簧支吊架有无异常变形、偏斜、失载，刚性支吊架状态，转导向支架间隙，阻尼器、减振器位移，液压阻尼器液位是否符合要求等情况；</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检查阀门有无表面腐蚀，阀体表面裂纹、严重缩孔、连接螺栓是否松动等情况；</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检查放空阀表面有无腐蚀，阀体表面裂纹、严重缩孔、连接螺栓是否松动等情况；</w:t>
            </w:r>
          </w:p>
          <w:p>
            <w:pPr>
              <w:pStyle w:val="15"/>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检查法兰是否偏口以及异常翘曲、变形、泄漏和紧固件是否齐全、无松动、无腐蚀等情况；</w:t>
            </w:r>
          </w:p>
          <w:p>
            <w:pPr>
              <w:pStyle w:val="15"/>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检查波纹管膨胀节表面有无划痕、凹痕、腐蚀穿孔、开裂以及波纹管波间距是否符合要求，有无失稳现象，饺链型膨胀节的饺链、销轴有无变形、脱落、损坏现象</w:t>
            </w:r>
            <w:r>
              <w:rPr>
                <w:rFonts w:ascii="Times New Roman" w:hAnsi="Times New Roman" w:cs="Times New Roman"/>
                <w:color w:val="auto"/>
                <w:sz w:val="18"/>
                <w:szCs w:val="18"/>
              </w:rPr>
              <w:t>,</w:t>
            </w:r>
            <w:r>
              <w:rPr>
                <w:rFonts w:ascii="Times New Roman" w:cs="Times New Roman"/>
                <w:color w:val="auto"/>
                <w:sz w:val="18"/>
                <w:szCs w:val="18"/>
              </w:rPr>
              <w:t>拉杆式膨胀节的拉杆、螺栓、连接支座是否符合要求等情况；</w:t>
            </w:r>
          </w:p>
          <w:p>
            <w:pPr>
              <w:pStyle w:val="15"/>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对有阴极保护装置的管道，检查其保护装置是否完好；</w:t>
            </w:r>
          </w:p>
          <w:p>
            <w:pPr>
              <w:pStyle w:val="15"/>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对有膨胀测量要求的管道，检查管道蠕胀测点或者蠕胀测量带是否完好；</w:t>
            </w:r>
          </w:p>
        </w:tc>
      </w:tr>
      <w:tr>
        <w:trPr>
          <w:trHeight w:val="943" w:hRule="exact"/>
        </w:trPr>
        <w:tc>
          <w:tcPr>
            <w:tcW w:w="857"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w:t>
            </w:r>
          </w:p>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718"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lang w:eastAsia="zh-CN"/>
              </w:rPr>
              <w:t>压力管道</w:t>
            </w:r>
            <w:r>
              <w:rPr>
                <w:rFonts w:ascii="Times New Roman" w:cs="Times New Roman"/>
                <w:color w:val="auto"/>
                <w:sz w:val="18"/>
                <w:szCs w:val="18"/>
              </w:rPr>
              <w:t>作业人员或有资格的检验人员</w:t>
            </w:r>
          </w:p>
        </w:tc>
        <w:tc>
          <w:tcPr>
            <w:tcW w:w="850"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每年一次</w:t>
            </w:r>
          </w:p>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每年一次</w:t>
            </w:r>
          </w:p>
        </w:tc>
        <w:tc>
          <w:tcPr>
            <w:tcW w:w="992"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lang w:eastAsia="zh-CN"/>
              </w:rPr>
              <w:t>压力管道定期检验规则</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工业管道</w:t>
            </w:r>
            <w:r>
              <w:rPr>
                <w:rFonts w:ascii="Times New Roman" w:hAnsi="Times New Roman" w:cs="Times New Roman"/>
                <w:color w:val="auto"/>
                <w:sz w:val="18"/>
                <w:szCs w:val="18"/>
                <w:lang w:eastAsia="zh-CN"/>
              </w:rPr>
              <w:t xml:space="preserve"> </w:t>
            </w:r>
            <w:r>
              <w:rPr>
                <w:rFonts w:ascii="Times New Roman" w:hAnsi="Times New Roman" w:eastAsia="Times New Roman" w:cs="Times New Roman"/>
                <w:color w:val="auto"/>
                <w:sz w:val="18"/>
                <w:szCs w:val="18"/>
                <w:lang w:val="en-US" w:eastAsia="zh-CN" w:bidi="en-US"/>
              </w:rPr>
              <w:t>(TSG D</w:t>
            </w:r>
            <w:r>
              <w:rPr>
                <w:rFonts w:ascii="Times New Roman" w:hAnsi="Times New Roman" w:cs="Times New Roman"/>
                <w:color w:val="auto"/>
                <w:sz w:val="18"/>
                <w:szCs w:val="18"/>
                <w:lang w:eastAsia="zh-CN"/>
              </w:rPr>
              <w:t>7005-2018</w:t>
            </w:r>
            <w:r>
              <w:rPr>
                <w:rFonts w:ascii="Times New Roman" w:hAnsi="Times New Roman" w:eastAsia="Times New Roman" w:cs="Times New Roman"/>
                <w:color w:val="auto"/>
                <w:sz w:val="18"/>
                <w:szCs w:val="18"/>
                <w:lang w:eastAsia="zh-CN"/>
              </w:rPr>
              <w:t>)</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A3.</w:t>
            </w:r>
            <w:r>
              <w:rPr>
                <w:rFonts w:ascii="Times New Roman" w:hAnsi="Times New Roman" w:cs="Times New Roman"/>
                <w:color w:val="auto"/>
                <w:sz w:val="18"/>
                <w:szCs w:val="18"/>
                <w:lang w:val="en-US" w:eastAsia="zh-CN" w:bidi="en-US"/>
              </w:rPr>
              <w:t>3</w:t>
            </w:r>
          </w:p>
        </w:tc>
        <w:tc>
          <w:tcPr>
            <w:tcW w:w="10201"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需要重点管理的管道或者有明显腐蚀的弯头、三通、异径管以及相邻直管段等部位，应当采取定点或者抽查的方式进行壁厚测定。壁厚测定的布点和测定频次应当依据腐蚀部位测量结果确定。</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定点测厚的测点位置应当在单线图上标明，并且在年度检查报告中给出壁厚测厚结果。发现壁厚异常时，应当适当增加测厚点，必要时对所测管道的所有管段和管件进行壁厚测定。</w:t>
            </w:r>
          </w:p>
        </w:tc>
      </w:tr>
      <w:tr>
        <w:trPr>
          <w:trHeight w:val="473"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w:t>
            </w:r>
            <w:r>
              <w:rPr>
                <w:rFonts w:ascii="Times New Roman" w:hAnsi="Times New Roman" w:eastAsia="Times New Roman" w:cs="Times New Roman"/>
                <w:color w:val="auto"/>
                <w:sz w:val="18"/>
                <w:szCs w:val="18"/>
              </w:rPr>
              <w:t>4</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应当对输送易燃、易爆介质的管道，以抽查方式进行防静电接地电阻值和法兰间接触电阻值测定。</w:t>
            </w:r>
            <w:r>
              <w:rPr>
                <w:rFonts w:ascii="Times New Roman" w:hAnsi="Times New Roman" w:cs="Times New Roman"/>
                <w:color w:val="auto"/>
                <w:sz w:val="18"/>
                <w:szCs w:val="18"/>
              </w:rPr>
              <w:t xml:space="preserve"> </w:t>
            </w:r>
            <w:r>
              <w:rPr>
                <w:rFonts w:ascii="Times New Roman" w:cs="Times New Roman"/>
                <w:color w:val="auto"/>
                <w:sz w:val="18"/>
                <w:szCs w:val="18"/>
              </w:rPr>
              <w:t>防静电接地电阻值应当不大于</w:t>
            </w:r>
            <w:r>
              <w:rPr>
                <w:rFonts w:ascii="Times New Roman" w:hAnsi="Times New Roman" w:eastAsia="Times New Roman" w:cs="Times New Roman"/>
                <w:color w:val="auto"/>
                <w:sz w:val="18"/>
                <w:szCs w:val="18"/>
              </w:rPr>
              <w:t>100</w:t>
            </w:r>
            <w:r>
              <w:rPr>
                <w:rFonts w:ascii="Times New Roman" w:hAnsi="Times New Roman" w:cs="Times New Roman"/>
                <w:color w:val="auto"/>
                <w:sz w:val="18"/>
                <w:szCs w:val="18"/>
                <w:lang w:eastAsia="zh-CN"/>
              </w:rPr>
              <w:t>Ω</w:t>
            </w:r>
            <w:r>
              <w:rPr>
                <w:rFonts w:ascii="Times New Roman" w:cs="Times New Roman"/>
                <w:color w:val="auto"/>
                <w:sz w:val="18"/>
                <w:szCs w:val="18"/>
              </w:rPr>
              <w:t>，法兰间接触电阻值应当小于</w:t>
            </w:r>
            <w:r>
              <w:rPr>
                <w:rFonts w:ascii="Times New Roman" w:hAnsi="Times New Roman" w:eastAsia="Times New Roman" w:cs="Times New Roman"/>
                <w:color w:val="auto"/>
                <w:sz w:val="18"/>
                <w:szCs w:val="18"/>
                <w:lang w:val="en-US" w:eastAsia="zh-CN" w:bidi="en-US"/>
              </w:rPr>
              <w:t>0.03</w:t>
            </w:r>
            <w:r>
              <w:rPr>
                <w:rFonts w:ascii="Times New Roman" w:hAnsi="Times New Roman" w:cs="Times New Roman"/>
                <w:color w:val="auto"/>
                <w:sz w:val="18"/>
                <w:szCs w:val="18"/>
                <w:lang w:eastAsia="zh-CN"/>
              </w:rPr>
              <w:t>Ω</w:t>
            </w:r>
            <w:r>
              <w:rPr>
                <w:rFonts w:ascii="Times New Roman" w:cs="Times New Roman"/>
                <w:color w:val="auto"/>
                <w:sz w:val="18"/>
                <w:szCs w:val="18"/>
              </w:rPr>
              <w:t>。</w:t>
            </w:r>
          </w:p>
        </w:tc>
      </w:tr>
      <w:tr>
        <w:trPr>
          <w:trHeight w:val="1200"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A3.5.1</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安全附件与仪表应当符合安全技术规范及相应现行国家标准的要求。存在下列情况之一的安全附件和仪表，不得投入使用：</w:t>
            </w:r>
          </w:p>
          <w:p>
            <w:pPr>
              <w:pStyle w:val="15"/>
              <w:tabs>
                <w:tab w:val="left" w:pos="31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无产品合格证和铭牌的；</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性能不符合要求的；</w:t>
            </w:r>
          </w:p>
          <w:p>
            <w:pPr>
              <w:pStyle w:val="15"/>
              <w:tabs>
                <w:tab w:val="left" w:pos="31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逾期不检查、不校验、不检定的；</w:t>
            </w:r>
          </w:p>
          <w:p>
            <w:pPr>
              <w:pStyle w:val="15"/>
              <w:tabs>
                <w:tab w:val="left" w:pos="312"/>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lang w:eastAsia="zh-CN"/>
              </w:rPr>
              <w:t>）</w:t>
            </w:r>
            <w:r>
              <w:rPr>
                <w:rFonts w:ascii="Times New Roman" w:cs="Times New Roman"/>
                <w:color w:val="auto"/>
                <w:sz w:val="18"/>
                <w:szCs w:val="18"/>
              </w:rPr>
              <w:t>无产品监督检验证书的（相关安全技术规范要求的）。</w:t>
            </w:r>
          </w:p>
        </w:tc>
      </w:tr>
      <w:tr>
        <w:trPr>
          <w:trHeight w:val="2121"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A3.5.2</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安全阀检查至少包括以下内容：</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安全阀选型是否符合设计要求；</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安全阀是否在检定有效期内，整定压力是否符合管道的运行要求；</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弹簧式安全阀调整螺钉的铅封装置是否完好；</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如果安全阀和排放口之间设置了截断阀，截断阀是否处于全开位置以及铅封是否完好；</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（5）</w:t>
            </w:r>
            <w:r>
              <w:rPr>
                <w:rFonts w:ascii="Times New Roman" w:cs="Times New Roman"/>
                <w:color w:val="auto"/>
                <w:sz w:val="18"/>
                <w:szCs w:val="18"/>
              </w:rPr>
              <w:t>安全阀是否泄漏；</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cs="Times New Roman"/>
                <w:color w:val="auto"/>
                <w:sz w:val="18"/>
                <w:szCs w:val="18"/>
              </w:rPr>
              <w:t>放空管是否通畅，防雨帽是否完好。</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检查时，如果发现选型错误、超过检定有效期或者有泄漏现象的，使用单位应当采取有效措施，确保管道的安全运行</w:t>
            </w:r>
            <w:r>
              <w:rPr>
                <w:rFonts w:ascii="Times New Roman" w:hAnsi="Times New Roman" w:cs="Times New Roman"/>
                <w:color w:val="auto"/>
                <w:sz w:val="18"/>
                <w:szCs w:val="18"/>
              </w:rPr>
              <w:t>,</w:t>
            </w:r>
            <w:r>
              <w:rPr>
                <w:rFonts w:ascii="Times New Roman" w:cs="Times New Roman"/>
                <w:color w:val="auto"/>
                <w:sz w:val="18"/>
                <w:szCs w:val="18"/>
              </w:rPr>
              <w:t>否则应当暂停该管道运行。</w:t>
            </w:r>
          </w:p>
        </w:tc>
      </w:tr>
      <w:tr>
        <w:trPr>
          <w:trHeight w:val="2894"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spacing w:line="240" w:lineRule="auto"/>
              <w:jc w:val="both"/>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3</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爆破片装置检查至少包括以下内容：</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爆破片是否超过产品说明书规定的使用期限；</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爆破片安装方向是否正确，产品铭牌上的爆破压力和温度是否符合运行要求；</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爆破片装置有无渗漏；</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cs="Times New Roman"/>
                <w:color w:val="auto"/>
                <w:sz w:val="18"/>
                <w:szCs w:val="18"/>
                <w:lang w:eastAsia="zh-CN"/>
              </w:rPr>
              <w:t>4</w:t>
            </w:r>
            <w:r>
              <w:rPr>
                <w:rFonts w:ascii="Times New Roman" w:hAnsi="Times New Roman" w:eastAsia="Times New Roman" w:cs="Times New Roman"/>
                <w:color w:val="auto"/>
                <w:sz w:val="18"/>
                <w:szCs w:val="18"/>
              </w:rPr>
              <w:t>）</w:t>
            </w:r>
            <w:r>
              <w:rPr>
                <w:rFonts w:ascii="Times New Roman" w:cs="Times New Roman"/>
                <w:color w:val="auto"/>
                <w:sz w:val="18"/>
                <w:szCs w:val="18"/>
              </w:rPr>
              <w:t>爆破片在使用过程中是否有未超压爆破或者超压未爆破情况的可能；</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（5）</w:t>
            </w:r>
            <w:r>
              <w:rPr>
                <w:rFonts w:ascii="Times New Roman" w:cs="Times New Roman"/>
                <w:color w:val="auto"/>
                <w:sz w:val="18"/>
                <w:szCs w:val="18"/>
              </w:rPr>
              <w:t>与爆破片夹持器相连的放空管是否通畅，放空管内是否存水（或者冰），防水帽、防雨片是否完好；</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r>
              <w:rPr>
                <w:rFonts w:ascii="Times New Roman" w:cs="Times New Roman"/>
                <w:color w:val="auto"/>
                <w:sz w:val="18"/>
                <w:szCs w:val="18"/>
              </w:rPr>
              <w:t>爆破片装置和管道间设置截断阀的，截断阀是否处于全开状态，铅封是否完好；</w:t>
            </w:r>
          </w:p>
          <w:p>
            <w:pPr>
              <w:pStyle w:val="15"/>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爆破片装置和安全阀串联使用时，如果爆破片装置设置在安全阀出口侧，检查与安全阀之间所装压力表和截断阀，以及二者之间的压力、疏水和排放能力是否达到要求；如果爆破片装置设置在安全阀进口侧，检查与安全阀之间所装压力表有无压力指示，截断阀打开后有无气体漏出。</w:t>
            </w:r>
          </w:p>
          <w:p>
            <w:pPr>
              <w:pStyle w:val="15"/>
              <w:tabs>
                <w:tab w:val="left" w:pos="317"/>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在检查中，如果发现爆破片装置存在超过规定使用期限、安装方向错误、爆破压力和温度不符合或者爆破片和安全阀串联使用时有异常情况</w:t>
            </w:r>
            <w:r>
              <w:rPr>
                <w:rFonts w:ascii="Times New Roman" w:hAnsi="Times New Roman" w:cs="Times New Roman"/>
                <w:color w:val="auto"/>
                <w:sz w:val="18"/>
                <w:szCs w:val="18"/>
              </w:rPr>
              <w:t>,</w:t>
            </w:r>
            <w:r>
              <w:rPr>
                <w:rFonts w:ascii="Times New Roman" w:cs="Times New Roman"/>
                <w:color w:val="auto"/>
                <w:sz w:val="18"/>
                <w:szCs w:val="18"/>
              </w:rPr>
              <w:t>使用单位应当采取有效措施，确保管道的安全运行，否则必</w:t>
            </w:r>
            <w:r>
              <w:rPr>
                <w:rFonts w:ascii="Times New Roman" w:hAnsi="Times New Roman" w:cs="Times New Roman"/>
                <w:color w:val="auto"/>
                <w:sz w:val="18"/>
                <w:szCs w:val="18"/>
              </w:rPr>
              <w:t xml:space="preserve"> </w:t>
            </w:r>
            <w:r>
              <w:rPr>
                <w:rFonts w:ascii="Times New Roman" w:cs="Times New Roman"/>
                <w:color w:val="auto"/>
                <w:sz w:val="18"/>
                <w:szCs w:val="18"/>
              </w:rPr>
              <w:t>须暂停该管道运行。</w:t>
            </w:r>
          </w:p>
        </w:tc>
      </w:tr>
      <w:tr>
        <w:trPr>
          <w:trHeight w:val="1521"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A3.5.4</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阻火器装置检查至少包括以下内容：</w:t>
            </w:r>
          </w:p>
          <w:p>
            <w:pPr>
              <w:pStyle w:val="15"/>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阻火器装置安装方向是否正确；</w:t>
            </w:r>
          </w:p>
          <w:p>
            <w:pPr>
              <w:pStyle w:val="15"/>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阻火器装置标定的公称工作压力、适用介质和温度是否符合运行要求；</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阻火器装置是否有泄漏及其他异常情况。</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检查中，发现阻火器装置存在安装方向错误、标定的参数不符合运行要求、本体泄漏、超过规定的检定或者检修期限、出现凝结、结晶或者结冰等，使用单位应当采取有效处理措施，确保管道的安全运行，否则必须暂停该管道运行。</w:t>
            </w:r>
          </w:p>
        </w:tc>
      </w:tr>
      <w:tr>
        <w:trPr>
          <w:trHeight w:val="1443" w:hRule="exact"/>
        </w:trPr>
        <w:tc>
          <w:tcPr>
            <w:tcW w:w="857" w:type="dxa"/>
            <w:gridSpan w:val="2"/>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年度</w:t>
            </w:r>
          </w:p>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718"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lang w:eastAsia="zh-CN"/>
              </w:rPr>
              <w:t>压力管道</w:t>
            </w:r>
            <w:r>
              <w:rPr>
                <w:rFonts w:ascii="Times New Roman" w:cs="Times New Roman"/>
                <w:color w:val="auto"/>
                <w:sz w:val="18"/>
                <w:szCs w:val="18"/>
              </w:rPr>
              <w:t>作业人员或有资格的检验人员</w:t>
            </w:r>
          </w:p>
        </w:tc>
        <w:tc>
          <w:tcPr>
            <w:tcW w:w="850"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每年一次</w:t>
            </w:r>
          </w:p>
        </w:tc>
        <w:tc>
          <w:tcPr>
            <w:tcW w:w="992"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lang w:eastAsia="zh-CN"/>
              </w:rPr>
              <w:t>压力管道定期检验规则</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工业管道</w:t>
            </w:r>
            <w:r>
              <w:rPr>
                <w:rFonts w:ascii="Times New Roman" w:hAnsi="Times New Roman" w:cs="Times New Roman"/>
                <w:color w:val="auto"/>
                <w:sz w:val="18"/>
                <w:szCs w:val="18"/>
                <w:lang w:eastAsia="zh-CN"/>
              </w:rPr>
              <w:t xml:space="preserve"> </w:t>
            </w:r>
            <w:r>
              <w:rPr>
                <w:rFonts w:ascii="Times New Roman" w:hAnsi="Times New Roman" w:eastAsia="Times New Roman" w:cs="Times New Roman"/>
                <w:color w:val="auto"/>
                <w:sz w:val="18"/>
                <w:szCs w:val="18"/>
                <w:lang w:val="en-US" w:eastAsia="zh-CN" w:bidi="en-US"/>
              </w:rPr>
              <w:t>(TSG D</w:t>
            </w:r>
            <w:r>
              <w:rPr>
                <w:rFonts w:ascii="Times New Roman" w:hAnsi="Times New Roman" w:cs="Times New Roman"/>
                <w:color w:val="auto"/>
                <w:sz w:val="18"/>
                <w:szCs w:val="18"/>
                <w:lang w:eastAsia="zh-CN"/>
              </w:rPr>
              <w:t>7005-2018</w:t>
            </w:r>
            <w:r>
              <w:rPr>
                <w:rFonts w:ascii="Times New Roman" w:hAnsi="Times New Roman" w:eastAsia="Times New Roman" w:cs="Times New Roman"/>
                <w:color w:val="auto"/>
                <w:sz w:val="18"/>
                <w:szCs w:val="18"/>
                <w:lang w:eastAsia="zh-CN"/>
              </w:rPr>
              <w:t>)</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5</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紧急切断阀检查至少包括以下内容：</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紧急切断阀铭牌是否符合要求；</w:t>
            </w:r>
          </w:p>
          <w:p>
            <w:pPr>
              <w:pStyle w:val="15"/>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紧急切断阀是否泄漏及其他异常情况；</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紧急切断阀的过流保护装置动作是否达到要求；</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在检查中，发现紧急切断阀存在铭牌内容不符合要求或者阀体泄漏、紧急切断阀动作异常等情况，使用单位应当采取有效处理措施，确保管道的安全运行</w:t>
            </w:r>
            <w:r>
              <w:rPr>
                <w:rFonts w:ascii="Times New Roman" w:hAnsi="Times New Roman" w:cs="Times New Roman"/>
                <w:color w:val="auto"/>
                <w:sz w:val="18"/>
                <w:szCs w:val="18"/>
              </w:rPr>
              <w:t>,</w:t>
            </w:r>
            <w:r>
              <w:rPr>
                <w:rFonts w:ascii="Times New Roman" w:cs="Times New Roman"/>
                <w:color w:val="auto"/>
                <w:sz w:val="18"/>
                <w:szCs w:val="18"/>
              </w:rPr>
              <w:t>否则必须暂停该管道运行。</w:t>
            </w:r>
          </w:p>
        </w:tc>
      </w:tr>
      <w:tr>
        <w:trPr>
          <w:trHeight w:val="2129" w:hRule="exact"/>
        </w:trPr>
        <w:tc>
          <w:tcPr>
            <w:tcW w:w="857" w:type="dxa"/>
            <w:gridSpan w:val="2"/>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6</w:t>
            </w:r>
          </w:p>
        </w:tc>
        <w:tc>
          <w:tcPr>
            <w:tcW w:w="10201"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压力表检查至少包括以下内容：</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压力表选型是否符合要求；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压力表定期检修维护制度，校验有效期及其封签是否符合要求；</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压力表外观、精度等级、量程、表盘直径是否符合要求；</w:t>
            </w:r>
          </w:p>
          <w:p>
            <w:pPr>
              <w:pStyle w:val="15"/>
              <w:tabs>
                <w:tab w:val="left" w:pos="32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cs="Times New Roman"/>
                <w:color w:val="auto"/>
                <w:sz w:val="18"/>
                <w:szCs w:val="18"/>
                <w:lang w:eastAsia="zh-CN"/>
              </w:rPr>
              <w:t>4</w:t>
            </w:r>
            <w:r>
              <w:rPr>
                <w:rFonts w:ascii="Times New Roman" w:hAnsi="Times New Roman" w:eastAsia="Times New Roman" w:cs="Times New Roman"/>
                <w:color w:val="auto"/>
                <w:sz w:val="18"/>
                <w:szCs w:val="18"/>
              </w:rPr>
              <w:t>）</w:t>
            </w:r>
            <w:r>
              <w:rPr>
                <w:rFonts w:ascii="Times New Roman" w:cs="Times New Roman"/>
                <w:color w:val="auto"/>
                <w:sz w:val="18"/>
                <w:szCs w:val="18"/>
              </w:rPr>
              <w:t>在压力表和压力容器之间设置三通旋塞或者针形阀的位置、开启标记及其锁紧装置是否符合要求；</w:t>
            </w:r>
          </w:p>
          <w:p>
            <w:pPr>
              <w:pStyle w:val="15"/>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cs="Times New Roman"/>
                <w:color w:val="auto"/>
                <w:sz w:val="18"/>
                <w:szCs w:val="18"/>
                <w:lang w:eastAsia="zh-CN"/>
              </w:rPr>
              <w:t>5</w:t>
            </w:r>
            <w:r>
              <w:rPr>
                <w:rFonts w:ascii="Times New Roman" w:hAnsi="Times New Roman" w:eastAsia="Times New Roman" w:cs="Times New Roman"/>
                <w:color w:val="auto"/>
                <w:sz w:val="18"/>
                <w:szCs w:val="18"/>
              </w:rPr>
              <w:t>）</w:t>
            </w:r>
            <w:r>
              <w:rPr>
                <w:rFonts w:ascii="Times New Roman" w:cs="Times New Roman"/>
                <w:color w:val="auto"/>
                <w:sz w:val="18"/>
                <w:szCs w:val="18"/>
              </w:rPr>
              <w:t>同一系统上各压力表的读数是否合理。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检查时，如果发现压力表选型错误、表盘封面玻璃破裂或者表盘刻度模糊不清、封签损坏或者超过校验有效期限、弹簧管泄漏、指针松动、扭曲、外壳腐蚀严重、通旋塞或者针形阀开启标记不清以及锁紧装置损坏的</w:t>
            </w:r>
            <w:r>
              <w:rPr>
                <w:rFonts w:ascii="Times New Roman" w:hAnsi="Times New Roman" w:cs="Times New Roman"/>
                <w:color w:val="auto"/>
                <w:sz w:val="18"/>
                <w:szCs w:val="18"/>
              </w:rPr>
              <w:t>,</w:t>
            </w:r>
            <w:r>
              <w:rPr>
                <w:rFonts w:ascii="Times New Roman" w:cs="Times New Roman"/>
                <w:color w:val="auto"/>
                <w:sz w:val="18"/>
                <w:szCs w:val="18"/>
              </w:rPr>
              <w:t>使用单位应当采取有效措施，确保管道的安全运行，否则必须暂停该管道运行。</w:t>
            </w:r>
          </w:p>
        </w:tc>
      </w:tr>
      <w:tr>
        <w:trPr>
          <w:trHeight w:val="1408" w:hRule="exact"/>
        </w:trPr>
        <w:tc>
          <w:tcPr>
            <w:tcW w:w="857" w:type="dxa"/>
            <w:gridSpan w:val="2"/>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18" w:type="dxa"/>
            <w:vMerge w:val="continue"/>
            <w:shd w:val="clear" w:color="auto" w:fill="FFFFFF"/>
            <w:noWrap w:val="0"/>
            <w:vAlign w:val="top"/>
          </w:tcPr>
          <w:p>
            <w:pPr>
              <w:pStyle w:val="15"/>
              <w:snapToGrid w:val="0"/>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7</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测温仪表检查至少包括以下内容：</w:t>
            </w:r>
          </w:p>
          <w:p>
            <w:pPr>
              <w:pStyle w:val="15"/>
              <w:numPr>
                <w:ilvl w:val="0"/>
                <w:numId w:val="45"/>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测温仪表定期校验和检修是否符合要求；</w:t>
            </w:r>
          </w:p>
          <w:p>
            <w:pPr>
              <w:pStyle w:val="15"/>
              <w:numPr>
                <w:ilvl w:val="0"/>
                <w:numId w:val="45"/>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测温仪表量程与其检测的温度范围是否匹配；</w:t>
            </w:r>
          </w:p>
          <w:p>
            <w:pPr>
              <w:pStyle w:val="15"/>
              <w:numPr>
                <w:ilvl w:val="0"/>
                <w:numId w:val="45"/>
              </w:numPr>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测温仪表及其二次仪表的外观是否符合要求。</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在检查中，发现测温仪表超过规定的校验、检修期限，仪表及其保护装置破损或者仪表量程选择错误等情况，使用单位应当采取有效措施，确保管道的安全运行，否则必须暂停该管道运行。</w:t>
            </w:r>
          </w:p>
        </w:tc>
      </w:tr>
      <w:tr>
        <w:trPr>
          <w:trHeight w:val="2186" w:hRule="exact"/>
        </w:trPr>
        <w:tc>
          <w:tcPr>
            <w:tcW w:w="857" w:type="dxa"/>
            <w:gridSpan w:val="2"/>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A4</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年度检查工作中，检查人员应当进行记录，检查工作完成后，应当分析管道使用安全状况，出具检查报告，按照以下要求作出如下年度检查结论：</w:t>
            </w:r>
          </w:p>
          <w:p>
            <w:pPr>
              <w:pStyle w:val="15"/>
              <w:numPr>
                <w:ilvl w:val="0"/>
                <w:numId w:val="46"/>
              </w:numPr>
              <w:tabs>
                <w:tab w:val="left" w:pos="413"/>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符合要求，指未发现影响安全使用的缺陷或者只发现轻度的、不影响安全使用的缺陷，可以在允许的参数范围内继续使用；</w:t>
            </w:r>
          </w:p>
          <w:p>
            <w:pPr>
              <w:pStyle w:val="15"/>
              <w:numPr>
                <w:ilvl w:val="0"/>
                <w:numId w:val="46"/>
              </w:numPr>
              <w:tabs>
                <w:tab w:val="left" w:pos="41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基本符合要求，指发现一般缺陷，经过使用单位采取措施后能够保证管道安全运行，可以在监控条件下使用，并且在检查结论中，应当注明监控条件、监控运行需要解决的问题及其完成期限；</w:t>
            </w:r>
          </w:p>
          <w:p>
            <w:pPr>
              <w:pStyle w:val="15"/>
              <w:numPr>
                <w:ilvl w:val="0"/>
                <w:numId w:val="46"/>
              </w:numPr>
              <w:tabs>
                <w:tab w:val="left" w:pos="41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不符合要求，指发现严重缺陷，不能保证管道安全运行的情况，不允许继续使用，必须停止运行或者由检验机构进行进一步检验。</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年度检查由使用单位自行实施时，检查记录和年度检查报告应当由使用单位安全管理负责人或者授权的安全管理人员审查批准。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使用单位应当将年度检查报告及其记录</w:t>
            </w:r>
            <w:r>
              <w:rPr>
                <w:rFonts w:ascii="Times New Roman" w:hAnsi="Times New Roman" w:cs="Times New Roman"/>
                <w:color w:val="auto"/>
                <w:sz w:val="18"/>
                <w:szCs w:val="18"/>
              </w:rPr>
              <w:t>(</w:t>
            </w:r>
            <w:r>
              <w:rPr>
                <w:rFonts w:ascii="Times New Roman" w:cs="Times New Roman"/>
                <w:color w:val="auto"/>
                <w:sz w:val="18"/>
                <w:szCs w:val="18"/>
              </w:rPr>
              <w:t>相应单项报告</w:t>
            </w:r>
            <w:r>
              <w:rPr>
                <w:rFonts w:ascii="Times New Roman" w:hAnsi="Times New Roman" w:cs="Times New Roman"/>
                <w:color w:val="auto"/>
                <w:sz w:val="18"/>
                <w:szCs w:val="18"/>
              </w:rPr>
              <w:t>)</w:t>
            </w:r>
            <w:r>
              <w:rPr>
                <w:rFonts w:ascii="Times New Roman" w:cs="Times New Roman"/>
                <w:color w:val="auto"/>
                <w:sz w:val="18"/>
                <w:szCs w:val="18"/>
              </w:rPr>
              <w:t>存档保存，保存期限至少到下一个全面检验周期。</w:t>
            </w:r>
          </w:p>
        </w:tc>
      </w:tr>
      <w:tr>
        <w:trPr>
          <w:trHeight w:val="1195" w:hRule="exact"/>
        </w:trPr>
        <w:tc>
          <w:tcPr>
            <w:tcW w:w="857" w:type="dxa"/>
            <w:gridSpan w:val="2"/>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定期</w:t>
            </w:r>
            <w:r>
              <w:rPr>
                <w:rFonts w:ascii="Times New Roman" w:hAnsi="Times New Roman" w:cs="Times New Roman"/>
                <w:color w:val="auto"/>
                <w:sz w:val="18"/>
                <w:szCs w:val="18"/>
              </w:rPr>
              <w:t xml:space="preserve"> </w:t>
            </w:r>
            <w:r>
              <w:rPr>
                <w:rFonts w:ascii="Times New Roman" w:cs="Times New Roman"/>
                <w:color w:val="auto"/>
                <w:sz w:val="18"/>
                <w:szCs w:val="18"/>
              </w:rPr>
              <w:t>检验</w:t>
            </w:r>
          </w:p>
        </w:tc>
        <w:tc>
          <w:tcPr>
            <w:tcW w:w="71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有资格的检验人员</w:t>
            </w:r>
          </w:p>
        </w:tc>
        <w:tc>
          <w:tcPr>
            <w:tcW w:w="8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按上次检验报告</w:t>
            </w:r>
          </w:p>
        </w:tc>
        <w:tc>
          <w:tcPr>
            <w:tcW w:w="992"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w:t>
            </w:r>
            <w:r>
              <w:rPr>
                <w:rFonts w:ascii="Times New Roman" w:hAnsi="Times New Roman" w:cs="Times New Roman"/>
                <w:color w:val="auto"/>
                <w:sz w:val="18"/>
                <w:szCs w:val="18"/>
                <w:lang w:eastAsia="zh-CN"/>
              </w:rPr>
              <w:t>2</w:t>
            </w:r>
            <w:r>
              <w:rPr>
                <w:rFonts w:ascii="Times New Roman" w:cs="Times New Roman"/>
                <w:color w:val="auto"/>
                <w:sz w:val="18"/>
                <w:szCs w:val="18"/>
                <w:lang w:eastAsia="zh-CN"/>
              </w:rPr>
              <w:t>章</w:t>
            </w:r>
          </w:p>
        </w:tc>
        <w:tc>
          <w:tcPr>
            <w:tcW w:w="10201"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D7005</w:t>
            </w:r>
            <w:r>
              <w:rPr>
                <w:rFonts w:ascii="Times New Roman" w:cs="Times New Roman"/>
                <w:color w:val="auto"/>
                <w:sz w:val="18"/>
                <w:szCs w:val="18"/>
              </w:rPr>
              <w:t>一</w:t>
            </w:r>
            <w:r>
              <w:rPr>
                <w:rFonts w:ascii="Times New Roman" w:hAnsi="Times New Roman" w:eastAsia="Times New Roman" w:cs="Times New Roman"/>
                <w:color w:val="auto"/>
                <w:sz w:val="18"/>
                <w:szCs w:val="18"/>
              </w:rPr>
              <w:t>2018</w:t>
            </w:r>
            <w:r>
              <w:rPr>
                <w:rFonts w:ascii="Times New Roman" w:cs="Times New Roman"/>
                <w:color w:val="auto"/>
                <w:sz w:val="18"/>
                <w:szCs w:val="18"/>
              </w:rPr>
              <w:t>执行。</w:t>
            </w:r>
          </w:p>
        </w:tc>
      </w:tr>
    </w:tbl>
    <w:p>
      <w:pPr>
        <w:snapToGrid w:val="0"/>
        <w:jc w:val="center"/>
        <w:rPr>
          <w:rFonts w:eastAsia="宋体"/>
          <w:color w:val="auto"/>
          <w:sz w:val="18"/>
          <w:szCs w:val="18"/>
          <w:lang w:eastAsia="zh-CN"/>
        </w:rPr>
        <w:sectPr>
          <w:headerReference r:id="rId18" w:type="default"/>
          <w:headerReference r:id="rId19" w:type="even"/>
          <w:pgSz w:w="16840" w:h="11900" w:orient="landscape"/>
          <w:pgMar w:top="1134" w:right="1134" w:bottom="1134" w:left="1134" w:header="0" w:footer="986" w:gutter="0"/>
          <w:cols w:space="720" w:num="1"/>
          <w:docGrid w:linePitch="360" w:charSpace="0"/>
        </w:sectPr>
      </w:pPr>
    </w:p>
    <w:p>
      <w:pPr>
        <w:pStyle w:val="14"/>
        <w:snapToGrid w:val="0"/>
        <w:spacing w:before="120" w:beforeLines="50" w:after="120"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lang w:eastAsia="zh-CN"/>
        </w:rPr>
        <w:t>工业管道日检</w:t>
      </w:r>
      <w:r>
        <w:rPr>
          <w:rFonts w:ascii="Times New Roman" w:hAnsi="黑体" w:eastAsia="黑体" w:cs="Times New Roman"/>
          <w:b/>
          <w:color w:val="auto"/>
          <w:sz w:val="21"/>
          <w:szCs w:val="21"/>
        </w:rPr>
        <w:t>记录表格式</w:t>
      </w:r>
    </w:p>
    <w:tbl>
      <w:tblPr>
        <w:tblStyle w:val="8"/>
        <w:tblpPr/>
        <w:tblOverlap w:val="never"/>
        <w:tblW w:w="9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89"/>
        <w:gridCol w:w="539"/>
        <w:gridCol w:w="4024"/>
        <w:gridCol w:w="1134"/>
        <w:gridCol w:w="2270"/>
      </w:tblGrid>
      <w:tr>
        <w:trPr>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管线号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lang w:eastAsia="zh-CN"/>
              </w:rPr>
              <w:t>注册</w:t>
            </w:r>
            <w:r>
              <w:rPr>
                <w:rFonts w:ascii="Times New Roman" w:hAnsi="黑体" w:eastAsia="黑体" w:cs="Times New Roman"/>
                <w:b/>
                <w:color w:val="auto"/>
                <w:sz w:val="18"/>
                <w:szCs w:val="18"/>
              </w:rPr>
              <w:t>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检查项目</w:t>
            </w:r>
          </w:p>
        </w:tc>
        <w:tc>
          <w:tcPr>
            <w:tcW w:w="402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检查内容</w:t>
            </w: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227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636"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工艺指标参数</w:t>
            </w:r>
          </w:p>
        </w:tc>
        <w:tc>
          <w:tcPr>
            <w:tcW w:w="5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压力：</w:t>
            </w:r>
            <w:r>
              <w:rPr>
                <w:rFonts w:ascii="Times New Roman" w:hAnsi="Times New Roman" w:cs="Times New Roman"/>
                <w:color w:val="auto"/>
                <w:sz w:val="18"/>
                <w:szCs w:val="18"/>
              </w:rPr>
              <w:t xml:space="preserve"> </w:t>
            </w:r>
            <w:r>
              <w:rPr>
                <w:rFonts w:ascii="Times New Roman" w:cs="Times New Roman"/>
                <w:color w:val="auto"/>
                <w:sz w:val="18"/>
                <w:szCs w:val="18"/>
              </w:rPr>
              <w:t>温度：</w:t>
            </w:r>
            <w:r>
              <w:rPr>
                <w:rFonts w:ascii="Times New Roman" w:hAnsi="Times New Roman" w:cs="Times New Roman"/>
                <w:color w:val="auto"/>
                <w:sz w:val="18"/>
                <w:szCs w:val="18"/>
              </w:rPr>
              <w:t xml:space="preserve"> </w:t>
            </w:r>
            <w:r>
              <w:rPr>
                <w:rFonts w:ascii="Times New Roman" w:cs="Times New Roman"/>
                <w:color w:val="auto"/>
                <w:sz w:val="18"/>
                <w:szCs w:val="18"/>
              </w:rPr>
              <w:t>介质：</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1127"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运行情况</w:t>
            </w:r>
          </w:p>
        </w:tc>
        <w:tc>
          <w:tcPr>
            <w:tcW w:w="5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运行是否平稳、有无在超温、超压、异常波动等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562" w:hRule="exact"/>
          <w:jc w:val="center"/>
        </w:trPr>
        <w:tc>
          <w:tcPr>
            <w:tcW w:w="1594"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ascii="Times New Roman" w:cs="Times New Roman"/>
                <w:color w:val="auto"/>
                <w:sz w:val="18"/>
                <w:szCs w:val="18"/>
              </w:rPr>
              <w:t>管道本体及连接</w:t>
            </w:r>
            <w:r>
              <w:rPr>
                <w:rFonts w:ascii="Times New Roman" w:hAnsi="Times New Roman" w:cs="Times New Roman"/>
                <w:color w:val="auto"/>
                <w:sz w:val="18"/>
                <w:szCs w:val="18"/>
              </w:rPr>
              <w:t xml:space="preserve"> </w:t>
            </w:r>
            <w:r>
              <w:rPr>
                <w:rFonts w:ascii="Times New Roman" w:cs="Times New Roman"/>
                <w:color w:val="auto"/>
                <w:sz w:val="18"/>
                <w:szCs w:val="18"/>
              </w:rPr>
              <w:t>部位</w:t>
            </w:r>
          </w:p>
        </w:tc>
        <w:tc>
          <w:tcPr>
            <w:tcW w:w="539" w:type="dxa"/>
            <w:vMerge w:val="restart"/>
            <w:shd w:val="clear" w:color="auto" w:fill="FFFFFF"/>
            <w:noWrap w:val="0"/>
            <w:vAlign w:val="center"/>
          </w:tcPr>
          <w:p>
            <w:pPr>
              <w:pStyle w:val="15"/>
              <w:snapToGrid w:val="0"/>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管道本体有无损伤、无锈蚀、异常的变形等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1342"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压缩机、泵的出口部位；</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三通，弯头、大小头、支管连接等部位；</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支撑损坏部位附近的管道组成件以及主要受力焊缝；</w:t>
            </w:r>
          </w:p>
          <w:p>
            <w:pPr>
              <w:pStyle w:val="15"/>
              <w:tabs>
                <w:tab w:val="left" w:pos="317"/>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工作条件苛刻及承受交变载荷的管段等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防腐层、保温层</w:t>
            </w:r>
          </w:p>
        </w:tc>
        <w:tc>
          <w:tcPr>
            <w:tcW w:w="5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是否做好防腐等停炉保养工作</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振动</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防腐层、保温层破损、脱落。绝热层无跑冷现象</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支吊架</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管道是否存在异常振动等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阀门、膨胀节</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管道支架固定稳当，无倾斜、配件无损坏等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安全保护装置</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阀门、膨胀节、法兰完好，无腐蚀和松动现象阀门等，操作机构是否良好</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139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管道摩擦</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安全阀、爆破片完好，安全阀定期校验的铅封完整，并在有效期内是否完好。压力表表盘直径符合规定，最大刻度与运行参数相匹配；压力表的精度符合规定，并校验合格，在有效期内。按规</w:t>
            </w:r>
            <w:r>
              <w:rPr>
                <w:rFonts w:ascii="Times New Roman" w:hAnsi="Times New Roman" w:cs="Times New Roman"/>
                <w:color w:val="auto"/>
                <w:sz w:val="18"/>
                <w:szCs w:val="18"/>
              </w:rPr>
              <w:t xml:space="preserve"> </w:t>
            </w:r>
            <w:r>
              <w:rPr>
                <w:rFonts w:ascii="Times New Roman" w:cs="Times New Roman"/>
                <w:color w:val="auto"/>
                <w:sz w:val="18"/>
                <w:szCs w:val="18"/>
              </w:rPr>
              <w:t>定装设的温度计完好、灵敏、可靠</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静电接地</w:t>
            </w:r>
          </w:p>
        </w:tc>
        <w:tc>
          <w:tcPr>
            <w:tcW w:w="539" w:type="dxa"/>
            <w:shd w:val="clear" w:color="auto" w:fill="FFFFFF"/>
            <w:noWrap w:val="0"/>
            <w:vAlign w:val="center"/>
          </w:tcPr>
          <w:p>
            <w:pPr>
              <w:jc w:val="center"/>
              <w:rPr>
                <w:color w:val="auto"/>
              </w:rPr>
            </w:pPr>
            <w:r>
              <w:rPr>
                <w:color w:val="auto"/>
                <w:sz w:val="18"/>
                <w:szCs w:val="18"/>
              </w:rPr>
              <w:t>★</w:t>
            </w: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w:t>
            </w:r>
            <w:r>
              <w:rPr>
                <w:rFonts w:ascii="Times New Roman" w:cs="Times New Roman"/>
                <w:color w:val="auto"/>
                <w:sz w:val="18"/>
                <w:szCs w:val="18"/>
                <w:lang w:val="en-US" w:eastAsia="zh-CN" w:bidi="en-US"/>
              </w:rPr>
              <w:t>之间</w:t>
            </w:r>
            <w:r>
              <w:rPr>
                <w:rFonts w:ascii="Times New Roman" w:cs="Times New Roman"/>
                <w:color w:val="auto"/>
                <w:sz w:val="18"/>
                <w:szCs w:val="18"/>
              </w:rPr>
              <w:t>、管道和相邻构件的摩擦情况</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08"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其他异常情况及采取措施</w:t>
            </w:r>
          </w:p>
        </w:tc>
        <w:tc>
          <w:tcPr>
            <w:tcW w:w="539" w:type="dxa"/>
            <w:shd w:val="clear" w:color="auto" w:fill="FFFFFF"/>
            <w:noWrap w:val="0"/>
            <w:vAlign w:val="center"/>
          </w:tcPr>
          <w:p>
            <w:pPr>
              <w:snapToGrid w:val="0"/>
              <w:jc w:val="center"/>
              <w:rPr>
                <w:rFonts w:eastAsia="宋体"/>
                <w:color w:val="auto"/>
                <w:sz w:val="18"/>
                <w:szCs w:val="18"/>
                <w:lang w:eastAsia="zh-CN"/>
              </w:rPr>
            </w:pPr>
            <w:r>
              <w:rPr>
                <w:rFonts w:eastAsia="宋体"/>
                <w:color w:val="auto"/>
                <w:sz w:val="18"/>
                <w:szCs w:val="18"/>
                <w:lang w:eastAsia="zh-CN"/>
              </w:rPr>
              <w:t>--</w:t>
            </w:r>
          </w:p>
        </w:tc>
        <w:tc>
          <w:tcPr>
            <w:tcW w:w="4024" w:type="dxa"/>
            <w:shd w:val="clear" w:color="auto" w:fill="FFFFFF"/>
            <w:noWrap w:val="0"/>
            <w:vAlign w:val="center"/>
          </w:tcPr>
          <w:p>
            <w:pPr>
              <w:snapToGrid w:val="0"/>
              <w:jc w:val="both"/>
              <w:rPr>
                <w:color w:val="auto"/>
                <w:sz w:val="18"/>
                <w:szCs w:val="18"/>
                <w:lang w:eastAsia="zh-CN"/>
              </w:rPr>
            </w:pP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61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4024" w:type="dxa"/>
            <w:shd w:val="clear" w:color="auto" w:fill="FFFFFF"/>
            <w:noWrap w:val="0"/>
            <w:vAlign w:val="center"/>
          </w:tcPr>
          <w:p>
            <w:pPr>
              <w:snapToGrid w:val="0"/>
              <w:jc w:val="both"/>
              <w:rPr>
                <w:color w:val="auto"/>
                <w:sz w:val="18"/>
                <w:szCs w:val="18"/>
              </w:rPr>
            </w:pPr>
          </w:p>
        </w:tc>
        <w:tc>
          <w:tcPr>
            <w:tcW w:w="3404"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本记录表为建议表格，使用单位可根据本单位实际情况修改。</w:t>
      </w:r>
    </w:p>
    <w:p>
      <w:pPr>
        <w:pStyle w:val="14"/>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 xml:space="preserve">2. </w:t>
      </w:r>
      <w:r>
        <w:rPr>
          <w:rFonts w:cs="Times New Roman"/>
          <w:color w:val="auto"/>
          <w:sz w:val="18"/>
          <w:szCs w:val="18"/>
        </w:rPr>
        <w:t>★</w:t>
      </w:r>
      <w:r>
        <w:rPr>
          <w:rFonts w:ascii="Times New Roman" w:cs="Times New Roman"/>
          <w:color w:val="auto"/>
          <w:sz w:val="18"/>
          <w:szCs w:val="18"/>
        </w:rPr>
        <w:t>是《检验规程》要求的检查项目。</w:t>
      </w:r>
    </w:p>
    <w:p>
      <w:pPr>
        <w:snapToGrid w:val="0"/>
        <w:jc w:val="center"/>
        <w:rPr>
          <w:rFonts w:eastAsia="宋体"/>
          <w:color w:val="auto"/>
          <w:sz w:val="18"/>
          <w:szCs w:val="18"/>
          <w:lang w:eastAsia="zh-CN"/>
        </w:rPr>
      </w:pPr>
    </w:p>
    <w:p>
      <w:pPr>
        <w:snapToGrid w:val="0"/>
        <w:rPr>
          <w:rFonts w:eastAsia="宋体"/>
          <w:color w:val="auto"/>
          <w:sz w:val="18"/>
          <w:szCs w:val="18"/>
          <w:lang w:eastAsia="zh-CN"/>
        </w:rPr>
        <w:sectPr>
          <w:pgSz w:w="11900" w:h="16840"/>
          <w:pgMar w:top="1134" w:right="1134" w:bottom="1134" w:left="1134" w:header="0" w:footer="986" w:gutter="0"/>
          <w:cols w:space="720" w:num="1"/>
          <w:docGrid w:linePitch="360" w:charSpace="0"/>
        </w:sectPr>
      </w:pPr>
    </w:p>
    <w:p>
      <w:pPr>
        <w:snapToGrid w:val="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B.8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公用管道专项要求</w:t>
      </w:r>
    </w:p>
    <w:p>
      <w:pPr>
        <w:snapToGrid w:val="0"/>
        <w:rPr>
          <w:rFonts w:eastAsia="宋体"/>
          <w:color w:val="auto"/>
          <w:sz w:val="18"/>
          <w:szCs w:val="18"/>
          <w:lang w:eastAsia="zh-CN"/>
        </w:rPr>
      </w:pPr>
    </w:p>
    <w:tbl>
      <w:tblPr>
        <w:tblStyle w:val="8"/>
        <w:tblW w:w="14616"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57"/>
        <w:gridCol w:w="955"/>
        <w:gridCol w:w="955"/>
        <w:gridCol w:w="887"/>
        <w:gridCol w:w="1569"/>
        <w:gridCol w:w="994"/>
        <w:gridCol w:w="8399"/>
      </w:tblGrid>
      <w:tr>
        <w:trPr>
          <w:trHeight w:val="339" w:hRule="atLeast"/>
        </w:trPr>
        <w:tc>
          <w:tcPr>
            <w:tcW w:w="85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r>
              <w:rPr>
                <w:rFonts w:ascii="Times New Roman" w:hAnsi="Times New Roman" w:eastAsia="黑体" w:cs="Times New Roman"/>
                <w:b/>
                <w:color w:val="auto"/>
                <w:sz w:val="18"/>
                <w:szCs w:val="18"/>
                <w:lang w:eastAsia="zh-CN"/>
              </w:rPr>
              <w:t>(</w:t>
            </w:r>
            <w:r>
              <w:rPr>
                <w:rFonts w:ascii="Times New Roman" w:hAnsi="黑体" w:eastAsia="黑体" w:cs="Times New Roman"/>
                <w:b/>
                <w:color w:val="auto"/>
                <w:sz w:val="18"/>
                <w:szCs w:val="18"/>
                <w:lang w:eastAsia="zh-CN"/>
              </w:rPr>
              <w:t>途径</w:t>
            </w:r>
            <w:r>
              <w:rPr>
                <w:rFonts w:ascii="Times New Roman" w:hAnsi="Times New Roman" w:eastAsia="黑体" w:cs="Times New Roman"/>
                <w:b/>
                <w:color w:val="auto"/>
                <w:sz w:val="18"/>
                <w:szCs w:val="18"/>
                <w:lang w:eastAsia="zh-CN"/>
              </w:rPr>
              <w:t>)</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实施单位</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6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839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5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6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8399"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570" w:hRule="exact"/>
        </w:trPr>
        <w:tc>
          <w:tcPr>
            <w:tcW w:w="85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经常性</w:t>
            </w:r>
            <w:r>
              <w:rPr>
                <w:rFonts w:ascii="Times New Roman" w:hAnsi="Times New Roman" w:cs="Times New Roman"/>
                <w:color w:val="auto"/>
                <w:sz w:val="18"/>
                <w:szCs w:val="18"/>
              </w:rPr>
              <w:t xml:space="preserve"> </w:t>
            </w:r>
            <w:r>
              <w:rPr>
                <w:rFonts w:ascii="Times New Roman" w:cs="Times New Roman"/>
                <w:color w:val="auto"/>
                <w:sz w:val="18"/>
                <w:szCs w:val="18"/>
              </w:rPr>
              <w:t>维护保养</w:t>
            </w:r>
          </w:p>
        </w:tc>
        <w:tc>
          <w:tcPr>
            <w:tcW w:w="95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使用单位</w:t>
            </w:r>
          </w:p>
        </w:tc>
        <w:tc>
          <w:tcPr>
            <w:tcW w:w="95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使用单位自定</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使用单位自定</w:t>
            </w:r>
          </w:p>
        </w:tc>
        <w:tc>
          <w:tcPr>
            <w:tcW w:w="156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特种设备安全监察条例</w:t>
            </w:r>
          </w:p>
        </w:tc>
        <w:tc>
          <w:tcPr>
            <w:tcW w:w="9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第二十七</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特种设备使用单位应当对在用特种设备进行经常性日常维护保养，并定期自行检查。</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特种设备使用单位对在用特种设备应当至少每月进行一次自行检查</w:t>
            </w:r>
            <w:r>
              <w:rPr>
                <w:rFonts w:ascii="Times New Roman" w:hAnsi="Times New Roman" w:cs="Times New Roman"/>
                <w:color w:val="auto"/>
                <w:sz w:val="18"/>
                <w:szCs w:val="18"/>
              </w:rPr>
              <w:t>,</w:t>
            </w:r>
            <w:r>
              <w:rPr>
                <w:rFonts w:ascii="Times New Roman" w:cs="Times New Roman"/>
                <w:color w:val="auto"/>
                <w:sz w:val="18"/>
                <w:szCs w:val="18"/>
              </w:rPr>
              <w:t>并作出记录。特种设备使用单位在对在用特种设备进行自行检查和日常维护保养时发现异常情况的，应当及时处理。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特种设备使用单位应当对在用特种设备的安全附件、安全保护装置、测量调控装置及有关附属仪器仪表进行定期校验、检修，并作出记录。</w:t>
            </w:r>
          </w:p>
        </w:tc>
      </w:tr>
      <w:tr>
        <w:trPr>
          <w:trHeight w:val="980" w:hRule="exact"/>
        </w:trPr>
        <w:tc>
          <w:tcPr>
            <w:tcW w:w="85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使用单位或委托有资质的检验机构</w:t>
            </w:r>
          </w:p>
        </w:tc>
        <w:tc>
          <w:tcPr>
            <w:tcW w:w="955"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lang w:eastAsia="zh-CN"/>
              </w:rPr>
              <w:t>管道</w:t>
            </w:r>
            <w:r>
              <w:rPr>
                <w:rFonts w:ascii="Times New Roman" w:cs="Times New Roman"/>
                <w:color w:val="auto"/>
                <w:sz w:val="18"/>
                <w:szCs w:val="18"/>
              </w:rPr>
              <w:t>作业人</w:t>
            </w:r>
            <w:r>
              <w:rPr>
                <w:rFonts w:ascii="Times New Roman" w:hAnsi="Times New Roman" w:cs="Times New Roman"/>
                <w:color w:val="auto"/>
                <w:sz w:val="18"/>
                <w:szCs w:val="18"/>
              </w:rPr>
              <w:t xml:space="preserve"> </w:t>
            </w:r>
            <w:r>
              <w:rPr>
                <w:rFonts w:ascii="Times New Roman" w:cs="Times New Roman"/>
                <w:color w:val="auto"/>
                <w:sz w:val="18"/>
                <w:szCs w:val="18"/>
              </w:rPr>
              <w:t>员或有资格的检验人员</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每年一次</w:t>
            </w:r>
          </w:p>
        </w:tc>
        <w:tc>
          <w:tcPr>
            <w:tcW w:w="156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压力管道定期检验规则</w:t>
            </w:r>
            <w:r>
              <w:rPr>
                <w:rFonts w:ascii="Times New Roman" w:hAnsi="Times New Roman" w:cs="Times New Roman"/>
                <w:color w:val="auto"/>
                <w:sz w:val="18"/>
                <w:szCs w:val="18"/>
              </w:rPr>
              <w:t>——</w:t>
            </w:r>
            <w:r>
              <w:rPr>
                <w:rFonts w:ascii="Times New Roman" w:cs="Times New Roman"/>
                <w:color w:val="auto"/>
                <w:sz w:val="18"/>
                <w:szCs w:val="18"/>
              </w:rPr>
              <w:t>公用管道</w:t>
            </w:r>
          </w:p>
          <w:p>
            <w:pPr>
              <w:pStyle w:val="15"/>
              <w:snapToGrid w:val="0"/>
              <w:spacing w:line="240" w:lineRule="auto"/>
              <w:jc w:val="center"/>
              <w:rPr>
                <w:rFonts w:hint="eastAsia" w:ascii="Times New Roman" w:hAnsi="Times New Roman" w:cs="Times New Roman"/>
                <w:color w:val="auto"/>
                <w:sz w:val="18"/>
                <w:szCs w:val="18"/>
                <w:lang w:eastAsia="zh-CN"/>
              </w:rPr>
            </w:pPr>
            <w:r>
              <w:rPr>
                <w:rFonts w:hint="eastAsia"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TSGD7004-</w:t>
            </w:r>
            <w:r>
              <w:rPr>
                <w:rFonts w:ascii="Times New Roman" w:hAnsi="Times New Roman" w:eastAsia="Times New Roman" w:cs="Times New Roman"/>
                <w:color w:val="auto"/>
                <w:sz w:val="18"/>
                <w:szCs w:val="18"/>
              </w:rPr>
              <w:t>2010</w:t>
            </w:r>
            <w:r>
              <w:rPr>
                <w:rFonts w:hint="eastAsia" w:ascii="Times New Roman" w:hAnsi="Times New Roman" w:cs="Times New Roman"/>
                <w:color w:val="auto"/>
                <w:sz w:val="18"/>
                <w:szCs w:val="18"/>
                <w:lang w:eastAsia="zh-CN"/>
              </w:rPr>
              <w:t>)</w:t>
            </w:r>
          </w:p>
        </w:tc>
        <w:tc>
          <w:tcPr>
            <w:tcW w:w="9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第十四条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检验人员应当在全面了解被检管道的使用情况、管理情况，并且认真调阅管道技术资料和管理资料的基础上，对管道运行记录、管道隐患监护措施实施情况记录、管道改造施工记录、检修报告、管道故障处理记录进行审查，记录审查情况。</w:t>
            </w:r>
          </w:p>
        </w:tc>
      </w:tr>
      <w:tr>
        <w:trPr>
          <w:trHeight w:val="2680" w:hRule="exact"/>
        </w:trPr>
        <w:tc>
          <w:tcPr>
            <w:tcW w:w="85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shd w:val="clear" w:color="auto" w:fill="FFFFFF"/>
            <w:noWrap w:val="0"/>
            <w:vAlign w:val="center"/>
          </w:tcPr>
          <w:p>
            <w:pPr>
              <w:snapToGrid w:val="0"/>
              <w:jc w:val="center"/>
              <w:rPr>
                <w:color w:val="auto"/>
                <w:sz w:val="18"/>
                <w:szCs w:val="18"/>
                <w:lang w:eastAsia="zh-CN"/>
              </w:rPr>
            </w:pPr>
          </w:p>
        </w:tc>
        <w:tc>
          <w:tcPr>
            <w:tcW w:w="955" w:type="dxa"/>
            <w:vMerge w:val="continue"/>
            <w:shd w:val="clear" w:color="auto" w:fill="FFFFFF"/>
            <w:noWrap w:val="0"/>
            <w:vAlign w:val="center"/>
          </w:tcPr>
          <w:p>
            <w:pPr>
              <w:snapToGrid w:val="0"/>
              <w:rPr>
                <w:color w:val="auto"/>
                <w:sz w:val="18"/>
                <w:szCs w:val="18"/>
                <w:lang w:eastAsia="zh-CN"/>
              </w:rPr>
            </w:pPr>
          </w:p>
        </w:tc>
        <w:tc>
          <w:tcPr>
            <w:tcW w:w="887" w:type="dxa"/>
            <w:vMerge w:val="continue"/>
            <w:shd w:val="clear" w:color="auto" w:fill="FFFFFF"/>
            <w:noWrap w:val="0"/>
            <w:vAlign w:val="center"/>
          </w:tcPr>
          <w:p>
            <w:pPr>
              <w:snapToGrid w:val="0"/>
              <w:rPr>
                <w:color w:val="auto"/>
                <w:sz w:val="18"/>
                <w:szCs w:val="18"/>
                <w:lang w:eastAsia="zh-CN"/>
              </w:rPr>
            </w:pPr>
          </w:p>
        </w:tc>
        <w:tc>
          <w:tcPr>
            <w:tcW w:w="1569" w:type="dxa"/>
            <w:vMerge w:val="continue"/>
            <w:shd w:val="clear" w:color="auto" w:fill="FFFFFF"/>
            <w:noWrap w:val="0"/>
            <w:vAlign w:val="center"/>
          </w:tcPr>
          <w:p>
            <w:pPr>
              <w:pStyle w:val="15"/>
              <w:snapToGrid w:val="0"/>
              <w:rPr>
                <w:rFonts w:ascii="Times New Roman" w:hAnsi="Times New Roman" w:cs="Times New Roman"/>
                <w:color w:val="auto"/>
                <w:sz w:val="18"/>
                <w:szCs w:val="18"/>
                <w:lang w:eastAsia="zh-CN"/>
              </w:rPr>
            </w:pPr>
          </w:p>
        </w:tc>
        <w:tc>
          <w:tcPr>
            <w:tcW w:w="9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第十五条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根据审查的数据进行综合评价，确定事故容易发生的位置以及发生事故造成严重后果的位置，并且重点对下列管道进行检查：</w:t>
            </w:r>
          </w:p>
          <w:p>
            <w:pPr>
              <w:pStyle w:val="15"/>
              <w:tabs>
                <w:tab w:val="left" w:pos="355"/>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（一）穿跨越管道；</w:t>
            </w:r>
          </w:p>
          <w:p>
            <w:pPr>
              <w:pStyle w:val="15"/>
              <w:tabs>
                <w:tab w:val="left" w:pos="355"/>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（二）管道出土、入土点，管道分支处、敷设位置较低的管道以及位于排污管和其它液体管道下的</w:t>
            </w:r>
            <w:r>
              <w:rPr>
                <w:rFonts w:ascii="Times New Roman" w:hAnsi="Times New Roman" w:eastAsia="Times New Roman" w:cs="Times New Roman"/>
                <w:color w:val="auto"/>
                <w:sz w:val="18"/>
                <w:szCs w:val="18"/>
                <w:lang w:val="en-US" w:eastAsia="zh-CN" w:bidi="en-US"/>
              </w:rPr>
              <w:t xml:space="preserve">GB1 </w:t>
            </w:r>
            <w:r>
              <w:rPr>
                <w:rFonts w:ascii="Times New Roman" w:cs="Times New Roman"/>
                <w:color w:val="auto"/>
                <w:sz w:val="18"/>
                <w:szCs w:val="18"/>
              </w:rPr>
              <w:t>管道；</w:t>
            </w:r>
          </w:p>
          <w:p>
            <w:pPr>
              <w:pStyle w:val="15"/>
              <w:tabs>
                <w:tab w:val="left" w:pos="365"/>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（三）曾经发生过影响管道安全运行的泄漏、较大以上（含较大）事故的管道；</w:t>
            </w:r>
          </w:p>
          <w:p>
            <w:pPr>
              <w:pStyle w:val="15"/>
              <w:tabs>
                <w:tab w:val="left" w:pos="350"/>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（四）工作条件苛刻以及承受交变载荷的管道；</w:t>
            </w:r>
          </w:p>
          <w:p>
            <w:pPr>
              <w:pStyle w:val="15"/>
              <w:tabs>
                <w:tab w:val="left" w:pos="350"/>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（五）存在第三方破坏的管道；</w:t>
            </w:r>
          </w:p>
          <w:p>
            <w:pPr>
              <w:pStyle w:val="15"/>
              <w:tabs>
                <w:tab w:val="left" w:pos="365"/>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（六）曾经为非机动车道或绿化带改为机动车道、经过空穴（地下室）的管道；</w:t>
            </w:r>
          </w:p>
          <w:p>
            <w:pPr>
              <w:pStyle w:val="15"/>
              <w:tabs>
                <w:tab w:val="left" w:pos="350"/>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（七）位于边坡等位置的管道。</w:t>
            </w:r>
          </w:p>
        </w:tc>
      </w:tr>
      <w:tr>
        <w:trPr>
          <w:trHeight w:val="1020" w:hRule="exact"/>
        </w:trPr>
        <w:tc>
          <w:tcPr>
            <w:tcW w:w="85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569" w:type="dxa"/>
            <w:vMerge w:val="continue"/>
            <w:shd w:val="clear" w:color="auto" w:fill="FFFFFF"/>
            <w:noWrap w:val="0"/>
            <w:vAlign w:val="center"/>
          </w:tcPr>
          <w:p>
            <w:pPr>
              <w:pStyle w:val="15"/>
              <w:snapToGrid w:val="0"/>
              <w:rPr>
                <w:rFonts w:ascii="Times New Roman" w:hAnsi="Times New Roman" w:cs="Times New Roman"/>
                <w:color w:val="auto"/>
                <w:sz w:val="18"/>
                <w:szCs w:val="18"/>
                <w:lang w:eastAsia="zh-CN"/>
              </w:rPr>
            </w:pPr>
          </w:p>
        </w:tc>
        <w:tc>
          <w:tcPr>
            <w:tcW w:w="9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第十六条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年度检查的内容除</w:t>
            </w:r>
            <w:r>
              <w:rPr>
                <w:rFonts w:ascii="Times New Roman" w:hAnsi="Times New Roman" w:eastAsia="Times New Roman" w:cs="Times New Roman"/>
                <w:color w:val="auto"/>
                <w:sz w:val="18"/>
                <w:szCs w:val="18"/>
                <w:lang w:val="en-US" w:eastAsia="zh-CN" w:bidi="en-US"/>
              </w:rPr>
              <w:t>TSG D7004-2010</w:t>
            </w:r>
            <w:r>
              <w:rPr>
                <w:rFonts w:ascii="Times New Roman" w:cs="Times New Roman"/>
                <w:color w:val="auto"/>
                <w:sz w:val="18"/>
                <w:szCs w:val="18"/>
              </w:rPr>
              <w:t>中第十四条、十五条的要求外，还应当包括宏观检查、防腐保温层检查、电性能测试、阴极保护系统测试、壁厚测定、</w:t>
            </w:r>
            <w:r>
              <w:rPr>
                <w:rFonts w:ascii="Times New Roman" w:hAnsi="Times New Roman" w:eastAsia="Times New Roman" w:cs="Times New Roman"/>
                <w:color w:val="auto"/>
                <w:sz w:val="18"/>
                <w:szCs w:val="18"/>
                <w:lang w:val="en-US" w:eastAsia="zh-CN" w:bidi="en-US"/>
              </w:rPr>
              <w:t>GB1</w:t>
            </w:r>
            <w:r>
              <w:rPr>
                <w:rFonts w:ascii="Times New Roman" w:cs="Times New Roman"/>
                <w:color w:val="auto"/>
                <w:sz w:val="18"/>
                <w:szCs w:val="18"/>
              </w:rPr>
              <w:t>级管道介质腐蚀性调查、安全保护装置检验，必要时进行腐蚀防护系统检查，其他项目可结合日常巡线进行。</w:t>
            </w:r>
          </w:p>
        </w:tc>
      </w:tr>
      <w:tr>
        <w:trPr>
          <w:trHeight w:val="1258" w:hRule="exact"/>
        </w:trPr>
        <w:tc>
          <w:tcPr>
            <w:tcW w:w="857"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全面检验</w:t>
            </w:r>
          </w:p>
        </w:tc>
        <w:tc>
          <w:tcPr>
            <w:tcW w:w="955"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检验机构</w:t>
            </w:r>
          </w:p>
        </w:tc>
        <w:tc>
          <w:tcPr>
            <w:tcW w:w="955"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有资格的检验人员</w:t>
            </w:r>
          </w:p>
        </w:tc>
        <w:tc>
          <w:tcPr>
            <w:tcW w:w="887"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按上次检验报告</w:t>
            </w:r>
          </w:p>
        </w:tc>
        <w:tc>
          <w:tcPr>
            <w:tcW w:w="1569" w:type="dxa"/>
            <w:vMerge w:val="continue"/>
            <w:tcBorders>
              <w:bottom w:val="single" w:color="auto" w:sz="12"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4" w:type="dxa"/>
            <w:tcBorders>
              <w:top w:val="single" w:color="auto" w:sz="4" w:space="0"/>
              <w:bottom w:val="single" w:color="auto" w:sz="12" w:space="0"/>
            </w:tcBorders>
            <w:shd w:val="clear" w:color="auto" w:fill="FFFFFF"/>
            <w:noWrap w:val="0"/>
            <w:vAlign w:val="center"/>
          </w:tcPr>
          <w:p>
            <w:pPr>
              <w:snapToGrid w:val="0"/>
              <w:jc w:val="center"/>
              <w:rPr>
                <w:color w:val="auto"/>
                <w:sz w:val="18"/>
                <w:szCs w:val="18"/>
              </w:rPr>
            </w:pPr>
            <w:r>
              <w:rPr>
                <w:rFonts w:hAnsi="宋体" w:eastAsia="宋体"/>
                <w:color w:val="auto"/>
                <w:sz w:val="18"/>
                <w:szCs w:val="18"/>
                <w:lang w:eastAsia="zh-CN"/>
              </w:rPr>
              <w:t>第三章</w:t>
            </w:r>
          </w:p>
        </w:tc>
        <w:tc>
          <w:tcPr>
            <w:tcW w:w="8399" w:type="dxa"/>
            <w:tcBorders>
              <w:top w:val="single" w:color="auto" w:sz="4" w:space="0"/>
              <w:bottom w:val="single" w:color="auto" w:sz="12" w:space="0"/>
            </w:tcBorders>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D7004—</w:t>
            </w:r>
            <w:r>
              <w:rPr>
                <w:rFonts w:ascii="Times New Roman" w:hAnsi="Times New Roman" w:eastAsia="Times New Roman" w:cs="Times New Roman"/>
                <w:color w:val="auto"/>
                <w:sz w:val="18"/>
                <w:szCs w:val="18"/>
              </w:rPr>
              <w:t>2010</w:t>
            </w:r>
            <w:r>
              <w:rPr>
                <w:rFonts w:ascii="Times New Roman" w:cs="Times New Roman"/>
                <w:color w:val="auto"/>
                <w:sz w:val="18"/>
                <w:szCs w:val="18"/>
              </w:rPr>
              <w:t>执行。</w:t>
            </w:r>
          </w:p>
        </w:tc>
      </w:tr>
    </w:tbl>
    <w:p>
      <w:pPr>
        <w:snapToGrid w:val="0"/>
        <w:rPr>
          <w:rFonts w:eastAsia="宋体"/>
          <w:color w:val="auto"/>
          <w:sz w:val="18"/>
          <w:szCs w:val="18"/>
          <w:lang w:eastAsia="zh-CN"/>
        </w:rPr>
        <w:sectPr>
          <w:headerReference r:id="rId20" w:type="default"/>
          <w:headerReference r:id="rId21" w:type="even"/>
          <w:pgSz w:w="16840" w:h="11900" w:orient="landscape"/>
          <w:pgMar w:top="1134" w:right="1134" w:bottom="1134" w:left="1134" w:header="0" w:footer="986" w:gutter="0"/>
          <w:cols w:space="720" w:num="1"/>
          <w:docGrid w:linePitch="360" w:charSpace="0"/>
        </w:sectPr>
      </w:pPr>
    </w:p>
    <w:p>
      <w:pPr>
        <w:pStyle w:val="14"/>
        <w:snapToGrid w:val="0"/>
        <w:spacing w:before="120" w:beforeLines="50" w:after="120"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rPr>
        <w:t>公用（燃气）管道经常性维护保养记录表格式</w:t>
      </w:r>
    </w:p>
    <w:tbl>
      <w:tblPr>
        <w:tblStyle w:val="8"/>
        <w:tblpPr/>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
        <w:gridCol w:w="1236"/>
        <w:gridCol w:w="892"/>
        <w:gridCol w:w="5414"/>
        <w:gridCol w:w="1065"/>
        <w:gridCol w:w="949"/>
      </w:tblGrid>
      <w:tr>
        <w:trPr>
          <w:gridBefore w:val="1"/>
          <w:wBefore w:w="5" w:type="dxa"/>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管线号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gridBefore w:val="1"/>
          <w:wBefore w:w="5" w:type="dxa"/>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注册编号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检查项目</w:t>
            </w:r>
          </w:p>
        </w:tc>
        <w:tc>
          <w:tcPr>
            <w:tcW w:w="8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桩号</w:t>
            </w:r>
          </w:p>
        </w:tc>
        <w:tc>
          <w:tcPr>
            <w:tcW w:w="541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检查内容</w:t>
            </w:r>
          </w:p>
        </w:tc>
        <w:tc>
          <w:tcPr>
            <w:tcW w:w="1065"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94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1334"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安全距离</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rPr>
              <w:t>在燃气管道设施的安全保护范围内不应有土壤</w:t>
            </w:r>
            <w:r>
              <w:rPr>
                <w:rFonts w:ascii="Times New Roman" w:hAnsi="Times New Roman" w:cs="Times New Roman"/>
                <w:color w:val="auto"/>
                <w:sz w:val="18"/>
                <w:szCs w:val="18"/>
              </w:rPr>
              <w:t xml:space="preserve"> </w:t>
            </w:r>
            <w:r>
              <w:rPr>
                <w:rFonts w:ascii="Times New Roman" w:cs="Times New Roman"/>
                <w:color w:val="auto"/>
                <w:sz w:val="18"/>
                <w:szCs w:val="18"/>
              </w:rPr>
              <w:t>塌陷、滑坡、下沉、人工取土、堆积垃圾或重物、管</w:t>
            </w:r>
            <w:r>
              <w:rPr>
                <w:rFonts w:ascii="Times New Roman" w:hAnsi="Times New Roman" w:cs="Times New Roman"/>
                <w:color w:val="auto"/>
                <w:sz w:val="18"/>
                <w:szCs w:val="18"/>
              </w:rPr>
              <w:t xml:space="preserve"> </w:t>
            </w:r>
            <w:r>
              <w:rPr>
                <w:rFonts w:ascii="Times New Roman" w:cs="Times New Roman"/>
                <w:color w:val="auto"/>
                <w:sz w:val="18"/>
                <w:szCs w:val="18"/>
              </w:rPr>
              <w:t>道裸露、种植深根植物及搭建建（构）筑物等</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1411"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泄漏</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6"/>
              <w:snapToGrid w:val="0"/>
              <w:ind w:firstLine="0"/>
              <w:jc w:val="both"/>
              <w:rPr>
                <w:rFonts w:ascii="Times New Roman" w:hAnsi="Times New Roman" w:cs="Times New Roman"/>
                <w:color w:val="auto"/>
                <w:sz w:val="18"/>
                <w:szCs w:val="18"/>
              </w:rPr>
            </w:pPr>
            <w:r>
              <w:rPr>
                <w:rFonts w:ascii="Times New Roman" w:cs="Times New Roman"/>
                <w:color w:val="auto"/>
                <w:sz w:val="18"/>
                <w:szCs w:val="18"/>
              </w:rPr>
              <w:t>管道沿线不应有燃气异味、水面冒泡、树草枯萎和积雪表面有黄斑等异常现象或燃气泄出声响等；有上述现象发生时，应查明原因并及时处理</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1133" w:hRule="exact"/>
          <w:jc w:val="center"/>
        </w:trPr>
        <w:tc>
          <w:tcPr>
            <w:tcW w:w="1241" w:type="dxa"/>
            <w:gridSpan w:val="2"/>
            <w:shd w:val="clear" w:color="auto" w:fill="FFFFFF"/>
            <w:noWrap w:val="0"/>
            <w:vAlign w:val="center"/>
          </w:tcPr>
          <w:p>
            <w:pPr>
              <w:pStyle w:val="16"/>
              <w:snapToGrid w:val="0"/>
              <w:ind w:firstLine="0"/>
              <w:jc w:val="center"/>
              <w:rPr>
                <w:rFonts w:ascii="Times New Roman" w:hAnsi="Times New Roman" w:cs="Times New Roman"/>
                <w:color w:val="auto"/>
                <w:sz w:val="18"/>
                <w:szCs w:val="18"/>
                <w:lang w:eastAsia="zh-CN"/>
              </w:rPr>
            </w:pPr>
            <w:r>
              <w:rPr>
                <w:rFonts w:ascii="Times New Roman" w:cs="Times New Roman"/>
                <w:color w:val="auto"/>
                <w:sz w:val="18"/>
                <w:szCs w:val="18"/>
              </w:rPr>
              <w:t>特殊管段</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6"/>
              <w:snapToGrid w:val="0"/>
              <w:ind w:firstLine="0"/>
              <w:jc w:val="both"/>
              <w:rPr>
                <w:rFonts w:ascii="Times New Roman" w:hAnsi="Times New Roman" w:cs="Times New Roman"/>
                <w:color w:val="auto"/>
                <w:sz w:val="18"/>
                <w:szCs w:val="18"/>
              </w:rPr>
            </w:pPr>
            <w:r>
              <w:rPr>
                <w:rFonts w:ascii="Times New Roman" w:cs="Times New Roman"/>
                <w:color w:val="auto"/>
                <w:sz w:val="18"/>
                <w:szCs w:val="18"/>
              </w:rPr>
              <w:t>对穿越跨越处、斜坡等特殊地段的管道，在暴雨、大风或其他恶劣天气过后应及时巡查</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3122"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其他施工</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rPr>
              <w:t>在燃气管道安全保护范围内的施工，其施工单位在开工前应向城镇燃气供应单位申请现场安全监护。对有可能影响燃气管线安全运行的施工现场</w:t>
            </w:r>
            <w:r>
              <w:rPr>
                <w:rFonts w:ascii="Times New Roman" w:hAnsi="Times New Roman" w:cs="Times New Roman"/>
                <w:color w:val="auto"/>
                <w:sz w:val="18"/>
                <w:szCs w:val="18"/>
              </w:rPr>
              <w:t>,</w:t>
            </w:r>
            <w:r>
              <w:rPr>
                <w:rFonts w:ascii="Times New Roman" w:cs="Times New Roman"/>
                <w:color w:val="auto"/>
                <w:sz w:val="18"/>
                <w:szCs w:val="18"/>
              </w:rPr>
              <w:t>应加强燃气管线的巡查与现场监护，可设立临时警示标志；施工过程中造成燃气管道损坏、管道悬空等，应及时采取有效的保护措施</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1560" w:hRule="exact"/>
          <w:jc w:val="center"/>
        </w:trPr>
        <w:tc>
          <w:tcPr>
            <w:tcW w:w="1241"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管道附件</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7"/>
              <w:snapToGrid w:val="0"/>
              <w:rPr>
                <w:rFonts w:ascii="Times New Roman" w:hAnsi="Times New Roman" w:cs="Times New Roman"/>
                <w:color w:val="auto"/>
                <w:sz w:val="18"/>
                <w:szCs w:val="18"/>
              </w:rPr>
            </w:pPr>
            <w:r>
              <w:rPr>
                <w:rFonts w:ascii="Times New Roman" w:cs="Times New Roman"/>
                <w:color w:val="auto"/>
                <w:sz w:val="18"/>
                <w:szCs w:val="18"/>
              </w:rPr>
              <w:t>对燃气管道附件丢失或损坏，应及时修复</w:t>
            </w:r>
          </w:p>
          <w:p>
            <w:pPr>
              <w:pStyle w:val="15"/>
              <w:snapToGrid w:val="0"/>
              <w:spacing w:line="240" w:lineRule="auto"/>
              <w:jc w:val="both"/>
              <w:rPr>
                <w:rFonts w:ascii="Times New Roman" w:hAnsi="Times New Roman" w:cs="Times New Roman"/>
                <w:color w:val="auto"/>
                <w:sz w:val="18"/>
                <w:szCs w:val="18"/>
              </w:rPr>
            </w:pP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849" w:hRule="exact"/>
          <w:jc w:val="center"/>
        </w:trPr>
        <w:tc>
          <w:tcPr>
            <w:tcW w:w="1241" w:type="dxa"/>
            <w:gridSpan w:val="2"/>
            <w:shd w:val="clear" w:color="auto" w:fill="FFFFFF"/>
            <w:noWrap w:val="0"/>
            <w:vAlign w:val="center"/>
          </w:tcPr>
          <w:p>
            <w:pPr>
              <w:pStyle w:val="17"/>
              <w:snapToGrid w:val="0"/>
              <w:jc w:val="center"/>
              <w:rPr>
                <w:rFonts w:ascii="Times New Roman" w:hAnsi="Times New Roman" w:cs="Times New Roman"/>
                <w:color w:val="auto"/>
                <w:sz w:val="18"/>
                <w:szCs w:val="18"/>
                <w:lang w:eastAsia="zh-CN"/>
              </w:rPr>
            </w:pPr>
            <w:r>
              <w:rPr>
                <w:rFonts w:ascii="Times New Roman" w:cs="Times New Roman"/>
                <w:color w:val="auto"/>
                <w:sz w:val="18"/>
                <w:szCs w:val="18"/>
              </w:rPr>
              <w:t>架空管段</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7"/>
              <w:snapToGrid w:val="0"/>
              <w:rPr>
                <w:rFonts w:ascii="Times New Roman" w:hAnsi="Times New Roman" w:cs="Times New Roman"/>
                <w:color w:val="auto"/>
                <w:sz w:val="18"/>
                <w:szCs w:val="18"/>
                <w:lang w:eastAsia="zh-CN"/>
              </w:rPr>
            </w:pPr>
            <w:r>
              <w:rPr>
                <w:rFonts w:ascii="Times New Roman" w:cs="Times New Roman"/>
                <w:color w:val="auto"/>
                <w:sz w:val="18"/>
                <w:szCs w:val="18"/>
              </w:rPr>
              <w:t>支吊架是否完好、管道外防腐情况</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862" w:hRule="exact"/>
          <w:jc w:val="center"/>
        </w:trPr>
        <w:tc>
          <w:tcPr>
            <w:tcW w:w="1241" w:type="dxa"/>
            <w:gridSpan w:val="2"/>
            <w:shd w:val="clear" w:color="auto" w:fill="FFFFFF"/>
            <w:noWrap w:val="0"/>
            <w:vAlign w:val="center"/>
          </w:tcPr>
          <w:p>
            <w:pPr>
              <w:pStyle w:val="17"/>
              <w:snapToGrid w:val="0"/>
              <w:jc w:val="center"/>
              <w:rPr>
                <w:rFonts w:ascii="Times New Roman" w:hAnsi="Times New Roman" w:cs="Times New Roman"/>
                <w:color w:val="auto"/>
                <w:sz w:val="18"/>
                <w:szCs w:val="18"/>
                <w:lang w:eastAsia="zh-CN"/>
              </w:rPr>
            </w:pPr>
            <w:r>
              <w:rPr>
                <w:rFonts w:ascii="Times New Roman" w:cs="Times New Roman"/>
                <w:color w:val="auto"/>
                <w:sz w:val="18"/>
                <w:szCs w:val="18"/>
              </w:rPr>
              <w:t>管道标志</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7"/>
              <w:snapToGrid w:val="0"/>
              <w:rPr>
                <w:rFonts w:ascii="Times New Roman" w:hAnsi="Times New Roman" w:cs="Times New Roman"/>
                <w:color w:val="auto"/>
                <w:sz w:val="18"/>
                <w:szCs w:val="18"/>
                <w:lang w:eastAsia="zh-CN"/>
              </w:rPr>
            </w:pPr>
            <w:r>
              <w:rPr>
                <w:rFonts w:ascii="Times New Roman" w:cs="Times New Roman"/>
                <w:color w:val="auto"/>
                <w:sz w:val="18"/>
                <w:szCs w:val="18"/>
              </w:rPr>
              <w:t>移动、毁损、涂改、丢失管道标志</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845" w:hRule="exact"/>
          <w:jc w:val="center"/>
        </w:trPr>
        <w:tc>
          <w:tcPr>
            <w:tcW w:w="1241" w:type="dxa"/>
            <w:gridSpan w:val="2"/>
            <w:shd w:val="clear" w:color="auto" w:fill="FFFFFF"/>
            <w:noWrap w:val="0"/>
            <w:vAlign w:val="center"/>
          </w:tcPr>
          <w:p>
            <w:pPr>
              <w:pStyle w:val="17"/>
              <w:snapToGrid w:val="0"/>
              <w:jc w:val="center"/>
              <w:rPr>
                <w:rFonts w:ascii="Times New Roman" w:hAnsi="Times New Roman" w:cs="Times New Roman"/>
                <w:color w:val="auto"/>
              </w:rPr>
            </w:pPr>
            <w:r>
              <w:rPr>
                <w:rFonts w:ascii="Times New Roman" w:cs="Times New Roman"/>
                <w:color w:val="auto"/>
                <w:sz w:val="18"/>
                <w:szCs w:val="18"/>
              </w:rPr>
              <w:t>其他</w:t>
            </w:r>
          </w:p>
        </w:tc>
        <w:tc>
          <w:tcPr>
            <w:tcW w:w="892" w:type="dxa"/>
            <w:shd w:val="clear" w:color="auto" w:fill="FFFFFF"/>
            <w:noWrap w:val="0"/>
            <w:vAlign w:val="top"/>
          </w:tcPr>
          <w:p>
            <w:pPr>
              <w:jc w:val="center"/>
              <w:rPr>
                <w:rFonts w:eastAsia="宋体"/>
                <w:color w:val="auto"/>
              </w:rPr>
            </w:pPr>
          </w:p>
        </w:tc>
        <w:tc>
          <w:tcPr>
            <w:tcW w:w="5414" w:type="dxa"/>
            <w:shd w:val="clear" w:color="auto" w:fill="FFFFFF"/>
            <w:noWrap w:val="0"/>
            <w:vAlign w:val="top"/>
          </w:tcPr>
          <w:p>
            <w:pPr>
              <w:rPr>
                <w:rFonts w:eastAsia="宋体"/>
                <w:color w:val="auto"/>
              </w:rPr>
            </w:pP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gridBefore w:val="1"/>
          <w:wBefore w:w="5" w:type="dxa"/>
          <w:trHeight w:val="61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5414" w:type="dxa"/>
            <w:shd w:val="clear" w:color="auto" w:fill="FFFFFF"/>
            <w:noWrap w:val="0"/>
            <w:vAlign w:val="center"/>
          </w:tcPr>
          <w:p>
            <w:pPr>
              <w:snapToGrid w:val="0"/>
              <w:jc w:val="both"/>
              <w:rPr>
                <w:color w:val="auto"/>
                <w:sz w:val="18"/>
                <w:szCs w:val="18"/>
              </w:rPr>
            </w:pPr>
          </w:p>
        </w:tc>
        <w:tc>
          <w:tcPr>
            <w:tcW w:w="2014"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7"/>
        <w:snapToGrid w:val="0"/>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本记录表为建议表格，使用单位可根据本单位实际情况或须巡线的内容重新制定表格。</w:t>
      </w:r>
    </w:p>
    <w:p>
      <w:pPr>
        <w:pStyle w:val="17"/>
        <w:snapToGrid w:val="0"/>
        <w:ind w:firstLine="360" w:firstLineChars="200"/>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2.</w:t>
      </w:r>
      <w:r>
        <w:rPr>
          <w:rFonts w:ascii="Times New Roman" w:cs="Times New Roman"/>
          <w:color w:val="auto"/>
          <w:sz w:val="18"/>
          <w:szCs w:val="18"/>
        </w:rPr>
        <w:t>巡线项目和内容可根据使用单位实际情况作出调整。</w:t>
      </w:r>
    </w:p>
    <w:p>
      <w:pPr>
        <w:pStyle w:val="14"/>
        <w:snapToGrid w:val="0"/>
        <w:spacing w:before="120" w:beforeLines="50" w:after="120" w:afterLines="50" w:line="240" w:lineRule="auto"/>
        <w:jc w:val="center"/>
        <w:rPr>
          <w:rFonts w:ascii="Times New Roman" w:hAnsi="Times New Roman" w:eastAsia="黑体" w:cs="Times New Roman"/>
          <w:b/>
          <w:color w:val="auto"/>
          <w:sz w:val="21"/>
          <w:szCs w:val="21"/>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2  </w:t>
      </w:r>
      <w:r>
        <w:rPr>
          <w:rFonts w:ascii="Times New Roman" w:hAnsi="黑体" w:eastAsia="黑体" w:cs="Times New Roman"/>
          <w:b/>
          <w:color w:val="auto"/>
          <w:sz w:val="21"/>
          <w:szCs w:val="21"/>
        </w:rPr>
        <w:t>公用（燃气）管道定期检测、维修和维护记录表格式</w:t>
      </w:r>
    </w:p>
    <w:tbl>
      <w:tblPr>
        <w:tblStyle w:val="8"/>
        <w:tblpPr/>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125"/>
        <w:gridCol w:w="892"/>
        <w:gridCol w:w="5414"/>
        <w:gridCol w:w="1065"/>
        <w:gridCol w:w="949"/>
      </w:tblGrid>
      <w:tr>
        <w:trPr>
          <w:trHeight w:val="567" w:hRule="exact"/>
          <w:jc w:val="center"/>
        </w:trPr>
        <w:tc>
          <w:tcPr>
            <w:tcW w:w="2017"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管线号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2017"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注册编号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检查项目</w:t>
            </w:r>
          </w:p>
        </w:tc>
        <w:tc>
          <w:tcPr>
            <w:tcW w:w="8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检查时间</w:t>
            </w:r>
          </w:p>
        </w:tc>
        <w:tc>
          <w:tcPr>
            <w:tcW w:w="541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检查内容</w:t>
            </w:r>
          </w:p>
        </w:tc>
        <w:tc>
          <w:tcPr>
            <w:tcW w:w="1065"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94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1177"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泄漏检查</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泄漏检查可采用仪器检测或地面钻孔检测，可沿管道方向和从管道附近的阀门井、窨井或地沟等</w:t>
            </w:r>
            <w:r>
              <w:rPr>
                <w:rFonts w:ascii="Times New Roman" w:hAnsi="Times New Roman" w:cs="Times New Roman"/>
                <w:color w:val="auto"/>
                <w:sz w:val="18"/>
                <w:szCs w:val="18"/>
              </w:rPr>
              <w:t xml:space="preserve"> </w:t>
            </w:r>
            <w:r>
              <w:rPr>
                <w:rFonts w:ascii="Times New Roman" w:cs="Times New Roman"/>
                <w:color w:val="auto"/>
                <w:sz w:val="18"/>
                <w:szCs w:val="18"/>
              </w:rPr>
              <w:t>地上（下）建（构）筑物检测</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1411" w:hRule="exact"/>
          <w:jc w:val="center"/>
        </w:trPr>
        <w:tc>
          <w:tcPr>
            <w:tcW w:w="112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阴极保护系统</w:t>
            </w: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牺牲阳极阴极保护系统应对阳极开路电位、阳极</w:t>
            </w:r>
            <w:r>
              <w:rPr>
                <w:rFonts w:ascii="Times New Roman" w:hAnsi="Times New Roman" w:cs="Times New Roman"/>
                <w:color w:val="auto"/>
                <w:sz w:val="18"/>
                <w:szCs w:val="18"/>
              </w:rPr>
              <w:t xml:space="preserve"> </w:t>
            </w:r>
            <w:r>
              <w:rPr>
                <w:rFonts w:ascii="Times New Roman" w:cs="Times New Roman"/>
                <w:color w:val="auto"/>
                <w:sz w:val="18"/>
                <w:szCs w:val="18"/>
              </w:rPr>
              <w:t>闭路电位、管道保护电压、管道开路电位、单支阳</w:t>
            </w:r>
            <w:r>
              <w:rPr>
                <w:rFonts w:ascii="Times New Roman" w:hAnsi="Times New Roman" w:cs="Times New Roman"/>
                <w:color w:val="auto"/>
                <w:sz w:val="18"/>
                <w:szCs w:val="18"/>
              </w:rPr>
              <w:t xml:space="preserve"> </w:t>
            </w:r>
            <w:r>
              <w:rPr>
                <w:rFonts w:ascii="Times New Roman" w:cs="Times New Roman"/>
                <w:color w:val="auto"/>
                <w:sz w:val="18"/>
                <w:szCs w:val="18"/>
              </w:rPr>
              <w:t>极输出电流、组合阳极联合输出电流、单支阳极</w:t>
            </w:r>
            <w:r>
              <w:rPr>
                <w:rFonts w:ascii="Times New Roman" w:hAnsi="Times New Roman" w:cs="Times New Roman"/>
                <w:color w:val="auto"/>
                <w:sz w:val="18"/>
                <w:szCs w:val="18"/>
              </w:rPr>
              <w:t xml:space="preserve"> </w:t>
            </w:r>
            <w:r>
              <w:rPr>
                <w:rFonts w:ascii="Times New Roman" w:cs="Times New Roman"/>
                <w:color w:val="auto"/>
                <w:sz w:val="18"/>
                <w:szCs w:val="18"/>
              </w:rPr>
              <w:t>接地电阻、组合阳极接地电阻、埋设点的土壤电</w:t>
            </w:r>
            <w:r>
              <w:rPr>
                <w:rFonts w:ascii="Times New Roman" w:hAnsi="Times New Roman" w:cs="Times New Roman"/>
                <w:color w:val="auto"/>
                <w:sz w:val="18"/>
                <w:szCs w:val="18"/>
              </w:rPr>
              <w:t xml:space="preserve"> </w:t>
            </w:r>
            <w:r>
              <w:rPr>
                <w:rFonts w:ascii="Times New Roman" w:cs="Times New Roman"/>
                <w:color w:val="auto"/>
                <w:sz w:val="18"/>
                <w:szCs w:val="18"/>
              </w:rPr>
              <w:t>阻率等参数进行测试</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1271" w:hRule="exact"/>
          <w:jc w:val="center"/>
        </w:trPr>
        <w:tc>
          <w:tcPr>
            <w:tcW w:w="1125" w:type="dxa"/>
            <w:vMerge w:val="continue"/>
            <w:shd w:val="clear" w:color="auto" w:fill="FFFFFF"/>
            <w:noWrap w:val="0"/>
            <w:vAlign w:val="center"/>
          </w:tcPr>
          <w:p>
            <w:pPr>
              <w:pStyle w:val="16"/>
              <w:snapToGrid w:val="0"/>
              <w:ind w:firstLine="0"/>
              <w:jc w:val="center"/>
              <w:rPr>
                <w:rFonts w:ascii="Times New Roman" w:hAnsi="Times New Roman" w:cs="Times New Roman"/>
                <w:color w:val="auto"/>
                <w:sz w:val="18"/>
                <w:szCs w:val="18"/>
                <w:lang w:eastAsia="zh-CN"/>
              </w:rPr>
            </w:pP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外加电流阴极保护系统应对管道沿线土壤电阻率、管道自然腐蚀电位、辅助阳极接地电阻、辅助阳极埋设点的土壤电阻率、绝缘装置的绝缘性</w:t>
            </w:r>
            <w:r>
              <w:rPr>
                <w:rFonts w:ascii="Times New Roman" w:hAnsi="Times New Roman" w:cs="Times New Roman"/>
                <w:color w:val="auto"/>
                <w:sz w:val="18"/>
                <w:szCs w:val="18"/>
              </w:rPr>
              <w:t xml:space="preserve"> </w:t>
            </w:r>
            <w:r>
              <w:rPr>
                <w:rFonts w:ascii="Times New Roman" w:cs="Times New Roman"/>
                <w:color w:val="auto"/>
                <w:sz w:val="18"/>
                <w:szCs w:val="18"/>
              </w:rPr>
              <w:t>能、管道保护电位、管道保护电流、电源输出电</w:t>
            </w:r>
            <w:r>
              <w:rPr>
                <w:rFonts w:ascii="Times New Roman" w:hAnsi="Times New Roman" w:cs="Times New Roman"/>
                <w:color w:val="auto"/>
                <w:sz w:val="18"/>
                <w:szCs w:val="18"/>
              </w:rPr>
              <w:t xml:space="preserve"> </w:t>
            </w:r>
            <w:r>
              <w:rPr>
                <w:rFonts w:ascii="Times New Roman" w:cs="Times New Roman"/>
                <w:color w:val="auto"/>
                <w:sz w:val="18"/>
                <w:szCs w:val="18"/>
              </w:rPr>
              <w:t>流、电压等参数进行测试</w:t>
            </w:r>
          </w:p>
        </w:tc>
        <w:tc>
          <w:tcPr>
            <w:tcW w:w="1065" w:type="dxa"/>
            <w:shd w:val="clear" w:color="auto" w:fill="FFFFFF"/>
            <w:noWrap w:val="0"/>
            <w:vAlign w:val="top"/>
          </w:tcPr>
          <w:p>
            <w:pPr>
              <w:snapToGrid w:val="0"/>
              <w:rPr>
                <w:color w:val="auto"/>
                <w:sz w:val="18"/>
                <w:szCs w:val="18"/>
                <w:lang w:eastAsia="zh-CN"/>
              </w:rPr>
            </w:pPr>
          </w:p>
        </w:tc>
        <w:tc>
          <w:tcPr>
            <w:tcW w:w="949" w:type="dxa"/>
            <w:shd w:val="clear" w:color="auto" w:fill="FFFFFF"/>
            <w:noWrap w:val="0"/>
            <w:vAlign w:val="top"/>
          </w:tcPr>
          <w:p>
            <w:pPr>
              <w:snapToGrid w:val="0"/>
              <w:rPr>
                <w:color w:val="auto"/>
                <w:sz w:val="18"/>
                <w:szCs w:val="18"/>
                <w:lang w:eastAsia="zh-CN"/>
              </w:rPr>
            </w:pPr>
          </w:p>
        </w:tc>
      </w:tr>
      <w:tr>
        <w:trPr>
          <w:trHeight w:val="822" w:hRule="exact"/>
          <w:jc w:val="center"/>
        </w:trPr>
        <w:tc>
          <w:tcPr>
            <w:tcW w:w="112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电绝缘装置</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990" w:hRule="exact"/>
          <w:jc w:val="center"/>
        </w:trPr>
        <w:tc>
          <w:tcPr>
            <w:tcW w:w="112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8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阴极保护电源输出电流、电压检测</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849"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管道防腐涂层</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防腐涂层检测</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1441"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阀门的运行、维护</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center"/>
          </w:tcPr>
          <w:p>
            <w:pPr>
              <w:pStyle w:val="15"/>
              <w:numPr>
                <w:ilvl w:val="0"/>
                <w:numId w:val="47"/>
              </w:numPr>
              <w:tabs>
                <w:tab w:val="left" w:pos="20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不得有燃气泄漏、损坏等现象；阀门井内不得积水、塌陷，不得有妨碍阀门操作的堆积物；</w:t>
            </w:r>
          </w:p>
          <w:p>
            <w:pPr>
              <w:pStyle w:val="15"/>
              <w:numPr>
                <w:ilvl w:val="0"/>
                <w:numId w:val="47"/>
              </w:numPr>
              <w:tabs>
                <w:tab w:val="left" w:pos="20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应根据管网运行情况对阀门定期进行启闭操作和维护保养；</w:t>
            </w:r>
          </w:p>
          <w:p>
            <w:pPr>
              <w:pStyle w:val="15"/>
              <w:numPr>
                <w:ilvl w:val="0"/>
                <w:numId w:val="47"/>
              </w:numPr>
              <w:tabs>
                <w:tab w:val="left" w:pos="20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对无法启闭或关闭不严的阀门，应及时维修或更换</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993"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凝水缸运行、维护</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定期排放积水，排放时不得空放燃气。凝水缸护罩（或护井）、排水装置，不得有泄漏、腐蚀和堵塞的现象及妨碍排水作业的堆积物</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862"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波纹管调长器</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波纹管调长器接口应定期进行严密性及工作状态检查。调长器调节操作完成后应拧紧螺母，使</w:t>
            </w:r>
            <w:r>
              <w:rPr>
                <w:rFonts w:ascii="Times New Roman" w:hAnsi="Times New Roman" w:cs="Times New Roman"/>
                <w:color w:val="auto"/>
                <w:sz w:val="18"/>
                <w:szCs w:val="18"/>
              </w:rPr>
              <w:t xml:space="preserve"> </w:t>
            </w:r>
            <w:r>
              <w:rPr>
                <w:rFonts w:ascii="Times New Roman" w:cs="Times New Roman"/>
                <w:color w:val="auto"/>
                <w:sz w:val="18"/>
                <w:szCs w:val="18"/>
              </w:rPr>
              <w:t>拉杆处于受力状态</w:t>
            </w: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978" w:hRule="exact"/>
          <w:jc w:val="center"/>
        </w:trPr>
        <w:tc>
          <w:tcPr>
            <w:tcW w:w="112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其他检测</w:t>
            </w:r>
          </w:p>
        </w:tc>
        <w:tc>
          <w:tcPr>
            <w:tcW w:w="892" w:type="dxa"/>
            <w:shd w:val="clear" w:color="auto" w:fill="FFFFFF"/>
            <w:noWrap w:val="0"/>
            <w:vAlign w:val="top"/>
          </w:tcPr>
          <w:p>
            <w:pPr>
              <w:snapToGrid w:val="0"/>
              <w:rPr>
                <w:color w:val="auto"/>
                <w:sz w:val="18"/>
                <w:szCs w:val="18"/>
              </w:rPr>
            </w:pPr>
          </w:p>
        </w:tc>
        <w:tc>
          <w:tcPr>
            <w:tcW w:w="5414" w:type="dxa"/>
            <w:shd w:val="clear" w:color="auto" w:fill="FFFFFF"/>
            <w:noWrap w:val="0"/>
            <w:vAlign w:val="top"/>
          </w:tcPr>
          <w:p>
            <w:pPr>
              <w:snapToGrid w:val="0"/>
              <w:rPr>
                <w:color w:val="auto"/>
                <w:sz w:val="18"/>
                <w:szCs w:val="18"/>
              </w:rPr>
            </w:pPr>
          </w:p>
        </w:tc>
        <w:tc>
          <w:tcPr>
            <w:tcW w:w="1065" w:type="dxa"/>
            <w:shd w:val="clear" w:color="auto" w:fill="FFFFFF"/>
            <w:noWrap w:val="0"/>
            <w:vAlign w:val="top"/>
          </w:tcPr>
          <w:p>
            <w:pPr>
              <w:pStyle w:val="17"/>
              <w:snapToGrid w:val="0"/>
              <w:rPr>
                <w:rFonts w:ascii="Times New Roman" w:hAnsi="Times New Roman" w:cs="Times New Roman"/>
                <w:color w:val="auto"/>
                <w:sz w:val="18"/>
                <w:szCs w:val="18"/>
              </w:rPr>
            </w:pPr>
          </w:p>
        </w:tc>
        <w:tc>
          <w:tcPr>
            <w:tcW w:w="949" w:type="dxa"/>
            <w:shd w:val="clear" w:color="auto" w:fill="FFFFFF"/>
            <w:noWrap w:val="0"/>
            <w:vAlign w:val="top"/>
          </w:tcPr>
          <w:p>
            <w:pPr>
              <w:pStyle w:val="17"/>
              <w:snapToGrid w:val="0"/>
              <w:rPr>
                <w:rFonts w:ascii="Times New Roman" w:hAnsi="Times New Roman" w:cs="Times New Roman"/>
                <w:color w:val="auto"/>
                <w:sz w:val="18"/>
                <w:szCs w:val="18"/>
              </w:rPr>
            </w:pPr>
          </w:p>
        </w:tc>
      </w:tr>
      <w:tr>
        <w:trPr>
          <w:trHeight w:val="614" w:hRule="exact"/>
          <w:jc w:val="center"/>
        </w:trPr>
        <w:tc>
          <w:tcPr>
            <w:tcW w:w="2017"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检查人员</w:t>
            </w:r>
          </w:p>
        </w:tc>
        <w:tc>
          <w:tcPr>
            <w:tcW w:w="5414" w:type="dxa"/>
            <w:shd w:val="clear" w:color="auto" w:fill="FFFFFF"/>
            <w:noWrap w:val="0"/>
            <w:vAlign w:val="center"/>
          </w:tcPr>
          <w:p>
            <w:pPr>
              <w:snapToGrid w:val="0"/>
              <w:jc w:val="both"/>
              <w:rPr>
                <w:color w:val="auto"/>
                <w:sz w:val="18"/>
                <w:szCs w:val="18"/>
              </w:rPr>
            </w:pPr>
          </w:p>
        </w:tc>
        <w:tc>
          <w:tcPr>
            <w:tcW w:w="2014"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本记录表为建议表格，使用单位可根据本单位实际情况或须检测的内容重新制定表格。</w:t>
      </w:r>
    </w:p>
    <w:p>
      <w:pPr>
        <w:pStyle w:val="14"/>
        <w:snapToGrid w:val="0"/>
        <w:spacing w:line="240" w:lineRule="auto"/>
        <w:ind w:firstLine="360" w:firstLineChars="200"/>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2.</w:t>
      </w:r>
      <w:r>
        <w:rPr>
          <w:rFonts w:ascii="Times New Roman" w:cs="Times New Roman"/>
          <w:color w:val="auto"/>
          <w:sz w:val="18"/>
          <w:szCs w:val="18"/>
        </w:rPr>
        <w:t>检测项目和内容可根据使用单位实际情况作出调整。</w:t>
      </w:r>
    </w:p>
    <w:p>
      <w:pPr>
        <w:snapToGrid w:val="0"/>
        <w:rPr>
          <w:rFonts w:eastAsia="宋体"/>
          <w:color w:val="auto"/>
          <w:sz w:val="18"/>
          <w:szCs w:val="18"/>
          <w:lang w:eastAsia="zh-CN"/>
        </w:rPr>
        <w:sectPr>
          <w:pgSz w:w="11900" w:h="16840"/>
          <w:pgMar w:top="1134" w:right="1134" w:bottom="1134" w:left="1134" w:header="0" w:footer="986" w:gutter="0"/>
          <w:cols w:space="720" w:num="1"/>
          <w:docGrid w:linePitch="360" w:charSpace="0"/>
        </w:sectPr>
      </w:pPr>
    </w:p>
    <w:p>
      <w:pPr>
        <w:snapToGrid w:val="0"/>
        <w:jc w:val="center"/>
        <w:rPr>
          <w:rFonts w:eastAsia="黑体"/>
          <w:b/>
          <w:color w:val="auto"/>
          <w:sz w:val="21"/>
          <w:szCs w:val="21"/>
          <w:lang w:eastAsia="zh-CN"/>
        </w:rPr>
      </w:pPr>
      <w:r>
        <w:rPr>
          <w:rFonts w:hAnsi="黑体" w:eastAsia="黑体"/>
          <w:b/>
          <w:color w:val="auto"/>
          <w:sz w:val="21"/>
          <w:szCs w:val="21"/>
          <w:lang w:eastAsia="zh-CN"/>
        </w:rPr>
        <w:t>表</w:t>
      </w:r>
      <w:r>
        <w:rPr>
          <w:rFonts w:eastAsia="黑体"/>
          <w:b/>
          <w:color w:val="auto"/>
          <w:sz w:val="21"/>
          <w:szCs w:val="21"/>
          <w:lang w:eastAsia="zh-CN"/>
        </w:rPr>
        <w:t xml:space="preserve">B.9  </w:t>
      </w:r>
      <w:r>
        <w:rPr>
          <w:rFonts w:hAnsi="黑体" w:eastAsia="黑体"/>
          <w:b/>
          <w:color w:val="auto"/>
          <w:sz w:val="21"/>
          <w:szCs w:val="21"/>
          <w:lang w:eastAsia="zh-CN"/>
        </w:rPr>
        <w:t>特种设备隐患排查清单</w:t>
      </w:r>
      <w:r>
        <w:rPr>
          <w:rFonts w:eastAsia="黑体"/>
          <w:b/>
          <w:color w:val="auto"/>
          <w:sz w:val="21"/>
          <w:szCs w:val="21"/>
          <w:lang w:eastAsia="zh-CN"/>
        </w:rPr>
        <w:t>——</w:t>
      </w:r>
      <w:r>
        <w:rPr>
          <w:rFonts w:hAnsi="黑体" w:eastAsia="黑体"/>
          <w:b/>
          <w:color w:val="auto"/>
          <w:sz w:val="21"/>
          <w:szCs w:val="21"/>
          <w:lang w:eastAsia="zh-CN"/>
        </w:rPr>
        <w:t>长输管道专项要求</w:t>
      </w:r>
    </w:p>
    <w:p>
      <w:pPr>
        <w:snapToGrid w:val="0"/>
        <w:rPr>
          <w:rFonts w:eastAsia="宋体"/>
          <w:color w:val="auto"/>
          <w:sz w:val="18"/>
          <w:szCs w:val="18"/>
          <w:lang w:eastAsia="zh-CN"/>
        </w:rPr>
      </w:pPr>
    </w:p>
    <w:tbl>
      <w:tblPr>
        <w:tblStyle w:val="8"/>
        <w:tblW w:w="14616"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57"/>
        <w:gridCol w:w="955"/>
        <w:gridCol w:w="955"/>
        <w:gridCol w:w="887"/>
        <w:gridCol w:w="1569"/>
        <w:gridCol w:w="994"/>
        <w:gridCol w:w="8399"/>
      </w:tblGrid>
      <w:tr>
        <w:trPr>
          <w:trHeight w:val="339" w:hRule="atLeast"/>
        </w:trPr>
        <w:tc>
          <w:tcPr>
            <w:tcW w:w="85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排查内容</w:t>
            </w:r>
            <w:r>
              <w:rPr>
                <w:rFonts w:ascii="Times New Roman" w:hAnsi="Times New Roman" w:eastAsia="黑体" w:cs="Times New Roman"/>
                <w:b/>
                <w:color w:val="auto"/>
                <w:sz w:val="18"/>
                <w:szCs w:val="18"/>
                <w:lang w:eastAsia="zh-CN"/>
              </w:rPr>
              <w:t>(</w:t>
            </w:r>
            <w:r>
              <w:rPr>
                <w:rFonts w:ascii="Times New Roman" w:hAnsi="黑体" w:eastAsia="黑体" w:cs="Times New Roman"/>
                <w:b/>
                <w:color w:val="auto"/>
                <w:sz w:val="18"/>
                <w:szCs w:val="18"/>
                <w:lang w:eastAsia="zh-CN"/>
              </w:rPr>
              <w:t>途径</w:t>
            </w:r>
            <w:r>
              <w:rPr>
                <w:rFonts w:ascii="Times New Roman" w:hAnsi="Times New Roman" w:eastAsia="黑体" w:cs="Times New Roman"/>
                <w:b/>
                <w:color w:val="auto"/>
                <w:sz w:val="18"/>
                <w:szCs w:val="18"/>
                <w:lang w:eastAsia="zh-CN"/>
              </w:rPr>
              <w:t>)</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实施单位</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排查人</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排查时间</w:t>
            </w:r>
          </w:p>
        </w:tc>
        <w:tc>
          <w:tcPr>
            <w:tcW w:w="256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黑体" w:eastAsia="黑体" w:cs="Times New Roman"/>
                <w:b/>
                <w:color w:val="auto"/>
                <w:sz w:val="18"/>
                <w:szCs w:val="18"/>
                <w:lang w:val="en-US" w:eastAsia="zh-CN" w:bidi="en-US"/>
              </w:rPr>
              <w:t>排查依据</w:t>
            </w:r>
          </w:p>
        </w:tc>
        <w:tc>
          <w:tcPr>
            <w:tcW w:w="839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排查要求</w:t>
            </w:r>
          </w:p>
        </w:tc>
      </w:tr>
      <w:tr>
        <w:trPr>
          <w:trHeight w:val="292" w:hRule="exact"/>
        </w:trPr>
        <w:tc>
          <w:tcPr>
            <w:tcW w:w="85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156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法规标准</w:t>
            </w:r>
          </w:p>
        </w:tc>
        <w:tc>
          <w:tcPr>
            <w:tcW w:w="99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适用条款</w:t>
            </w:r>
          </w:p>
        </w:tc>
        <w:tc>
          <w:tcPr>
            <w:tcW w:w="8399"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428" w:hRule="exact"/>
        </w:trPr>
        <w:tc>
          <w:tcPr>
            <w:tcW w:w="85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经常性维护保养</w:t>
            </w:r>
          </w:p>
        </w:tc>
        <w:tc>
          <w:tcPr>
            <w:tcW w:w="95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w:t>
            </w:r>
          </w:p>
        </w:tc>
        <w:tc>
          <w:tcPr>
            <w:tcW w:w="95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有资质的单位或人员</w:t>
            </w:r>
          </w:p>
        </w:tc>
        <w:tc>
          <w:tcPr>
            <w:tcW w:w="88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使用单位自定</w:t>
            </w:r>
          </w:p>
        </w:tc>
        <w:tc>
          <w:tcPr>
            <w:tcW w:w="156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特种设备安全监察条例</w:t>
            </w:r>
          </w:p>
        </w:tc>
        <w:tc>
          <w:tcPr>
            <w:tcW w:w="994" w:type="dxa"/>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第二十七条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特种设备使用单位应当对在用特种设备进行经常性日常维护保养，并定期自行检查。</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特种设备使用单位对在用特种设备应当至少每月进行一次自行检查</w:t>
            </w:r>
            <w:r>
              <w:rPr>
                <w:rFonts w:ascii="Times New Roman" w:hAnsi="Times New Roman" w:cs="Times New Roman"/>
                <w:color w:val="auto"/>
                <w:sz w:val="18"/>
                <w:szCs w:val="18"/>
              </w:rPr>
              <w:t>,</w:t>
            </w:r>
            <w:r>
              <w:rPr>
                <w:rFonts w:ascii="Times New Roman" w:cs="Times New Roman"/>
                <w:color w:val="auto"/>
                <w:sz w:val="18"/>
                <w:szCs w:val="18"/>
              </w:rPr>
              <w:t>并作出记录。特种设备使用单位在对在用特种设备进行自行检查和日常维护保养时发现异常情况的，应当及时处理。</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特种设备使用单位应当对在用特种设备的安全附件、安全保护装置、测量调控装置及有关附属仪器仪表进行定期校验、检修，并作出记录。</w:t>
            </w:r>
          </w:p>
        </w:tc>
      </w:tr>
      <w:tr>
        <w:trPr>
          <w:trHeight w:val="851" w:hRule="exact"/>
        </w:trPr>
        <w:tc>
          <w:tcPr>
            <w:tcW w:w="85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年度检查</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使用单位或委托有资质的检验机构</w:t>
            </w:r>
          </w:p>
        </w:tc>
        <w:tc>
          <w:tcPr>
            <w:tcW w:w="95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管道作业人员或有资格的检验人员</w:t>
            </w:r>
          </w:p>
        </w:tc>
        <w:tc>
          <w:tcPr>
            <w:tcW w:w="88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每年一次</w:t>
            </w:r>
          </w:p>
        </w:tc>
        <w:tc>
          <w:tcPr>
            <w:tcW w:w="156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压力管道定期检验规则</w:t>
            </w:r>
            <w:r>
              <w:rPr>
                <w:rFonts w:ascii="Times New Roman" w:hAnsi="Times New Roman" w:cs="Times New Roman"/>
                <w:color w:val="auto"/>
                <w:sz w:val="18"/>
                <w:szCs w:val="18"/>
              </w:rPr>
              <w:t>——</w:t>
            </w:r>
            <w:r>
              <w:rPr>
                <w:rFonts w:ascii="Times New Roman" w:cs="Times New Roman"/>
                <w:color w:val="auto"/>
                <w:sz w:val="18"/>
                <w:szCs w:val="18"/>
                <w:lang w:eastAsia="zh-CN"/>
              </w:rPr>
              <w:t>长输（油气）</w:t>
            </w:r>
            <w:r>
              <w:rPr>
                <w:rFonts w:ascii="Times New Roman" w:cs="Times New Roman"/>
                <w:color w:val="auto"/>
                <w:sz w:val="18"/>
                <w:szCs w:val="18"/>
              </w:rPr>
              <w:t>管道</w:t>
            </w: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w:t>
            </w:r>
            <w:r>
              <w:rPr>
                <w:rFonts w:ascii="Times New Roman" w:hAnsi="Times New Roman" w:cs="Times New Roman"/>
                <w:color w:val="auto"/>
                <w:sz w:val="18"/>
                <w:szCs w:val="18"/>
                <w:lang w:val="en-US" w:eastAsia="zh-CN" w:bidi="en-US"/>
              </w:rPr>
              <w:t>3</w:t>
            </w:r>
            <w:r>
              <w:rPr>
                <w:rFonts w:ascii="Times New Roman" w:hAnsi="Times New Roman" w:eastAsia="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2010</w:t>
            </w:r>
            <w:r>
              <w:rPr>
                <w:rFonts w:ascii="Times New Roman" w:cs="Times New Roman"/>
                <w:color w:val="auto"/>
                <w:sz w:val="18"/>
                <w:szCs w:val="18"/>
              </w:rPr>
              <w:t>）</w:t>
            </w:r>
          </w:p>
        </w:tc>
        <w:tc>
          <w:tcPr>
            <w:tcW w:w="994" w:type="dxa"/>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第十一条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检验人员应当在全面了解被检管道的使用情况、管理情况，并且认真调阅管道技术资料和管理资料的基础上，对管道运行记录、管道隐患监护措施实施情况记录、管道改造施工记录、检修报告、管道故障处理记录进行审查，记录审查情况。</w:t>
            </w:r>
          </w:p>
        </w:tc>
      </w:tr>
      <w:tr>
        <w:trPr>
          <w:trHeight w:val="3258" w:hRule="atLeast"/>
        </w:trPr>
        <w:tc>
          <w:tcPr>
            <w:tcW w:w="85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shd w:val="clear" w:color="auto" w:fill="FFFFFF"/>
            <w:noWrap w:val="0"/>
            <w:vAlign w:val="top"/>
          </w:tcPr>
          <w:p>
            <w:pPr>
              <w:snapToGrid w:val="0"/>
              <w:rPr>
                <w:color w:val="auto"/>
                <w:sz w:val="18"/>
                <w:szCs w:val="18"/>
                <w:lang w:eastAsia="zh-CN"/>
              </w:rPr>
            </w:pPr>
          </w:p>
        </w:tc>
        <w:tc>
          <w:tcPr>
            <w:tcW w:w="955" w:type="dxa"/>
            <w:vMerge w:val="continue"/>
            <w:shd w:val="clear" w:color="auto" w:fill="FFFFFF"/>
            <w:noWrap w:val="0"/>
            <w:vAlign w:val="center"/>
          </w:tcPr>
          <w:p>
            <w:pPr>
              <w:snapToGrid w:val="0"/>
              <w:rPr>
                <w:color w:val="auto"/>
                <w:sz w:val="18"/>
                <w:szCs w:val="18"/>
                <w:lang w:eastAsia="zh-CN"/>
              </w:rPr>
            </w:pPr>
          </w:p>
        </w:tc>
        <w:tc>
          <w:tcPr>
            <w:tcW w:w="887" w:type="dxa"/>
            <w:vMerge w:val="continue"/>
            <w:shd w:val="clear" w:color="auto" w:fill="FFFFFF"/>
            <w:noWrap w:val="0"/>
            <w:vAlign w:val="center"/>
          </w:tcPr>
          <w:p>
            <w:pPr>
              <w:snapToGrid w:val="0"/>
              <w:rPr>
                <w:color w:val="auto"/>
                <w:sz w:val="18"/>
                <w:szCs w:val="18"/>
                <w:lang w:eastAsia="zh-CN"/>
              </w:rPr>
            </w:pPr>
          </w:p>
        </w:tc>
        <w:tc>
          <w:tcPr>
            <w:tcW w:w="1569" w:type="dxa"/>
            <w:vMerge w:val="continue"/>
            <w:shd w:val="clear" w:color="auto" w:fill="FFFFFF"/>
            <w:noWrap w:val="0"/>
            <w:vAlign w:val="center"/>
          </w:tcPr>
          <w:p>
            <w:pPr>
              <w:pStyle w:val="15"/>
              <w:snapToGrid w:val="0"/>
              <w:rPr>
                <w:rFonts w:ascii="Times New Roman" w:hAnsi="Times New Roman" w:cs="Times New Roman"/>
                <w:color w:val="auto"/>
                <w:sz w:val="18"/>
                <w:szCs w:val="18"/>
                <w:lang w:eastAsia="zh-CN"/>
              </w:rPr>
            </w:pPr>
          </w:p>
        </w:tc>
        <w:tc>
          <w:tcPr>
            <w:tcW w:w="994" w:type="dxa"/>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第十二条</w:t>
            </w:r>
          </w:p>
        </w:tc>
        <w:tc>
          <w:tcPr>
            <w:tcW w:w="8399"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根据审查的数据进行综合评价，确定事故容易发生的位置以及发生事故造成严重后果的位置，并且重点对下列管道进行检查：</w:t>
            </w:r>
          </w:p>
          <w:p>
            <w:pPr>
              <w:pStyle w:val="15"/>
              <w:tabs>
                <w:tab w:val="left" w:pos="413"/>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（一）穿跨越管道；</w:t>
            </w:r>
          </w:p>
          <w:p>
            <w:pPr>
              <w:pStyle w:val="15"/>
              <w:tabs>
                <w:tab w:val="left" w:pos="408"/>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（二）管道出土、入土点，管道阀室、分输点，管道敷设时位置较低点；</w:t>
            </w:r>
          </w:p>
          <w:p>
            <w:pPr>
              <w:pStyle w:val="15"/>
              <w:tabs>
                <w:tab w:val="left" w:pos="403"/>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（三）后果严重区内的管道；</w:t>
            </w:r>
          </w:p>
          <w:p>
            <w:pPr>
              <w:pStyle w:val="15"/>
              <w:tabs>
                <w:tab w:val="left" w:pos="41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（四）工作条件苛刻以及承受交变载荷的管道，如原油热泵站、成品油与天然气加压站等进口处的管道；</w:t>
            </w:r>
          </w:p>
          <w:p>
            <w:pPr>
              <w:pStyle w:val="15"/>
              <w:tabs>
                <w:tab w:val="left" w:pos="408"/>
              </w:tabs>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（五）曾经发生过泄漏以及抢险抢修过的管道，地质灾害发生比较频繁地区的管道。</w:t>
            </w:r>
          </w:p>
        </w:tc>
      </w:tr>
      <w:tr>
        <w:trPr>
          <w:trHeight w:val="1096" w:hRule="exact"/>
        </w:trPr>
        <w:tc>
          <w:tcPr>
            <w:tcW w:w="857" w:type="dxa"/>
            <w:vMerge w:val="continue"/>
            <w:tcBorders>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tcBorders>
              <w:bottom w:val="single" w:color="auto" w:sz="4" w:space="0"/>
            </w:tcBorders>
            <w:shd w:val="clear" w:color="auto" w:fill="FFFFFF"/>
            <w:noWrap w:val="0"/>
            <w:vAlign w:val="top"/>
          </w:tcPr>
          <w:p>
            <w:pPr>
              <w:pStyle w:val="15"/>
              <w:snapToGrid w:val="0"/>
              <w:spacing w:line="240" w:lineRule="auto"/>
              <w:jc w:val="center"/>
              <w:rPr>
                <w:rFonts w:ascii="Times New Roman" w:hAnsi="Times New Roman" w:cs="Times New Roman"/>
                <w:color w:val="auto"/>
                <w:sz w:val="18"/>
                <w:szCs w:val="18"/>
              </w:rPr>
            </w:pPr>
          </w:p>
        </w:tc>
        <w:tc>
          <w:tcPr>
            <w:tcW w:w="955" w:type="dxa"/>
            <w:vMerge w:val="continue"/>
            <w:tcBorders>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87" w:type="dxa"/>
            <w:vMerge w:val="continue"/>
            <w:tcBorders>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569" w:type="dxa"/>
            <w:vMerge w:val="continue"/>
            <w:shd w:val="clear" w:color="auto" w:fill="FFFFFF"/>
            <w:noWrap w:val="0"/>
            <w:vAlign w:val="center"/>
          </w:tcPr>
          <w:p>
            <w:pPr>
              <w:pStyle w:val="15"/>
              <w:snapToGrid w:val="0"/>
              <w:rPr>
                <w:rFonts w:ascii="Times New Roman" w:hAnsi="Times New Roman" w:cs="Times New Roman"/>
                <w:color w:val="auto"/>
                <w:sz w:val="18"/>
                <w:szCs w:val="18"/>
                <w:lang w:eastAsia="zh-CN"/>
              </w:rPr>
            </w:pPr>
          </w:p>
        </w:tc>
        <w:tc>
          <w:tcPr>
            <w:tcW w:w="994" w:type="dxa"/>
            <w:tcBorders>
              <w:bottom w:val="single" w:color="auto" w:sz="4" w:space="0"/>
            </w:tcBorders>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第十三条</w:t>
            </w:r>
          </w:p>
        </w:tc>
        <w:tc>
          <w:tcPr>
            <w:tcW w:w="8399" w:type="dxa"/>
            <w:tcBorders>
              <w:bottom w:val="single" w:color="auto" w:sz="4" w:space="0"/>
            </w:tcBorders>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年度检查的内容除</w:t>
            </w:r>
            <w:r>
              <w:rPr>
                <w:rFonts w:ascii="Times New Roman" w:hAnsi="Times New Roman" w:eastAsia="Times New Roman" w:cs="Times New Roman"/>
                <w:color w:val="auto"/>
                <w:sz w:val="18"/>
                <w:szCs w:val="18"/>
                <w:lang w:val="en-US" w:eastAsia="zh-CN" w:bidi="en-US"/>
              </w:rPr>
              <w:t>TSG D7003-2010</w:t>
            </w:r>
            <w:r>
              <w:rPr>
                <w:rFonts w:ascii="Times New Roman" w:cs="Times New Roman"/>
                <w:color w:val="auto"/>
                <w:sz w:val="18"/>
                <w:szCs w:val="18"/>
              </w:rPr>
              <w:t>中第十一条的要求外，还应当包括宏观检查、防腐保温层检查、电性能测试、阴极保护系统测试、地质条件调查、安全保护装置检验。年度检查以宏观检查和安全保护装置检验为主，必要时进行腐蚀防护系统检查，其他项目可结合日常巡线进行。</w:t>
            </w:r>
          </w:p>
        </w:tc>
      </w:tr>
      <w:tr>
        <w:trPr>
          <w:trHeight w:val="1258" w:hRule="exact"/>
        </w:trPr>
        <w:tc>
          <w:tcPr>
            <w:tcW w:w="857"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全面检验</w:t>
            </w:r>
          </w:p>
        </w:tc>
        <w:tc>
          <w:tcPr>
            <w:tcW w:w="955"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检验机构</w:t>
            </w:r>
          </w:p>
        </w:tc>
        <w:tc>
          <w:tcPr>
            <w:tcW w:w="955"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有资格的检验人员</w:t>
            </w:r>
          </w:p>
        </w:tc>
        <w:tc>
          <w:tcPr>
            <w:tcW w:w="887"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按上次</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报告</w:t>
            </w:r>
          </w:p>
        </w:tc>
        <w:tc>
          <w:tcPr>
            <w:tcW w:w="1569" w:type="dxa"/>
            <w:vMerge w:val="continue"/>
            <w:tcBorders>
              <w:bottom w:val="single" w:color="auto" w:sz="12"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4" w:type="dxa"/>
            <w:tcBorders>
              <w:top w:val="single" w:color="auto" w:sz="4" w:space="0"/>
              <w:bottom w:val="single" w:color="auto" w:sz="12" w:space="0"/>
            </w:tcBorders>
            <w:shd w:val="clear" w:color="auto" w:fill="FFFFFF"/>
            <w:noWrap w:val="0"/>
            <w:vAlign w:val="center"/>
          </w:tcPr>
          <w:p>
            <w:pPr>
              <w:snapToGrid w:val="0"/>
              <w:jc w:val="center"/>
              <w:rPr>
                <w:rFonts w:eastAsia="宋体"/>
                <w:color w:val="auto"/>
                <w:sz w:val="18"/>
                <w:szCs w:val="18"/>
                <w:lang w:val="zh-TW" w:eastAsia="zh-TW" w:bidi="zh-TW"/>
              </w:rPr>
            </w:pPr>
            <w:r>
              <w:rPr>
                <w:rFonts w:hAnsi="宋体" w:eastAsia="宋体"/>
                <w:color w:val="auto"/>
                <w:sz w:val="18"/>
                <w:szCs w:val="18"/>
                <w:lang w:val="zh-TW" w:eastAsia="zh-TW" w:bidi="zh-TW"/>
              </w:rPr>
              <w:t>第三章</w:t>
            </w:r>
          </w:p>
        </w:tc>
        <w:tc>
          <w:tcPr>
            <w:tcW w:w="8399" w:type="dxa"/>
            <w:tcBorders>
              <w:top w:val="single" w:color="auto" w:sz="4" w:space="0"/>
              <w:bottom w:val="single" w:color="auto" w:sz="12" w:space="0"/>
            </w:tcBorders>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w:t>
            </w:r>
            <w:r>
              <w:rPr>
                <w:rFonts w:ascii="Times New Roman" w:hAnsi="Times New Roman" w:cs="Times New Roman"/>
                <w:color w:val="auto"/>
                <w:sz w:val="18"/>
                <w:szCs w:val="18"/>
                <w:lang w:val="en-US" w:eastAsia="zh-CN" w:bidi="en-US"/>
              </w:rPr>
              <w:t>3</w:t>
            </w:r>
            <w:r>
              <w:rPr>
                <w:rFonts w:ascii="Times New Roman" w:hAnsi="Times New Roman" w:eastAsia="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2010</w:t>
            </w:r>
            <w:r>
              <w:rPr>
                <w:rFonts w:ascii="Times New Roman" w:cs="Times New Roman"/>
                <w:color w:val="auto"/>
                <w:sz w:val="18"/>
                <w:szCs w:val="18"/>
              </w:rPr>
              <w:t>执行。</w:t>
            </w:r>
          </w:p>
        </w:tc>
      </w:tr>
    </w:tbl>
    <w:p>
      <w:pPr>
        <w:snapToGrid w:val="0"/>
        <w:rPr>
          <w:rFonts w:eastAsia="宋体"/>
          <w:color w:val="auto"/>
          <w:sz w:val="18"/>
          <w:szCs w:val="18"/>
          <w:lang w:eastAsia="zh-CN"/>
        </w:rPr>
        <w:sectPr>
          <w:headerReference r:id="rId22" w:type="default"/>
          <w:headerReference r:id="rId23" w:type="even"/>
          <w:pgSz w:w="16840" w:h="11900" w:orient="landscape"/>
          <w:pgMar w:top="1134" w:right="1134" w:bottom="1134" w:left="1134" w:header="0" w:footer="986" w:gutter="0"/>
          <w:cols w:space="720" w:num="1"/>
          <w:docGrid w:linePitch="360" w:charSpace="0"/>
        </w:sectPr>
      </w:pPr>
    </w:p>
    <w:p>
      <w:pPr>
        <w:pStyle w:val="14"/>
        <w:snapToGrid w:val="0"/>
        <w:spacing w:before="156" w:beforeLines="50" w:after="156"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rPr>
        <w:t xml:space="preserve">1  </w:t>
      </w:r>
      <w:r>
        <w:rPr>
          <w:rFonts w:ascii="Times New Roman" w:hAnsi="黑体" w:eastAsia="黑体" w:cs="Times New Roman"/>
          <w:b/>
          <w:color w:val="auto"/>
          <w:sz w:val="21"/>
          <w:szCs w:val="21"/>
          <w:lang w:eastAsia="zh-CN"/>
        </w:rPr>
        <w:t>长输管道经常性维护保养</w:t>
      </w:r>
      <w:r>
        <w:rPr>
          <w:rFonts w:ascii="Times New Roman" w:hAnsi="黑体" w:eastAsia="黑体" w:cs="Times New Roman"/>
          <w:b/>
          <w:color w:val="auto"/>
          <w:sz w:val="21"/>
          <w:szCs w:val="21"/>
        </w:rPr>
        <w:t>记录表格式</w:t>
      </w:r>
    </w:p>
    <w:tbl>
      <w:tblPr>
        <w:tblStyle w:val="8"/>
        <w:tblpPr/>
        <w:tblOverlap w:val="never"/>
        <w:tblW w:w="9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89"/>
        <w:gridCol w:w="539"/>
        <w:gridCol w:w="4024"/>
        <w:gridCol w:w="1134"/>
        <w:gridCol w:w="2270"/>
      </w:tblGrid>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管线号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lang w:eastAsia="zh-CN"/>
              </w:rPr>
              <w:t>注册</w:t>
            </w:r>
            <w:r>
              <w:rPr>
                <w:rFonts w:ascii="Times New Roman" w:hAnsi="黑体" w:eastAsia="黑体" w:cs="Times New Roman"/>
                <w:b/>
                <w:color w:val="auto"/>
                <w:sz w:val="18"/>
                <w:szCs w:val="18"/>
              </w:rPr>
              <w:t>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项目</w:t>
            </w:r>
          </w:p>
        </w:tc>
        <w:tc>
          <w:tcPr>
            <w:tcW w:w="53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桩号</w:t>
            </w:r>
          </w:p>
        </w:tc>
        <w:tc>
          <w:tcPr>
            <w:tcW w:w="402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w:t>
            </w:r>
            <w:r>
              <w:rPr>
                <w:rFonts w:ascii="Times New Roman" w:hAnsi="黑体" w:eastAsia="黑体" w:cs="Times New Roman"/>
                <w:b/>
                <w:color w:val="auto"/>
                <w:sz w:val="18"/>
                <w:szCs w:val="18"/>
                <w:lang w:eastAsia="zh-CN"/>
              </w:rPr>
              <w:t>查</w:t>
            </w:r>
            <w:r>
              <w:rPr>
                <w:rFonts w:ascii="Times New Roman" w:hAnsi="黑体" w:eastAsia="黑体" w:cs="Times New Roman"/>
                <w:b/>
                <w:color w:val="auto"/>
                <w:sz w:val="18"/>
                <w:szCs w:val="18"/>
              </w:rPr>
              <w:t>内容</w:t>
            </w: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227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454" w:hRule="exact"/>
          <w:jc w:val="center"/>
        </w:trPr>
        <w:tc>
          <w:tcPr>
            <w:tcW w:w="1594"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安全距离</w:t>
            </w:r>
          </w:p>
        </w:tc>
        <w:tc>
          <w:tcPr>
            <w:tcW w:w="53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种植乔木、灌木、藤类、芦苇、竹子等深根植物</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600"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取土、采石、用火、堆放重物、排放腐蚀性物质、使用机械工具进行挖掘施工</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64"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挖塘、修渠、修晒场、修建水产养殖场、建温室、建家畜棚圈、建房以及修建其他建筑物、构筑物</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60"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居民小区、学校、医院、娱乐场所、车站、商场等人口密集的建筑物</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38"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变电站、加油站、加气站、储油罐、储气罐等易燃</w:t>
            </w:r>
            <w:r>
              <w:rPr>
                <w:rFonts w:ascii="Times New Roman" w:hAnsi="Times New Roman" w:cs="Times New Roman"/>
                <w:color w:val="auto"/>
                <w:sz w:val="18"/>
                <w:szCs w:val="18"/>
              </w:rPr>
              <w:t xml:space="preserve"> </w:t>
            </w:r>
            <w:r>
              <w:rPr>
                <w:rFonts w:ascii="Times New Roman" w:cs="Times New Roman"/>
                <w:color w:val="auto"/>
                <w:sz w:val="18"/>
                <w:szCs w:val="18"/>
              </w:rPr>
              <w:t>易爆物品的生产、经营、存储场所</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715"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在穿越河流的管道线路中心线两侧各</w:t>
            </w:r>
            <w:r>
              <w:rPr>
                <w:rFonts w:ascii="Times New Roman" w:hAnsi="Times New Roman" w:eastAsia="Times New Roman" w:cs="Times New Roman"/>
                <w:color w:val="auto"/>
                <w:sz w:val="18"/>
                <w:szCs w:val="18"/>
              </w:rPr>
              <w:t xml:space="preserve">500 </w:t>
            </w:r>
            <w:r>
              <w:rPr>
                <w:rFonts w:ascii="Times New Roman" w:hAnsi="Times New Roman" w:eastAsia="Times New Roman" w:cs="Times New Roman"/>
                <w:color w:val="auto"/>
                <w:sz w:val="18"/>
                <w:szCs w:val="18"/>
                <w:lang w:val="en-US" w:eastAsia="zh-CN" w:bidi="en-US"/>
              </w:rPr>
              <w:t>m</w:t>
            </w:r>
            <w:r>
              <w:rPr>
                <w:rFonts w:ascii="Times New Roman" w:cs="Times New Roman"/>
                <w:color w:val="auto"/>
                <w:sz w:val="18"/>
                <w:szCs w:val="18"/>
              </w:rPr>
              <w:t>地</w:t>
            </w:r>
            <w:r>
              <w:rPr>
                <w:rFonts w:ascii="Times New Roman" w:hAnsi="Times New Roman" w:cs="Times New Roman"/>
                <w:color w:val="auto"/>
                <w:sz w:val="18"/>
                <w:szCs w:val="18"/>
              </w:rPr>
              <w:t xml:space="preserve"> </w:t>
            </w:r>
            <w:r>
              <w:rPr>
                <w:rFonts w:ascii="Times New Roman" w:cs="Times New Roman"/>
                <w:color w:val="auto"/>
                <w:sz w:val="18"/>
                <w:szCs w:val="18"/>
              </w:rPr>
              <w:t>域范围内，禁止抛锚、拖锚、挖砂、挖泥、采石、水</w:t>
            </w:r>
            <w:r>
              <w:rPr>
                <w:rFonts w:ascii="Times New Roman" w:hAnsi="Times New Roman" w:cs="Times New Roman"/>
                <w:color w:val="auto"/>
                <w:sz w:val="18"/>
                <w:szCs w:val="18"/>
              </w:rPr>
              <w:t xml:space="preserve"> </w:t>
            </w:r>
            <w:r>
              <w:rPr>
                <w:rFonts w:ascii="Times New Roman" w:cs="Times New Roman"/>
                <w:color w:val="auto"/>
                <w:sz w:val="18"/>
                <w:szCs w:val="18"/>
              </w:rPr>
              <w:t>下爆破</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853"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在管道专用隧道中心线两侧各</w:t>
            </w:r>
            <w:r>
              <w:rPr>
                <w:rFonts w:ascii="Times New Roman" w:hAnsi="Times New Roman" w:eastAsia="Times New Roman" w:cs="Times New Roman"/>
                <w:color w:val="auto"/>
                <w:sz w:val="18"/>
                <w:szCs w:val="18"/>
              </w:rPr>
              <w:t>1</w:t>
            </w:r>
            <w:r>
              <w:rPr>
                <w:rFonts w:ascii="Times New Roman" w:hAnsi="Times New Roman" w:eastAsia="Times New Roman" w:cs="Times New Roman"/>
                <w:color w:val="auto"/>
                <w:sz w:val="18"/>
                <w:szCs w:val="18"/>
                <w:lang w:val="en-US" w:eastAsia="zh-CN" w:bidi="en-US"/>
              </w:rPr>
              <w:t>000 m</w:t>
            </w:r>
            <w:r>
              <w:rPr>
                <w:rFonts w:ascii="Times New Roman" w:cs="Times New Roman"/>
                <w:color w:val="auto"/>
                <w:sz w:val="18"/>
                <w:szCs w:val="18"/>
              </w:rPr>
              <w:t>地域范围内，除《石油天然气管道保护法》第二款规定的情</w:t>
            </w:r>
            <w:r>
              <w:rPr>
                <w:rFonts w:ascii="Times New Roman" w:hAnsi="Times New Roman" w:cs="Times New Roman"/>
                <w:color w:val="auto"/>
                <w:sz w:val="18"/>
                <w:szCs w:val="18"/>
              </w:rPr>
              <w:t xml:space="preserve"> </w:t>
            </w:r>
            <w:r>
              <w:rPr>
                <w:rFonts w:ascii="Times New Roman" w:cs="Times New Roman"/>
                <w:color w:val="auto"/>
                <w:sz w:val="18"/>
                <w:szCs w:val="18"/>
              </w:rPr>
              <w:t>形外，禁止采石、采矿、爆破</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709"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管道附属设施的上方架设电力线路、通信线路或</w:t>
            </w:r>
            <w:r>
              <w:rPr>
                <w:rFonts w:ascii="Times New Roman" w:hAnsi="Times New Roman" w:cs="Times New Roman"/>
                <w:color w:val="auto"/>
                <w:sz w:val="18"/>
                <w:szCs w:val="18"/>
              </w:rPr>
              <w:t xml:space="preserve"> </w:t>
            </w:r>
            <w:r>
              <w:rPr>
                <w:rFonts w:ascii="Times New Roman" w:cs="Times New Roman"/>
                <w:color w:val="auto"/>
                <w:sz w:val="18"/>
                <w:szCs w:val="18"/>
              </w:rPr>
              <w:t>者在储气库构造区域范围内进行工程挖掘、工程</w:t>
            </w:r>
            <w:r>
              <w:rPr>
                <w:rFonts w:ascii="Times New Roman" w:hAnsi="Times New Roman" w:cs="Times New Roman"/>
                <w:color w:val="auto"/>
                <w:sz w:val="18"/>
                <w:szCs w:val="18"/>
              </w:rPr>
              <w:t xml:space="preserve"> </w:t>
            </w:r>
            <w:r>
              <w:rPr>
                <w:rFonts w:ascii="Times New Roman" w:cs="Times New Roman"/>
                <w:color w:val="auto"/>
                <w:sz w:val="18"/>
                <w:szCs w:val="18"/>
              </w:rPr>
              <w:t>钻探、采矿</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阀门</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擅自开启、关闭管道阀门</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28"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第三方破坏</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采用移动、切割、打孔、砸撬、拆卸等手段损坏管道</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管道标志</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移动、毁损、涂改管道标志</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交通</w:t>
            </w:r>
          </w:p>
        </w:tc>
        <w:tc>
          <w:tcPr>
            <w:tcW w:w="539" w:type="dxa"/>
            <w:vMerge w:val="restart"/>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在埋地管道上方巡查便道上行驶重型车辆</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05" w:hRule="exact"/>
          <w:jc w:val="center"/>
        </w:trPr>
        <w:tc>
          <w:tcPr>
            <w:tcW w:w="1594"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在地面管道线路、架空管道线路和管桥上行走或者放置重物</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70"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泄漏</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管道沿线不应有燃气异味、水面冒泡、树草枯萎和油污等异常现象或燃气泄出声响等</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6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特殊管段</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对于特殊地段管道</w:t>
            </w:r>
            <w:r>
              <w:rPr>
                <w:rFonts w:ascii="Times New Roman" w:hAnsi="Times New Roman" w:cs="Times New Roman"/>
                <w:color w:val="auto"/>
                <w:sz w:val="18"/>
                <w:szCs w:val="18"/>
              </w:rPr>
              <w:t>,</w:t>
            </w:r>
            <w:r>
              <w:rPr>
                <w:rFonts w:ascii="Times New Roman" w:cs="Times New Roman"/>
                <w:color w:val="auto"/>
                <w:sz w:val="18"/>
                <w:szCs w:val="18"/>
              </w:rPr>
              <w:t>如穿越跨越处、斜坡地段等，应在暴雨、大风或其他恶劣天气过后有无异常情况</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管道附件</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阴保测试桩、标志桩是否无好</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550"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阀门井</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应无泄漏、损坏等现象，阀门井内应无积水、塌陷，</w:t>
            </w:r>
            <w:r>
              <w:rPr>
                <w:rFonts w:ascii="Times New Roman" w:hAnsi="Times New Roman" w:cs="Times New Roman"/>
                <w:color w:val="auto"/>
                <w:sz w:val="18"/>
                <w:szCs w:val="18"/>
              </w:rPr>
              <w:t xml:space="preserve"> </w:t>
            </w:r>
            <w:r>
              <w:rPr>
                <w:rFonts w:ascii="Times New Roman" w:cs="Times New Roman"/>
                <w:color w:val="auto"/>
                <w:sz w:val="18"/>
                <w:szCs w:val="18"/>
              </w:rPr>
              <w:t>无妨碍阀门操作的堆积物等，应保持防腐层良好</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架空管段</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支吊架是否完好、管道外防腐情况</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其他施工</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有无第三方违章施工</w:t>
            </w:r>
          </w:p>
        </w:tc>
        <w:tc>
          <w:tcPr>
            <w:tcW w:w="1134" w:type="dxa"/>
            <w:shd w:val="clear" w:color="auto" w:fill="FFFFFF"/>
            <w:noWrap w:val="0"/>
            <w:vAlign w:val="center"/>
          </w:tcPr>
          <w:p>
            <w:pPr>
              <w:snapToGrid w:val="0"/>
              <w:jc w:val="both"/>
              <w:rPr>
                <w:color w:val="auto"/>
                <w:sz w:val="18"/>
                <w:szCs w:val="18"/>
                <w:lang w:eastAsia="zh-CN"/>
              </w:rPr>
            </w:pPr>
          </w:p>
        </w:tc>
        <w:tc>
          <w:tcPr>
            <w:tcW w:w="2270" w:type="dxa"/>
            <w:shd w:val="clear" w:color="auto" w:fill="FFFFFF"/>
            <w:noWrap w:val="0"/>
            <w:vAlign w:val="center"/>
          </w:tcPr>
          <w:p>
            <w:pPr>
              <w:snapToGrid w:val="0"/>
              <w:jc w:val="both"/>
              <w:rPr>
                <w:color w:val="auto"/>
                <w:sz w:val="18"/>
                <w:szCs w:val="18"/>
                <w:lang w:eastAsia="zh-CN"/>
              </w:rPr>
            </w:pPr>
          </w:p>
        </w:tc>
      </w:tr>
      <w:tr>
        <w:trPr>
          <w:trHeight w:val="454"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其他</w:t>
            </w:r>
          </w:p>
        </w:tc>
        <w:tc>
          <w:tcPr>
            <w:tcW w:w="539" w:type="dxa"/>
            <w:shd w:val="clear" w:color="auto" w:fill="FFFFFF"/>
            <w:noWrap w:val="0"/>
            <w:vAlign w:val="center"/>
          </w:tcPr>
          <w:p>
            <w:pPr>
              <w:jc w:val="center"/>
              <w:rPr>
                <w:color w:val="auto"/>
                <w:lang w:eastAsia="zh-CN"/>
              </w:rPr>
            </w:pPr>
          </w:p>
        </w:tc>
        <w:tc>
          <w:tcPr>
            <w:tcW w:w="4024" w:type="dxa"/>
            <w:shd w:val="clear" w:color="auto" w:fill="FFFFFF"/>
            <w:noWrap w:val="0"/>
            <w:vAlign w:val="center"/>
          </w:tcPr>
          <w:p>
            <w:pPr>
              <w:snapToGrid w:val="0"/>
              <w:jc w:val="both"/>
              <w:rPr>
                <w:color w:val="auto"/>
                <w:sz w:val="18"/>
                <w:szCs w:val="18"/>
              </w:rPr>
            </w:pP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45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r>
              <w:rPr>
                <w:rFonts w:ascii="Times New Roman" w:cs="Times New Roman"/>
                <w:color w:val="auto"/>
                <w:sz w:val="18"/>
                <w:szCs w:val="18"/>
                <w:lang w:eastAsia="zh-CN"/>
              </w:rPr>
              <w:t>（记录）</w:t>
            </w:r>
            <w:r>
              <w:rPr>
                <w:rFonts w:ascii="Times New Roman" w:cs="Times New Roman"/>
                <w:color w:val="auto"/>
                <w:sz w:val="18"/>
                <w:szCs w:val="18"/>
              </w:rPr>
              <w:t>人员</w:t>
            </w:r>
          </w:p>
        </w:tc>
        <w:tc>
          <w:tcPr>
            <w:tcW w:w="4024" w:type="dxa"/>
            <w:shd w:val="clear" w:color="auto" w:fill="FFFFFF"/>
            <w:noWrap w:val="0"/>
            <w:vAlign w:val="center"/>
          </w:tcPr>
          <w:p>
            <w:pPr>
              <w:snapToGrid w:val="0"/>
              <w:jc w:val="both"/>
              <w:rPr>
                <w:color w:val="auto"/>
                <w:sz w:val="18"/>
                <w:szCs w:val="18"/>
              </w:rPr>
            </w:pPr>
          </w:p>
        </w:tc>
        <w:tc>
          <w:tcPr>
            <w:tcW w:w="3404"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本记录表为建议表格，使用单位可根据本单位实际情况或须巡线的内容重新制定表格。</w:t>
      </w:r>
    </w:p>
    <w:p>
      <w:pPr>
        <w:pStyle w:val="16"/>
        <w:snapToGrid w:val="0"/>
        <w:ind w:firstLine="0"/>
        <w:jc w:val="both"/>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 xml:space="preserve">2. </w:t>
      </w:r>
      <w:r>
        <w:rPr>
          <w:rFonts w:ascii="Times New Roman" w:cs="Times New Roman"/>
          <w:color w:val="auto"/>
          <w:sz w:val="18"/>
          <w:szCs w:val="18"/>
        </w:rPr>
        <w:t>巡线项目和内容可根据使用单位实际情况作出调整。</w:t>
      </w:r>
    </w:p>
    <w:p>
      <w:pPr>
        <w:pStyle w:val="14"/>
        <w:snapToGrid w:val="0"/>
        <w:spacing w:before="156" w:beforeLines="50" w:after="156" w:afterLines="50" w:line="240" w:lineRule="auto"/>
        <w:jc w:val="center"/>
        <w:rPr>
          <w:rFonts w:ascii="Times New Roman" w:hAnsi="黑体" w:eastAsia="黑体" w:cs="Times New Roman"/>
          <w:b/>
          <w:color w:val="auto"/>
          <w:sz w:val="21"/>
          <w:szCs w:val="21"/>
        </w:rPr>
      </w:pPr>
    </w:p>
    <w:p>
      <w:pPr>
        <w:pStyle w:val="14"/>
        <w:snapToGrid w:val="0"/>
        <w:spacing w:before="156" w:beforeLines="50" w:after="156" w:afterLines="50" w:line="240" w:lineRule="auto"/>
        <w:jc w:val="center"/>
        <w:rPr>
          <w:rFonts w:ascii="Times New Roman" w:hAnsi="Times New Roman" w:eastAsia="黑体" w:cs="Times New Roman"/>
          <w:b/>
          <w:color w:val="auto"/>
          <w:sz w:val="21"/>
          <w:szCs w:val="21"/>
          <w:lang w:eastAsia="zh-CN"/>
        </w:rPr>
      </w:pPr>
      <w:r>
        <w:rPr>
          <w:rFonts w:ascii="Times New Roman" w:hAnsi="黑体" w:eastAsia="黑体" w:cs="Times New Roman"/>
          <w:b/>
          <w:color w:val="auto"/>
          <w:sz w:val="21"/>
          <w:szCs w:val="21"/>
        </w:rPr>
        <w:t>附表</w:t>
      </w:r>
      <w:r>
        <w:rPr>
          <w:rFonts w:ascii="Times New Roman" w:hAnsi="Times New Roman" w:eastAsia="黑体" w:cs="Times New Roman"/>
          <w:b/>
          <w:color w:val="auto"/>
          <w:sz w:val="21"/>
          <w:szCs w:val="21"/>
          <w:lang w:eastAsia="zh-CN"/>
        </w:rPr>
        <w:t>2</w:t>
      </w:r>
      <w:r>
        <w:rPr>
          <w:rFonts w:ascii="Times New Roman" w:hAnsi="Times New Roman" w:eastAsia="黑体" w:cs="Times New Roman"/>
          <w:b/>
          <w:color w:val="auto"/>
          <w:sz w:val="21"/>
          <w:szCs w:val="21"/>
        </w:rPr>
        <w:t xml:space="preserve">  </w:t>
      </w:r>
      <w:r>
        <w:rPr>
          <w:rFonts w:ascii="Times New Roman" w:hAnsi="黑体" w:eastAsia="黑体" w:cs="Times New Roman"/>
          <w:b/>
          <w:color w:val="auto"/>
          <w:sz w:val="21"/>
          <w:szCs w:val="21"/>
          <w:lang w:eastAsia="zh-CN"/>
        </w:rPr>
        <w:t>长输管道定期检测</w:t>
      </w:r>
      <w:r>
        <w:rPr>
          <w:rFonts w:ascii="Times New Roman" w:hAnsi="黑体" w:eastAsia="黑体" w:cs="Times New Roman"/>
          <w:b/>
          <w:color w:val="auto"/>
          <w:sz w:val="21"/>
          <w:szCs w:val="21"/>
        </w:rPr>
        <w:t>记录表格式</w:t>
      </w:r>
    </w:p>
    <w:tbl>
      <w:tblPr>
        <w:tblStyle w:val="8"/>
        <w:tblpPr/>
        <w:tblOverlap w:val="never"/>
        <w:tblW w:w="95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89"/>
        <w:gridCol w:w="539"/>
        <w:gridCol w:w="4024"/>
        <w:gridCol w:w="1134"/>
        <w:gridCol w:w="2270"/>
      </w:tblGrid>
      <w:tr>
        <w:trPr>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管线号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lang w:eastAsia="zh-CN"/>
              </w:rPr>
              <w:t>注册</w:t>
            </w:r>
            <w:r>
              <w:rPr>
                <w:rFonts w:ascii="Times New Roman" w:hAnsi="黑体" w:eastAsia="黑体" w:cs="Times New Roman"/>
                <w:b/>
                <w:color w:val="auto"/>
                <w:sz w:val="18"/>
                <w:szCs w:val="18"/>
              </w:rPr>
              <w:t>编号</w:t>
            </w:r>
          </w:p>
        </w:tc>
        <w:tc>
          <w:tcPr>
            <w:tcW w:w="7428" w:type="dxa"/>
            <w:gridSpan w:val="3"/>
            <w:shd w:val="clear" w:color="auto" w:fill="FFFFFF"/>
            <w:noWrap w:val="0"/>
            <w:vAlign w:val="center"/>
          </w:tcPr>
          <w:p>
            <w:pPr>
              <w:snapToGrid w:val="0"/>
              <w:jc w:val="center"/>
              <w:rPr>
                <w:rFonts w:eastAsia="黑体"/>
                <w:b/>
                <w:color w:val="auto"/>
                <w:sz w:val="18"/>
                <w:szCs w:val="18"/>
              </w:rPr>
            </w:pPr>
          </w:p>
        </w:tc>
      </w:tr>
      <w:tr>
        <w:trPr>
          <w:trHeight w:val="567"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检测项目</w:t>
            </w:r>
          </w:p>
        </w:tc>
        <w:tc>
          <w:tcPr>
            <w:tcW w:w="53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检测时间</w:t>
            </w:r>
          </w:p>
        </w:tc>
        <w:tc>
          <w:tcPr>
            <w:tcW w:w="402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w:t>
            </w:r>
            <w:r>
              <w:rPr>
                <w:rFonts w:ascii="Times New Roman" w:hAnsi="黑体" w:eastAsia="黑体" w:cs="Times New Roman"/>
                <w:b/>
                <w:color w:val="auto"/>
                <w:sz w:val="18"/>
                <w:szCs w:val="18"/>
                <w:lang w:eastAsia="zh-CN"/>
              </w:rPr>
              <w:t>测</w:t>
            </w:r>
            <w:r>
              <w:rPr>
                <w:rFonts w:ascii="Times New Roman" w:hAnsi="黑体" w:eastAsia="黑体" w:cs="Times New Roman"/>
                <w:b/>
                <w:color w:val="auto"/>
                <w:sz w:val="18"/>
                <w:szCs w:val="18"/>
              </w:rPr>
              <w:t>内容</w:t>
            </w:r>
          </w:p>
        </w:tc>
        <w:tc>
          <w:tcPr>
            <w:tcW w:w="113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检查结果</w:t>
            </w:r>
          </w:p>
        </w:tc>
        <w:tc>
          <w:tcPr>
            <w:tcW w:w="2270"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问题记录</w:t>
            </w:r>
          </w:p>
        </w:tc>
      </w:tr>
      <w:tr>
        <w:trPr>
          <w:trHeight w:val="636"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土壤腐蚀性调查</w:t>
            </w:r>
          </w:p>
        </w:tc>
        <w:tc>
          <w:tcPr>
            <w:tcW w:w="5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土壤电阻率、管道自然腐蚀电位、氧化还原电位、</w:t>
            </w:r>
            <w:r>
              <w:rPr>
                <w:rFonts w:ascii="Times New Roman" w:hAnsi="Times New Roman" w:cs="Times New Roman"/>
                <w:color w:val="auto"/>
                <w:sz w:val="18"/>
                <w:szCs w:val="18"/>
                <w:lang w:eastAsia="zh-CN"/>
              </w:rPr>
              <w:t>PH</w:t>
            </w:r>
            <w:r>
              <w:rPr>
                <w:rFonts w:ascii="Times New Roman" w:cs="Times New Roman"/>
                <w:color w:val="auto"/>
                <w:sz w:val="18"/>
                <w:szCs w:val="18"/>
                <w:lang w:eastAsia="zh-CN"/>
              </w:rPr>
              <w:t>值、土壤质地、土壤含水量、土壤总含盐量、</w:t>
            </w:r>
            <w:r>
              <w:rPr>
                <w:rFonts w:ascii="Times New Roman" w:hAnsi="Times New Roman" w:cs="Times New Roman"/>
                <w:color w:val="auto"/>
                <w:sz w:val="18"/>
                <w:szCs w:val="18"/>
                <w:lang w:eastAsia="zh-CN"/>
              </w:rPr>
              <w:t>Cl¯%</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杂散电流</w:t>
            </w:r>
          </w:p>
        </w:tc>
        <w:tc>
          <w:tcPr>
            <w:tcW w:w="5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交流杂散电流、直流杂散电流</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6"/>
              <w:snapToGrid w:val="0"/>
              <w:ind w:firstLine="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外防腐层</w:t>
            </w:r>
          </w:p>
        </w:tc>
        <w:tc>
          <w:tcPr>
            <w:tcW w:w="539" w:type="dxa"/>
            <w:shd w:val="clear" w:color="auto" w:fill="FFFFFF"/>
            <w:noWrap w:val="0"/>
            <w:vAlign w:val="center"/>
          </w:tcPr>
          <w:p>
            <w:pPr>
              <w:jc w:val="center"/>
              <w:rPr>
                <w:color w:val="auto"/>
              </w:rPr>
            </w:pPr>
          </w:p>
        </w:tc>
        <w:tc>
          <w:tcPr>
            <w:tcW w:w="402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防腐层破损点</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阴极保护</w:t>
            </w:r>
          </w:p>
        </w:tc>
        <w:tc>
          <w:tcPr>
            <w:tcW w:w="539" w:type="dxa"/>
            <w:shd w:val="clear" w:color="auto" w:fill="FFFFFF"/>
            <w:noWrap w:val="0"/>
            <w:vAlign w:val="center"/>
          </w:tcPr>
          <w:p>
            <w:pPr>
              <w:jc w:val="center"/>
              <w:rPr>
                <w:color w:val="auto"/>
              </w:rPr>
            </w:pPr>
          </w:p>
        </w:tc>
        <w:tc>
          <w:tcPr>
            <w:tcW w:w="4024" w:type="dxa"/>
            <w:shd w:val="clear" w:color="auto" w:fill="FFFFFF"/>
            <w:noWrap w:val="0"/>
            <w:vAlign w:val="center"/>
          </w:tcPr>
          <w:p>
            <w:pPr>
              <w:pStyle w:val="16"/>
              <w:snapToGrid w:val="0"/>
              <w:ind w:firstLine="0"/>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强制电流性能测试</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vMerge w:val="continue"/>
            <w:shd w:val="clear" w:color="auto" w:fill="FFFFFF"/>
            <w:noWrap w:val="0"/>
            <w:vAlign w:val="center"/>
          </w:tcPr>
          <w:p>
            <w:pPr>
              <w:snapToGrid w:val="0"/>
              <w:jc w:val="center"/>
              <w:rPr>
                <w:color w:val="auto"/>
                <w:sz w:val="18"/>
                <w:szCs w:val="18"/>
                <w:lang w:eastAsia="zh-CN"/>
              </w:rPr>
            </w:pPr>
          </w:p>
        </w:tc>
        <w:tc>
          <w:tcPr>
            <w:tcW w:w="539" w:type="dxa"/>
            <w:shd w:val="clear" w:color="auto" w:fill="FFFFFF"/>
            <w:noWrap w:val="0"/>
            <w:vAlign w:val="center"/>
          </w:tcPr>
          <w:p>
            <w:pPr>
              <w:jc w:val="center"/>
              <w:rPr>
                <w:color w:val="auto"/>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牺牲阳极性能测试</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排流装置</w:t>
            </w:r>
          </w:p>
        </w:tc>
        <w:tc>
          <w:tcPr>
            <w:tcW w:w="539" w:type="dxa"/>
            <w:shd w:val="clear" w:color="auto" w:fill="FFFFFF"/>
            <w:noWrap w:val="0"/>
            <w:vAlign w:val="center"/>
          </w:tcPr>
          <w:p>
            <w:pPr>
              <w:jc w:val="center"/>
              <w:rPr>
                <w:color w:val="auto"/>
              </w:rPr>
            </w:pPr>
          </w:p>
        </w:tc>
        <w:tc>
          <w:tcPr>
            <w:tcW w:w="4024" w:type="dxa"/>
            <w:shd w:val="clear" w:color="auto" w:fill="FFFFFF"/>
            <w:noWrap w:val="0"/>
            <w:vAlign w:val="center"/>
          </w:tcPr>
          <w:p>
            <w:pPr>
              <w:pStyle w:val="17"/>
              <w:snapToGrid w:val="0"/>
              <w:rPr>
                <w:rFonts w:ascii="Times New Roman" w:hAnsi="Times New Roman" w:cs="Times New Roman"/>
                <w:color w:val="auto"/>
                <w:sz w:val="18"/>
                <w:szCs w:val="18"/>
                <w:lang w:eastAsia="zh-CN"/>
              </w:rPr>
            </w:pPr>
            <w:r>
              <w:rPr>
                <w:rFonts w:ascii="Times New Roman" w:cs="Times New Roman"/>
                <w:color w:val="auto"/>
                <w:sz w:val="18"/>
                <w:szCs w:val="18"/>
                <w:lang w:eastAsia="zh-CN"/>
              </w:rPr>
              <w:t>排流检测</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11" w:hRule="exact"/>
          <w:jc w:val="center"/>
        </w:trPr>
        <w:tc>
          <w:tcPr>
            <w:tcW w:w="1594" w:type="dxa"/>
            <w:shd w:val="clear" w:color="auto" w:fill="FFFFFF"/>
            <w:noWrap w:val="0"/>
            <w:vAlign w:val="center"/>
          </w:tcPr>
          <w:p>
            <w:pPr>
              <w:pStyle w:val="17"/>
              <w:snapToGrid w:val="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开挖</w:t>
            </w:r>
          </w:p>
        </w:tc>
        <w:tc>
          <w:tcPr>
            <w:tcW w:w="539" w:type="dxa"/>
            <w:shd w:val="clear" w:color="auto" w:fill="FFFFFF"/>
            <w:noWrap w:val="0"/>
            <w:vAlign w:val="center"/>
          </w:tcPr>
          <w:p>
            <w:pPr>
              <w:jc w:val="center"/>
              <w:rPr>
                <w:color w:val="auto"/>
              </w:rPr>
            </w:pPr>
          </w:p>
        </w:tc>
        <w:tc>
          <w:tcPr>
            <w:tcW w:w="4024" w:type="dxa"/>
            <w:shd w:val="clear" w:color="auto" w:fill="FFFFFF"/>
            <w:noWrap w:val="0"/>
            <w:vAlign w:val="center"/>
          </w:tcPr>
          <w:p>
            <w:pPr>
              <w:pStyle w:val="17"/>
              <w:snapToGrid w:val="0"/>
              <w:rPr>
                <w:rFonts w:ascii="Times New Roman" w:hAnsi="Times New Roman" w:cs="Times New Roman"/>
                <w:color w:val="auto"/>
                <w:sz w:val="18"/>
                <w:szCs w:val="18"/>
                <w:lang w:eastAsia="zh-CN"/>
              </w:rPr>
            </w:pPr>
            <w:r>
              <w:rPr>
                <w:rFonts w:ascii="Times New Roman" w:cs="Times New Roman"/>
                <w:color w:val="auto"/>
                <w:sz w:val="18"/>
                <w:szCs w:val="18"/>
                <w:lang w:eastAsia="zh-CN"/>
              </w:rPr>
              <w:t>防腐层破损点、防腐层厚度、管道剩余壁厚等</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08" w:hRule="exact"/>
          <w:jc w:val="center"/>
        </w:trPr>
        <w:tc>
          <w:tcPr>
            <w:tcW w:w="1594" w:type="dxa"/>
            <w:shd w:val="clear" w:color="auto" w:fill="FFFFFF"/>
            <w:noWrap w:val="0"/>
            <w:vAlign w:val="center"/>
          </w:tcPr>
          <w:p>
            <w:pPr>
              <w:pStyle w:val="17"/>
              <w:snapToGrid w:val="0"/>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绝缘性能</w:t>
            </w:r>
          </w:p>
        </w:tc>
        <w:tc>
          <w:tcPr>
            <w:tcW w:w="539" w:type="dxa"/>
            <w:shd w:val="clear" w:color="auto" w:fill="FFFFFF"/>
            <w:noWrap w:val="0"/>
            <w:vAlign w:val="center"/>
          </w:tcPr>
          <w:p>
            <w:pPr>
              <w:snapToGrid w:val="0"/>
              <w:jc w:val="center"/>
              <w:rPr>
                <w:rFonts w:eastAsia="宋体"/>
                <w:color w:val="auto"/>
                <w:sz w:val="18"/>
                <w:szCs w:val="18"/>
                <w:lang w:eastAsia="zh-CN"/>
              </w:rPr>
            </w:pPr>
          </w:p>
        </w:tc>
        <w:tc>
          <w:tcPr>
            <w:tcW w:w="4024" w:type="dxa"/>
            <w:shd w:val="clear" w:color="auto" w:fill="FFFFFF"/>
            <w:noWrap w:val="0"/>
            <w:vAlign w:val="center"/>
          </w:tcPr>
          <w:p>
            <w:pPr>
              <w:pStyle w:val="17"/>
              <w:snapToGrid w:val="0"/>
              <w:rPr>
                <w:rFonts w:ascii="Times New Roman" w:hAnsi="Times New Roman" w:cs="Times New Roman"/>
                <w:color w:val="auto"/>
                <w:sz w:val="18"/>
                <w:szCs w:val="18"/>
                <w:lang w:eastAsia="zh-CN"/>
              </w:rPr>
            </w:pPr>
            <w:r>
              <w:rPr>
                <w:rFonts w:ascii="Times New Roman" w:cs="Times New Roman"/>
                <w:color w:val="auto"/>
                <w:sz w:val="18"/>
                <w:szCs w:val="18"/>
                <w:lang w:eastAsia="zh-CN"/>
              </w:rPr>
              <w:t>绝缘接头、绝缘法兰性能</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08"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无损检测</w:t>
            </w:r>
          </w:p>
        </w:tc>
        <w:tc>
          <w:tcPr>
            <w:tcW w:w="539" w:type="dxa"/>
            <w:shd w:val="clear" w:color="auto" w:fill="FFFFFF"/>
            <w:noWrap w:val="0"/>
            <w:vAlign w:val="center"/>
          </w:tcPr>
          <w:p>
            <w:pPr>
              <w:snapToGrid w:val="0"/>
              <w:jc w:val="center"/>
              <w:rPr>
                <w:rFonts w:eastAsia="宋体"/>
                <w:color w:val="auto"/>
                <w:sz w:val="18"/>
                <w:szCs w:val="18"/>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结合挖坑检查、露管段检测</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708" w:hRule="exact"/>
          <w:jc w:val="center"/>
        </w:trPr>
        <w:tc>
          <w:tcPr>
            <w:tcW w:w="159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管道内检测</w:t>
            </w:r>
          </w:p>
        </w:tc>
        <w:tc>
          <w:tcPr>
            <w:tcW w:w="539" w:type="dxa"/>
            <w:shd w:val="clear" w:color="auto" w:fill="FFFFFF"/>
            <w:noWrap w:val="0"/>
            <w:vAlign w:val="center"/>
          </w:tcPr>
          <w:p>
            <w:pPr>
              <w:snapToGrid w:val="0"/>
              <w:jc w:val="center"/>
              <w:rPr>
                <w:rFonts w:eastAsia="宋体"/>
                <w:color w:val="auto"/>
                <w:sz w:val="18"/>
                <w:szCs w:val="18"/>
                <w:lang w:eastAsia="zh-CN"/>
              </w:rPr>
            </w:pPr>
          </w:p>
        </w:tc>
        <w:tc>
          <w:tcPr>
            <w:tcW w:w="4024"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管道内部腐蚀情况和缺陷检测</w:t>
            </w:r>
          </w:p>
        </w:tc>
        <w:tc>
          <w:tcPr>
            <w:tcW w:w="1134" w:type="dxa"/>
            <w:shd w:val="clear" w:color="auto" w:fill="FFFFFF"/>
            <w:noWrap w:val="0"/>
            <w:vAlign w:val="top"/>
          </w:tcPr>
          <w:p>
            <w:pPr>
              <w:snapToGrid w:val="0"/>
              <w:rPr>
                <w:color w:val="auto"/>
                <w:sz w:val="18"/>
                <w:szCs w:val="18"/>
                <w:lang w:eastAsia="zh-CN"/>
              </w:rPr>
            </w:pPr>
          </w:p>
        </w:tc>
        <w:tc>
          <w:tcPr>
            <w:tcW w:w="2270" w:type="dxa"/>
            <w:shd w:val="clear" w:color="auto" w:fill="FFFFFF"/>
            <w:noWrap w:val="0"/>
            <w:vAlign w:val="top"/>
          </w:tcPr>
          <w:p>
            <w:pPr>
              <w:snapToGrid w:val="0"/>
              <w:rPr>
                <w:color w:val="auto"/>
                <w:sz w:val="18"/>
                <w:szCs w:val="18"/>
                <w:lang w:eastAsia="zh-CN"/>
              </w:rPr>
            </w:pPr>
          </w:p>
        </w:tc>
      </w:tr>
      <w:tr>
        <w:trPr>
          <w:trHeight w:val="614" w:hRule="exact"/>
          <w:jc w:val="center"/>
        </w:trPr>
        <w:tc>
          <w:tcPr>
            <w:tcW w:w="2133" w:type="dxa"/>
            <w:gridSpan w:val="2"/>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r>
              <w:rPr>
                <w:rFonts w:ascii="Times New Roman" w:cs="Times New Roman"/>
                <w:color w:val="auto"/>
                <w:sz w:val="18"/>
                <w:szCs w:val="18"/>
                <w:lang w:eastAsia="zh-CN"/>
              </w:rPr>
              <w:t>（记录）</w:t>
            </w:r>
            <w:r>
              <w:rPr>
                <w:rFonts w:ascii="Times New Roman" w:cs="Times New Roman"/>
                <w:color w:val="auto"/>
                <w:sz w:val="18"/>
                <w:szCs w:val="18"/>
              </w:rPr>
              <w:t>人员</w:t>
            </w:r>
          </w:p>
        </w:tc>
        <w:tc>
          <w:tcPr>
            <w:tcW w:w="4024" w:type="dxa"/>
            <w:shd w:val="clear" w:color="auto" w:fill="FFFFFF"/>
            <w:noWrap w:val="0"/>
            <w:vAlign w:val="center"/>
          </w:tcPr>
          <w:p>
            <w:pPr>
              <w:snapToGrid w:val="0"/>
              <w:jc w:val="both"/>
              <w:rPr>
                <w:color w:val="auto"/>
                <w:sz w:val="18"/>
                <w:szCs w:val="18"/>
              </w:rPr>
            </w:pPr>
          </w:p>
        </w:tc>
        <w:tc>
          <w:tcPr>
            <w:tcW w:w="3404" w:type="dxa"/>
            <w:gridSpan w:val="2"/>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日期：</w:t>
            </w:r>
          </w:p>
        </w:tc>
      </w:tr>
    </w:tbl>
    <w:p>
      <w:pPr>
        <w:pStyle w:val="16"/>
        <w:snapToGrid w:val="0"/>
        <w:ind w:firstLine="0"/>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本记录表为建议表格，使用单位可根据本单位实际情况或须检测的内容重新制定表格。</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w:t>
      </w:r>
      <w:r>
        <w:rPr>
          <w:rFonts w:ascii="Times New Roman" w:cs="Times New Roman"/>
          <w:color w:val="auto"/>
          <w:sz w:val="18"/>
          <w:szCs w:val="18"/>
        </w:rPr>
        <w:t>检测项目和内容可根据使用单位实际情况作出调整。</w:t>
      </w:r>
    </w:p>
    <w:p>
      <w:pPr>
        <w:snapToGrid w:val="0"/>
        <w:rPr>
          <w:rFonts w:eastAsia="宋体"/>
          <w:color w:val="auto"/>
          <w:sz w:val="18"/>
          <w:szCs w:val="18"/>
          <w:lang w:eastAsia="zh-CN"/>
        </w:rPr>
        <w:sectPr>
          <w:pgSz w:w="11900" w:h="16840"/>
          <w:pgMar w:top="1134" w:right="1134" w:bottom="1134" w:left="1134" w:header="0" w:footer="986" w:gutter="0"/>
          <w:cols w:space="720" w:num="1"/>
          <w:docGrid w:linePitch="360" w:charSpace="0"/>
        </w:sectPr>
      </w:pPr>
    </w:p>
    <w:p>
      <w:pPr>
        <w:pStyle w:val="14"/>
        <w:snapToGrid w:val="0"/>
        <w:spacing w:after="120" w:afterLines="50" w:line="240" w:lineRule="auto"/>
        <w:jc w:val="center"/>
        <w:rPr>
          <w:rFonts w:ascii="Times New Roman" w:hAnsi="Times New Roman" w:eastAsia="黑体" w:cs="Times New Roman"/>
          <w:b/>
          <w:color w:val="auto"/>
          <w:sz w:val="21"/>
          <w:szCs w:val="21"/>
        </w:rPr>
      </w:pPr>
      <w:r>
        <w:rPr>
          <w:rFonts w:ascii="Times New Roman" w:hAnsi="黑体" w:eastAsia="黑体" w:cs="Times New Roman"/>
          <w:b/>
          <w:color w:val="auto"/>
          <w:sz w:val="21"/>
          <w:szCs w:val="21"/>
        </w:rPr>
        <w:t>表</w:t>
      </w:r>
      <w:r>
        <w:rPr>
          <w:rFonts w:ascii="Times New Roman" w:hAnsi="Times New Roman" w:eastAsia="黑体" w:cs="Times New Roman"/>
          <w:b/>
          <w:color w:val="auto"/>
          <w:sz w:val="21"/>
          <w:szCs w:val="21"/>
          <w:lang w:val="en-US" w:eastAsia="zh-CN" w:bidi="en-US"/>
        </w:rPr>
        <w:t>B.</w:t>
      </w:r>
      <w:r>
        <w:rPr>
          <w:rFonts w:hint="eastAsia" w:ascii="Times New Roman" w:hAnsi="Times New Roman" w:eastAsia="黑体" w:cs="Times New Roman"/>
          <w:b/>
          <w:color w:val="auto"/>
          <w:sz w:val="21"/>
          <w:szCs w:val="21"/>
          <w:lang w:val="en-US" w:eastAsia="zh-CN" w:bidi="en-US"/>
        </w:rPr>
        <w:t>10</w:t>
      </w:r>
      <w:r>
        <w:rPr>
          <w:rFonts w:ascii="Times New Roman" w:hAnsi="Times New Roman" w:eastAsia="黑体" w:cs="Times New Roman"/>
          <w:b/>
          <w:color w:val="auto"/>
          <w:sz w:val="21"/>
          <w:szCs w:val="21"/>
          <w:lang w:val="en-US" w:eastAsia="zh-CN" w:bidi="en-US"/>
        </w:rPr>
        <w:t xml:space="preserve">  </w:t>
      </w:r>
      <w:r>
        <w:rPr>
          <w:rFonts w:ascii="Times New Roman" w:hAnsi="黑体" w:eastAsia="黑体" w:cs="Times New Roman"/>
          <w:b/>
          <w:color w:val="auto"/>
          <w:sz w:val="21"/>
          <w:szCs w:val="21"/>
        </w:rPr>
        <w:t>特种设备</w:t>
      </w:r>
      <w:r>
        <w:rPr>
          <w:rFonts w:ascii="Times New Roman" w:hAnsi="黑体" w:eastAsia="黑体" w:cs="Times New Roman"/>
          <w:b/>
          <w:color w:val="auto"/>
          <w:sz w:val="21"/>
          <w:szCs w:val="21"/>
          <w:lang w:eastAsia="zh-CN"/>
        </w:rPr>
        <w:t>隐患排查清单</w:t>
      </w:r>
      <w:r>
        <w:rPr>
          <w:rFonts w:ascii="Times New Roman" w:hAnsi="Times New Roman" w:eastAsia="黑体" w:cs="Times New Roman"/>
          <w:b/>
          <w:color w:val="auto"/>
          <w:sz w:val="21"/>
          <w:szCs w:val="21"/>
          <w:lang w:eastAsia="zh-CN"/>
        </w:rPr>
        <w:t>——</w:t>
      </w:r>
      <w:r>
        <w:rPr>
          <w:rFonts w:ascii="Times New Roman" w:hAnsi="黑体" w:eastAsia="黑体" w:cs="Times New Roman"/>
          <w:b/>
          <w:color w:val="auto"/>
          <w:sz w:val="21"/>
          <w:szCs w:val="21"/>
          <w:lang w:eastAsia="zh-CN"/>
        </w:rPr>
        <w:t>电梯专项</w:t>
      </w:r>
      <w:r>
        <w:rPr>
          <w:rFonts w:ascii="Times New Roman" w:hAnsi="黑体" w:eastAsia="黑体" w:cs="Times New Roman"/>
          <w:b/>
          <w:color w:val="auto"/>
          <w:sz w:val="21"/>
          <w:szCs w:val="21"/>
        </w:rPr>
        <w:t>要求</w:t>
      </w:r>
    </w:p>
    <w:tbl>
      <w:tblPr>
        <w:tblStyle w:val="8"/>
        <w:tblpPr/>
        <w:tblOverlap w:val="never"/>
        <w:tblW w:w="14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5"/>
        <w:gridCol w:w="709"/>
        <w:gridCol w:w="709"/>
        <w:gridCol w:w="709"/>
        <w:gridCol w:w="1275"/>
        <w:gridCol w:w="851"/>
        <w:gridCol w:w="9465"/>
      </w:tblGrid>
      <w:tr>
        <w:trPr>
          <w:trHeight w:val="370" w:hRule="exact"/>
          <w:jc w:val="center"/>
        </w:trPr>
        <w:tc>
          <w:tcPr>
            <w:tcW w:w="1245"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实施</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单位</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126"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46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83" w:hRule="exact"/>
          <w:jc w:val="center"/>
        </w:trPr>
        <w:tc>
          <w:tcPr>
            <w:tcW w:w="1245" w:type="dxa"/>
            <w:vMerge w:val="continue"/>
            <w:shd w:val="clear" w:color="auto" w:fill="FFFFFF"/>
            <w:noWrap w:val="0"/>
            <w:vAlign w:val="center"/>
          </w:tcPr>
          <w:p>
            <w:pPr>
              <w:snapToGrid w:val="0"/>
              <w:jc w:val="center"/>
              <w:rPr>
                <w:color w:val="auto"/>
                <w:sz w:val="18"/>
                <w:szCs w:val="18"/>
              </w:rPr>
            </w:pPr>
          </w:p>
        </w:tc>
        <w:tc>
          <w:tcPr>
            <w:tcW w:w="709" w:type="dxa"/>
            <w:vMerge w:val="continue"/>
            <w:shd w:val="clear" w:color="auto" w:fill="FFFFFF"/>
            <w:noWrap w:val="0"/>
            <w:vAlign w:val="center"/>
          </w:tcPr>
          <w:p>
            <w:pPr>
              <w:snapToGrid w:val="0"/>
              <w:jc w:val="center"/>
              <w:rPr>
                <w:color w:val="auto"/>
                <w:sz w:val="18"/>
                <w:szCs w:val="18"/>
              </w:rPr>
            </w:pPr>
          </w:p>
        </w:tc>
        <w:tc>
          <w:tcPr>
            <w:tcW w:w="709" w:type="dxa"/>
            <w:vMerge w:val="continue"/>
            <w:shd w:val="clear" w:color="auto" w:fill="FFFFFF"/>
            <w:noWrap w:val="0"/>
            <w:vAlign w:val="center"/>
          </w:tcPr>
          <w:p>
            <w:pPr>
              <w:snapToGrid w:val="0"/>
              <w:jc w:val="center"/>
              <w:rPr>
                <w:color w:val="auto"/>
                <w:sz w:val="18"/>
                <w:szCs w:val="18"/>
              </w:rPr>
            </w:pPr>
          </w:p>
        </w:tc>
        <w:tc>
          <w:tcPr>
            <w:tcW w:w="709" w:type="dxa"/>
            <w:vMerge w:val="continue"/>
            <w:shd w:val="clear" w:color="auto" w:fill="FFFFFF"/>
            <w:noWrap w:val="0"/>
            <w:vAlign w:val="center"/>
          </w:tcPr>
          <w:p>
            <w:pPr>
              <w:snapToGrid w:val="0"/>
              <w:jc w:val="center"/>
              <w:rPr>
                <w:color w:val="auto"/>
                <w:sz w:val="18"/>
                <w:szCs w:val="18"/>
              </w:rPr>
            </w:pPr>
          </w:p>
        </w:tc>
        <w:tc>
          <w:tcPr>
            <w:tcW w:w="1275"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w:t>
            </w:r>
            <w:r>
              <w:rPr>
                <w:rFonts w:ascii="Times New Roman" w:hAnsi="黑体" w:eastAsia="黑体" w:cs="Times New Roman"/>
                <w:b/>
                <w:color w:val="auto"/>
                <w:sz w:val="18"/>
                <w:szCs w:val="18"/>
              </w:rPr>
              <w:t>标准</w:t>
            </w:r>
          </w:p>
        </w:tc>
        <w:tc>
          <w:tcPr>
            <w:tcW w:w="851"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465" w:type="dxa"/>
            <w:vMerge w:val="continue"/>
            <w:shd w:val="clear" w:color="auto" w:fill="FFFFFF"/>
            <w:noWrap w:val="0"/>
            <w:vAlign w:val="center"/>
          </w:tcPr>
          <w:p>
            <w:pPr>
              <w:snapToGrid w:val="0"/>
              <w:rPr>
                <w:color w:val="auto"/>
                <w:sz w:val="18"/>
                <w:szCs w:val="18"/>
              </w:rPr>
            </w:pPr>
          </w:p>
        </w:tc>
      </w:tr>
      <w:tr>
        <w:trPr>
          <w:trHeight w:val="2651"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22" w:name="_Hlk53691173"/>
            <w:r>
              <w:rPr>
                <w:rFonts w:ascii="Times New Roman" w:cs="Times New Roman"/>
                <w:color w:val="auto"/>
                <w:sz w:val="18"/>
                <w:szCs w:val="18"/>
              </w:rPr>
              <w:t>使用管理</w:t>
            </w:r>
            <w:bookmarkEnd w:id="22"/>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少一次</w:t>
            </w:r>
          </w:p>
        </w:tc>
        <w:tc>
          <w:tcPr>
            <w:tcW w:w="127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电梯监督检验和定期检验规则</w:t>
            </w:r>
            <w:r>
              <w:rPr>
                <w:rFonts w:ascii="Times New Roman" w:hAnsi="Times New Roman" w:cs="Times New Roman"/>
                <w:color w:val="auto"/>
                <w:sz w:val="18"/>
                <w:szCs w:val="18"/>
              </w:rPr>
              <w:t>——</w:t>
            </w:r>
            <w:r>
              <w:rPr>
                <w:rFonts w:ascii="Times New Roman" w:cs="Times New Roman"/>
                <w:color w:val="auto"/>
                <w:sz w:val="18"/>
                <w:szCs w:val="18"/>
              </w:rPr>
              <w:t>曳引与强制驱动电梯</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T7001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 xml:space="preserve">2009) </w:t>
            </w:r>
            <w:r>
              <w:rPr>
                <w:rFonts w:ascii="Times New Roman" w:cs="Times New Roman"/>
                <w:color w:val="auto"/>
                <w:sz w:val="18"/>
                <w:szCs w:val="18"/>
              </w:rPr>
              <w:t>等相关安全技术规范</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1.4</w:t>
            </w:r>
          </w:p>
        </w:tc>
        <w:tc>
          <w:tcPr>
            <w:tcW w:w="9465" w:type="dxa"/>
            <w:shd w:val="clear" w:color="auto" w:fill="FFFFFF"/>
            <w:noWrap w:val="0"/>
            <w:vAlign w:val="center"/>
          </w:tcPr>
          <w:p>
            <w:pPr>
              <w:pStyle w:val="15"/>
              <w:numPr>
                <w:ilvl w:val="0"/>
                <w:numId w:val="48"/>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使用登记资料，内容与实物相符；</w:t>
            </w:r>
          </w:p>
          <w:p>
            <w:pPr>
              <w:pStyle w:val="15"/>
              <w:numPr>
                <w:ilvl w:val="0"/>
                <w:numId w:val="48"/>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安全技术档案，至少包括安装、改造、重大维修的有关资料、报告、以及监督检验报告、定期检验报告、日常检查与使用状况记录、日常维护保养记录、年度自行检查记录或者报告、应急救援演习记录、运行故障和事故记录等，保存完好；</w:t>
            </w:r>
          </w:p>
          <w:p>
            <w:pPr>
              <w:pStyle w:val="15"/>
              <w:numPr>
                <w:ilvl w:val="0"/>
                <w:numId w:val="48"/>
              </w:numPr>
              <w:tabs>
                <w:tab w:val="left" w:pos="34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以岗位责任制为核心的电梯运行管理规章制度，包括事故与故障的应急措施和救援预案、电梯钥匙使用管理制度等；</w:t>
            </w:r>
          </w:p>
          <w:p>
            <w:pPr>
              <w:pStyle w:val="15"/>
              <w:numPr>
                <w:ilvl w:val="0"/>
                <w:numId w:val="48"/>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与取得相应资格单位签订的日常维护保养合同；</w:t>
            </w:r>
          </w:p>
          <w:p>
            <w:pPr>
              <w:pStyle w:val="15"/>
              <w:numPr>
                <w:ilvl w:val="0"/>
                <w:numId w:val="4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按照规定配备的电梯安全管理和作业人员的特种设备作业人员证；</w:t>
            </w:r>
          </w:p>
          <w:p>
            <w:pPr>
              <w:pStyle w:val="15"/>
              <w:numPr>
                <w:ilvl w:val="0"/>
                <w:numId w:val="49"/>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供电电源、防火前室、井道防火、机房防火、底坑排水设施等符合要求的有关证明材料；</w:t>
            </w:r>
            <w:r>
              <w:rPr>
                <w:rFonts w:ascii="Times New Roman" w:hAnsi="Times New Roman" w:cs="Times New Roman"/>
                <w:color w:val="auto"/>
                <w:sz w:val="18"/>
                <w:szCs w:val="18"/>
              </w:rPr>
              <w:t>(</w:t>
            </w:r>
            <w:r>
              <w:rPr>
                <w:rFonts w:ascii="Times New Roman" w:cs="Times New Roman"/>
                <w:color w:val="auto"/>
                <w:sz w:val="18"/>
                <w:szCs w:val="18"/>
              </w:rPr>
              <w:t>适用于消防员电梯</w:t>
            </w:r>
            <w:r>
              <w:rPr>
                <w:rFonts w:ascii="Times New Roman" w:hAnsi="Times New Roman" w:cs="Times New Roman"/>
                <w:color w:val="auto"/>
                <w:sz w:val="18"/>
                <w:szCs w:val="18"/>
              </w:rPr>
              <w:t>)</w:t>
            </w:r>
          </w:p>
          <w:p>
            <w:pPr>
              <w:pStyle w:val="15"/>
              <w:numPr>
                <w:ilvl w:val="0"/>
                <w:numId w:val="49"/>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防爆电梯所在区域的爆炸危险区域划分图或者说明资料，以及主要燃爆物质的化学名称或者防爆等级</w:t>
            </w:r>
            <w:r>
              <w:rPr>
                <w:rFonts w:ascii="Times New Roman" w:hAnsi="Times New Roman" w:cs="Times New Roman"/>
                <w:color w:val="auto"/>
                <w:sz w:val="18"/>
                <w:szCs w:val="18"/>
              </w:rPr>
              <w:t>(</w:t>
            </w:r>
            <w:r>
              <w:rPr>
                <w:rFonts w:ascii="Times New Roman" w:cs="Times New Roman"/>
                <w:color w:val="auto"/>
                <w:sz w:val="18"/>
                <w:szCs w:val="18"/>
              </w:rPr>
              <w:t>级别、</w:t>
            </w:r>
            <w:r>
              <w:rPr>
                <w:rFonts w:ascii="Times New Roman" w:hAnsi="Times New Roman" w:cs="Times New Roman"/>
                <w:color w:val="auto"/>
                <w:sz w:val="18"/>
                <w:szCs w:val="18"/>
              </w:rPr>
              <w:t xml:space="preserve"> </w:t>
            </w:r>
            <w:r>
              <w:rPr>
                <w:rFonts w:ascii="Times New Roman" w:cs="Times New Roman"/>
                <w:color w:val="auto"/>
                <w:sz w:val="18"/>
                <w:szCs w:val="18"/>
              </w:rPr>
              <w:t>组别</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cs="Times New Roman"/>
                <w:color w:val="auto"/>
                <w:sz w:val="18"/>
                <w:szCs w:val="18"/>
              </w:rPr>
              <w:t>适用于防爆电梯</w:t>
            </w:r>
            <w:r>
              <w:rPr>
                <w:rFonts w:ascii="Times New Roman" w:hAnsi="Times New Roman" w:cs="Times New Roman"/>
                <w:color w:val="auto"/>
                <w:sz w:val="18"/>
                <w:szCs w:val="18"/>
              </w:rPr>
              <w:t>)</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安全技术档案目录</w:t>
            </w:r>
            <w:r>
              <w:rPr>
                <w:rFonts w:ascii="Times New Roman" w:cs="Times New Roman"/>
                <w:color w:val="auto"/>
                <w:sz w:val="18"/>
                <w:szCs w:val="18"/>
                <w:lang w:val="en-US" w:eastAsia="zh-CN" w:bidi="en-US"/>
              </w:rPr>
              <w:t>、</w:t>
            </w:r>
            <w:r>
              <w:rPr>
                <w:rFonts w:ascii="Times New Roman" w:cs="Times New Roman"/>
                <w:color w:val="auto"/>
                <w:sz w:val="18"/>
                <w:szCs w:val="18"/>
              </w:rPr>
              <w:t>电梯使用安全管理制度目录由使用单位自定。</w:t>
            </w:r>
          </w:p>
        </w:tc>
      </w:tr>
      <w:tr>
        <w:trPr>
          <w:trHeight w:val="562"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23" w:name="_Hlk53691194"/>
            <w:r>
              <w:rPr>
                <w:rFonts w:ascii="Times New Roman" w:cs="Times New Roman"/>
                <w:color w:val="auto"/>
                <w:sz w:val="18"/>
                <w:szCs w:val="18"/>
              </w:rPr>
              <w:t>使用单位特别规定</w:t>
            </w:r>
            <w:bookmarkEnd w:id="23"/>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27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特种设备使用管理规则</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2017)</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2.1.2</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新安装未移交业主的电梯，项目建设单位是使用单位；委托物业服务单位管理的电梯，物业服务单位是使用单位；产权单位自行管理的电梯，产权单位是使用单位。</w:t>
            </w:r>
          </w:p>
        </w:tc>
      </w:tr>
      <w:tr>
        <w:trPr>
          <w:trHeight w:val="272"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24" w:name="_Hlk53691208"/>
            <w:r>
              <w:rPr>
                <w:rFonts w:ascii="Times New Roman" w:cs="Times New Roman"/>
                <w:color w:val="auto"/>
                <w:sz w:val="18"/>
                <w:szCs w:val="18"/>
              </w:rPr>
              <w:t>维保单位要求</w:t>
            </w:r>
            <w:bookmarkEnd w:id="24"/>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27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2.7.1</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使用单位应当选择具有相应资质的单位实施维护保养。</w:t>
            </w:r>
          </w:p>
        </w:tc>
      </w:tr>
      <w:tr>
        <w:trPr>
          <w:trHeight w:val="466"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25" w:name="_Hlk53691221"/>
            <w:r>
              <w:rPr>
                <w:rFonts w:ascii="Times New Roman" w:cs="Times New Roman"/>
                <w:color w:val="auto"/>
                <w:sz w:val="18"/>
                <w:szCs w:val="18"/>
              </w:rPr>
              <w:t>作业人员配备</w:t>
            </w:r>
            <w:bookmarkEnd w:id="25"/>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jc w:val="center"/>
              <w:rPr>
                <w:rFonts w:ascii="Times New Roman" w:hAnsi="Times New Roman" w:cs="Times New Roman"/>
                <w:color w:val="auto"/>
                <w:sz w:val="18"/>
                <w:szCs w:val="18"/>
              </w:rPr>
            </w:pPr>
          </w:p>
        </w:tc>
        <w:tc>
          <w:tcPr>
            <w:tcW w:w="127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2.4.4.2</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医院病床电梯、直接用于旅游观光的额定速度大于</w:t>
            </w:r>
            <w:r>
              <w:rPr>
                <w:rFonts w:ascii="Times New Roman" w:hAnsi="Times New Roman" w:eastAsia="Times New Roman" w:cs="Times New Roman"/>
                <w:color w:val="auto"/>
                <w:sz w:val="18"/>
                <w:szCs w:val="18"/>
                <w:lang w:val="en-US" w:eastAsia="zh-CN" w:bidi="en-US"/>
              </w:rPr>
              <w:t>2.5 m/s</w:t>
            </w:r>
            <w:r>
              <w:rPr>
                <w:rFonts w:ascii="Times New Roman" w:cs="Times New Roman"/>
                <w:color w:val="auto"/>
                <w:sz w:val="18"/>
                <w:szCs w:val="18"/>
              </w:rPr>
              <w:t>的乘客电梯以及需要司机操作的电梯，应当由持有相应特种设备作业人员证的人员操作。</w:t>
            </w:r>
          </w:p>
        </w:tc>
      </w:tr>
      <w:tr>
        <w:trPr>
          <w:trHeight w:val="368"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26" w:name="_Hlk53691233"/>
            <w:r>
              <w:rPr>
                <w:rFonts w:ascii="Times New Roman" w:cs="Times New Roman"/>
                <w:color w:val="auto"/>
                <w:sz w:val="18"/>
                <w:szCs w:val="18"/>
              </w:rPr>
              <w:t>维保记录管理</w:t>
            </w:r>
            <w:bookmarkEnd w:id="26"/>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27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第七条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维保单位进行电梯维保，应当进行记录。维保记录应当经使用单位安全管理人员签字确认。</w:t>
            </w:r>
          </w:p>
        </w:tc>
      </w:tr>
      <w:tr>
        <w:trPr>
          <w:trHeight w:val="1253"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日常维护保养</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维保</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单位</w:t>
            </w:r>
          </w:p>
        </w:tc>
        <w:tc>
          <w:tcPr>
            <w:tcW w:w="709"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维保</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人员</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半月、季度、半年、年度</w:t>
            </w:r>
          </w:p>
        </w:tc>
        <w:tc>
          <w:tcPr>
            <w:tcW w:w="127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电梯维护保养规则</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T5002</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2017</w:t>
            </w:r>
            <w:r>
              <w:rPr>
                <w:rFonts w:ascii="Times New Roman" w:cs="Times New Roman"/>
                <w:color w:val="auto"/>
                <w:sz w:val="18"/>
                <w:szCs w:val="18"/>
              </w:rPr>
              <w:t>）</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第六条</w:t>
            </w:r>
          </w:p>
        </w:tc>
        <w:tc>
          <w:tcPr>
            <w:tcW w:w="946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电梯的维保项目分为半月、季度、半年、年度等四类，各类维保的基本项目（内容）和要求分别参见</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lang w:val="en-US" w:eastAsia="zh-CN" w:bidi="en-US"/>
              </w:rPr>
              <w:t>TSG T5002-2017</w:t>
            </w:r>
            <w:r>
              <w:rPr>
                <w:rFonts w:asci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A</w:t>
            </w:r>
            <w:r>
              <w:rPr>
                <w:rFonts w:ascii="Times New Roman" w:hAnsi="MS Mincho" w:eastAsia="MS Mincho" w:cs="Times New Roman"/>
                <w:color w:val="auto"/>
                <w:sz w:val="18"/>
                <w:szCs w:val="18"/>
              </w:rPr>
              <w:t>〜</w:t>
            </w: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D</w:t>
            </w:r>
            <w:r>
              <w:rPr>
                <w:rFonts w:ascii="Times New Roman" w:cs="Times New Roman"/>
                <w:color w:val="auto"/>
                <w:sz w:val="18"/>
                <w:szCs w:val="18"/>
                <w:lang w:val="en-US" w:eastAsia="zh-CN" w:bidi="en-US"/>
              </w:rPr>
              <w:t>。</w:t>
            </w:r>
            <w:r>
              <w:rPr>
                <w:rFonts w:ascii="Times New Roman" w:cs="Times New Roman"/>
                <w:color w:val="auto"/>
                <w:sz w:val="18"/>
                <w:szCs w:val="18"/>
              </w:rPr>
              <w:t>维保单位应当依据各附件的要求，按照安装使用维护说明书的规定，并且根据所保养电梯使用的特点，制定合理的维保计划与方案，对电梯进行清洁、</w:t>
            </w:r>
            <w:r>
              <w:rPr>
                <w:rFonts w:ascii="Times New Roman" w:hAnsi="Times New Roman" w:cs="Times New Roman"/>
                <w:color w:val="auto"/>
                <w:sz w:val="18"/>
                <w:szCs w:val="18"/>
              </w:rPr>
              <w:t xml:space="preserve"> </w:t>
            </w:r>
            <w:r>
              <w:rPr>
                <w:rFonts w:ascii="Times New Roman" w:cs="Times New Roman"/>
                <w:color w:val="auto"/>
                <w:sz w:val="18"/>
                <w:szCs w:val="18"/>
              </w:rPr>
              <w:t>润滑、检查、调整，更换不符合要求的易损件，使电梯达到安全要求，保证电梯能够正常运行。现</w:t>
            </w:r>
            <w:r>
              <w:rPr>
                <w:rFonts w:ascii="Times New Roman" w:hAnsi="Times New Roman" w:cs="Times New Roman"/>
                <w:color w:val="auto"/>
                <w:sz w:val="18"/>
                <w:szCs w:val="18"/>
              </w:rPr>
              <w:t xml:space="preserve"> </w:t>
            </w:r>
            <w:r>
              <w:rPr>
                <w:rFonts w:ascii="Times New Roman" w:cs="Times New Roman"/>
                <w:color w:val="auto"/>
                <w:sz w:val="18"/>
                <w:szCs w:val="18"/>
              </w:rPr>
              <w:t>场维保时，如果发现电梯存在的问题需要通过增加维保项目（内容）予以解决的，维保单位应当相应增加并且及时修订维保计划与方案。</w:t>
            </w:r>
          </w:p>
        </w:tc>
      </w:tr>
      <w:tr>
        <w:trPr>
          <w:trHeight w:val="818" w:hRule="atLeas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自行检查</w:t>
            </w: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六个月</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cs="Times New Roman"/>
                <w:color w:val="auto"/>
                <w:sz w:val="18"/>
                <w:szCs w:val="18"/>
              </w:rPr>
              <w:t>在定期检验之前进行</w:t>
            </w:r>
            <w:r>
              <w:rPr>
                <w:rFonts w:ascii="Times New Roman" w:hAnsi="Times New Roman" w:cs="Times New Roman"/>
                <w:color w:val="auto"/>
                <w:sz w:val="18"/>
                <w:szCs w:val="18"/>
              </w:rPr>
              <w:t>)</w:t>
            </w:r>
          </w:p>
        </w:tc>
        <w:tc>
          <w:tcPr>
            <w:tcW w:w="127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val="zh-CN" w:eastAsia="zh-CN" w:bidi="zh-CN"/>
              </w:rPr>
              <w:t>第</w:t>
            </w:r>
            <w:r>
              <w:rPr>
                <w:rFonts w:ascii="Times New Roman" w:cs="Times New Roman"/>
                <w:color w:val="auto"/>
                <w:sz w:val="18"/>
                <w:szCs w:val="18"/>
              </w:rPr>
              <w:t>五条</w:t>
            </w:r>
          </w:p>
        </w:tc>
        <w:tc>
          <w:tcPr>
            <w:tcW w:w="946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自行检查项目及其内容根据使用状况确定，但是不少于</w:t>
            </w:r>
            <w:r>
              <w:rPr>
                <w:rFonts w:ascii="Times New Roman" w:hAnsi="Times New Roman" w:eastAsia="Times New Roman" w:cs="Times New Roman"/>
                <w:color w:val="auto"/>
                <w:sz w:val="18"/>
                <w:szCs w:val="18"/>
                <w:lang w:val="en-US" w:eastAsia="zh-CN" w:bidi="en-US"/>
              </w:rPr>
              <w:t>TSG T5002-2017</w:t>
            </w:r>
            <w:r>
              <w:rPr>
                <w:rFonts w:ascii="Times New Roman" w:cs="Times New Roman"/>
                <w:color w:val="auto"/>
                <w:sz w:val="18"/>
                <w:szCs w:val="18"/>
              </w:rPr>
              <w:t>中年度维保和电梯定期检验规定的项目及其内容，并且向使用单位出具有自行检查和审核人员的签字、加盖维保单位公章或者其他专用章的自行检查记录或者报告。</w:t>
            </w:r>
          </w:p>
        </w:tc>
      </w:tr>
      <w:tr>
        <w:trPr>
          <w:trHeight w:val="1213"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定期检验</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机构</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有资格</w:t>
            </w:r>
            <w:r>
              <w:rPr>
                <w:rFonts w:ascii="Times New Roman" w:hAnsi="Times New Roman" w:cs="Times New Roman"/>
                <w:color w:val="auto"/>
                <w:sz w:val="18"/>
                <w:szCs w:val="18"/>
              </w:rPr>
              <w:t xml:space="preserve"> </w:t>
            </w:r>
            <w:r>
              <w:rPr>
                <w:rFonts w:ascii="Times New Roman" w:cs="Times New Roman"/>
                <w:color w:val="auto"/>
                <w:sz w:val="18"/>
                <w:szCs w:val="18"/>
              </w:rPr>
              <w:t>的检验</w:t>
            </w:r>
            <w:r>
              <w:rPr>
                <w:rFonts w:ascii="Times New Roman" w:hAnsi="Times New Roman" w:cs="Times New Roman"/>
                <w:color w:val="auto"/>
                <w:sz w:val="18"/>
                <w:szCs w:val="18"/>
              </w:rPr>
              <w:t xml:space="preserve"> </w:t>
            </w:r>
            <w:r>
              <w:rPr>
                <w:rFonts w:ascii="Times New Roman" w:cs="Times New Roman"/>
                <w:color w:val="auto"/>
                <w:sz w:val="18"/>
                <w:szCs w:val="18"/>
              </w:rPr>
              <w:t>人员</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按</w:t>
            </w:r>
            <w:r>
              <w:rPr>
                <w:rFonts w:ascii="Times New Roman" w:hAnsi="Times New Roman" w:cs="Times New Roman"/>
                <w:color w:val="auto"/>
                <w:sz w:val="18"/>
                <w:szCs w:val="18"/>
              </w:rPr>
              <w:t>“</w:t>
            </w:r>
            <w:r>
              <w:rPr>
                <w:rFonts w:ascii="Times New Roman" w:cs="Times New Roman"/>
                <w:color w:val="auto"/>
                <w:sz w:val="18"/>
                <w:szCs w:val="18"/>
              </w:rPr>
              <w:t>上次检</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验报告</w:t>
            </w:r>
            <w:r>
              <w:rPr>
                <w:rFonts w:ascii="Times New Roman" w:hAnsi="Times New Roman" w:cs="Times New Roman"/>
                <w:color w:val="auto"/>
                <w:sz w:val="18"/>
                <w:szCs w:val="18"/>
              </w:rPr>
              <w:t>”</w:t>
            </w:r>
          </w:p>
        </w:tc>
        <w:tc>
          <w:tcPr>
            <w:tcW w:w="127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T7001</w:t>
            </w:r>
            <w:r>
              <w:rPr>
                <w:rFonts w:ascii="Times New Roman" w:hAnsi="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lang w:val="en-US" w:eastAsia="zh-CN" w:bidi="en-US"/>
              </w:rPr>
              <w:t>2009</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T7006-</w:t>
            </w:r>
            <w:r>
              <w:rPr>
                <w:rFonts w:ascii="Times New Roman" w:hAnsi="Times New Roman" w:eastAsia="Times New Roman" w:cs="Times New Roman"/>
                <w:color w:val="auto"/>
                <w:sz w:val="18"/>
                <w:szCs w:val="18"/>
              </w:rPr>
              <w:t xml:space="preserve">2012 </w:t>
            </w:r>
            <w:r>
              <w:rPr>
                <w:rFonts w:ascii="Times New Roman" w:cs="Times New Roman"/>
                <w:color w:val="auto"/>
                <w:sz w:val="18"/>
                <w:szCs w:val="18"/>
              </w:rPr>
              <w:t>等相关安全技术规范</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第八条</w:t>
            </w:r>
          </w:p>
        </w:tc>
        <w:tc>
          <w:tcPr>
            <w:tcW w:w="946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检验机构应当在施工单位自检合格的基础上实施监督检验，在维护保养单位自检合格的基础上实施定期检验。</w:t>
            </w:r>
          </w:p>
        </w:tc>
      </w:tr>
      <w:tr>
        <w:trPr>
          <w:trHeight w:val="704"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日常巡查</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70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每日一次</w:t>
            </w:r>
          </w:p>
        </w:tc>
        <w:tc>
          <w:tcPr>
            <w:tcW w:w="1275"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DB61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 1357-</w:t>
            </w:r>
            <w:r>
              <w:rPr>
                <w:rFonts w:ascii="Times New Roman" w:hAnsi="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lang w:val="en-US" w:eastAsia="zh-CN" w:bidi="en-US"/>
              </w:rPr>
              <w:t xml:space="preserve">2020 </w:t>
            </w:r>
            <w:r>
              <w:rPr>
                <w:rFonts w:ascii="Times New Roman" w:cs="Times New Roman"/>
                <w:color w:val="auto"/>
                <w:sz w:val="18"/>
                <w:szCs w:val="18"/>
                <w:lang w:val="en-US" w:eastAsia="zh-CN" w:bidi="en-US"/>
              </w:rPr>
              <w:t>电梯使用管理规范</w:t>
            </w:r>
          </w:p>
        </w:tc>
        <w:tc>
          <w:tcPr>
            <w:tcW w:w="8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cs="Times New Roman"/>
                <w:color w:val="auto"/>
                <w:sz w:val="18"/>
                <w:szCs w:val="18"/>
                <w:lang w:val="en-US" w:eastAsia="zh-CN"/>
              </w:rPr>
              <w:t>附录</w:t>
            </w:r>
            <w:r>
              <w:rPr>
                <w:rFonts w:ascii="Times New Roman" w:hAnsi="Times New Roman" w:cs="Times New Roman"/>
                <w:color w:val="auto"/>
                <w:sz w:val="18"/>
                <w:szCs w:val="18"/>
                <w:lang w:val="en-US" w:eastAsia="zh-CN"/>
              </w:rPr>
              <w:t>A</w:t>
            </w:r>
          </w:p>
        </w:tc>
        <w:tc>
          <w:tcPr>
            <w:tcW w:w="946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见附表</w:t>
            </w:r>
          </w:p>
        </w:tc>
      </w:tr>
    </w:tbl>
    <w:p>
      <w:pPr>
        <w:snapToGrid w:val="0"/>
        <w:rPr>
          <w:color w:val="auto"/>
          <w:sz w:val="18"/>
          <w:szCs w:val="18"/>
          <w:lang w:eastAsia="zh-CN"/>
        </w:rPr>
        <w:sectPr>
          <w:headerReference r:id="rId26" w:type="first"/>
          <w:footerReference r:id="rId29" w:type="first"/>
          <w:headerReference r:id="rId24" w:type="default"/>
          <w:footerReference r:id="rId27" w:type="default"/>
          <w:headerReference r:id="rId25" w:type="even"/>
          <w:footerReference r:id="rId28" w:type="even"/>
          <w:pgSz w:w="16840" w:h="11900" w:orient="landscape"/>
          <w:pgMar w:top="1134" w:right="1134" w:bottom="1134" w:left="1134" w:header="851" w:footer="851" w:gutter="0"/>
          <w:cols w:space="720" w:num="1"/>
          <w:titlePg/>
          <w:docGrid w:linePitch="360" w:charSpace="0"/>
        </w:sectPr>
      </w:pPr>
    </w:p>
    <w:p>
      <w:pPr>
        <w:pStyle w:val="18"/>
        <w:numPr>
          <w:ilvl w:val="0"/>
          <w:numId w:val="0"/>
        </w:numPr>
        <w:tabs>
          <w:tab w:val="clear" w:pos="180"/>
        </w:tabs>
        <w:snapToGrid w:val="0"/>
        <w:spacing w:before="60" w:beforeLines="25" w:after="60" w:afterLines="25"/>
        <w:rPr>
          <w:rFonts w:ascii="Times New Roman"/>
          <w:b/>
          <w:color w:val="auto"/>
        </w:rPr>
      </w:pPr>
      <w:bookmarkStart w:id="27" w:name="_Toc15490"/>
      <w:bookmarkStart w:id="28" w:name="_Toc6070"/>
      <w:bookmarkStart w:id="29" w:name="_Toc25943807"/>
      <w:bookmarkStart w:id="30" w:name="_Toc20429"/>
      <w:r>
        <w:rPr>
          <w:rFonts w:ascii="Times New Roman" w:hAnsi="黑体"/>
          <w:b/>
          <w:color w:val="auto"/>
        </w:rPr>
        <w:t>附表</w:t>
      </w:r>
      <w:r>
        <w:rPr>
          <w:rFonts w:ascii="Times New Roman"/>
          <w:b/>
          <w:color w:val="auto"/>
        </w:rPr>
        <w:t xml:space="preserve">1  </w:t>
      </w:r>
      <w:r>
        <w:rPr>
          <w:rFonts w:ascii="Times New Roman" w:hAnsi="黑体"/>
          <w:b/>
          <w:color w:val="auto"/>
        </w:rPr>
        <w:t>曳引驱动电梯日常巡查内容、要求与方法</w:t>
      </w:r>
      <w:bookmarkEnd w:id="27"/>
      <w:bookmarkEnd w:id="28"/>
      <w:bookmarkEnd w:id="29"/>
      <w:bookmarkEnd w:id="30"/>
    </w:p>
    <w:tbl>
      <w:tblPr>
        <w:tblStyle w:val="8"/>
        <w:tblW w:w="97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3"/>
        <w:gridCol w:w="2764"/>
        <w:gridCol w:w="3642"/>
        <w:gridCol w:w="2762"/>
      </w:tblGrid>
      <w:tr>
        <w:trPr>
          <w:jc w:val="center"/>
        </w:trPr>
        <w:tc>
          <w:tcPr>
            <w:tcW w:w="533"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2764"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巡查项目、内容</w:t>
            </w:r>
          </w:p>
        </w:tc>
        <w:tc>
          <w:tcPr>
            <w:tcW w:w="3642"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要求</w:t>
            </w:r>
          </w:p>
        </w:tc>
        <w:tc>
          <w:tcPr>
            <w:tcW w:w="2762"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方法</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机房巡查</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bookmarkStart w:id="31" w:name="_Toc465078652"/>
            <w:bookmarkStart w:id="32" w:name="_Toc464150282"/>
            <w:bookmarkStart w:id="33" w:name="_Toc463644301"/>
            <w:bookmarkStart w:id="34" w:name="_Toc463538944"/>
            <w:bookmarkStart w:id="35" w:name="_Toc463449660"/>
            <w:bookmarkStart w:id="36" w:name="_Toc464491314"/>
            <w:bookmarkStart w:id="37" w:name="_Toc464748808"/>
            <w:bookmarkStart w:id="38" w:name="_Toc463528479"/>
            <w:bookmarkStart w:id="39" w:name="_Toc465031992"/>
            <w:bookmarkStart w:id="40" w:name="_Toc463816131"/>
            <w:bookmarkStart w:id="41" w:name="_Toc464738868"/>
            <w:bookmarkStart w:id="42" w:name="_Toc463626511"/>
            <w:bookmarkStart w:id="43" w:name="_Toc463603525"/>
            <w:bookmarkStart w:id="44" w:name="_Toc463432651"/>
            <w:bookmarkStart w:id="45" w:name="_Toc463529614"/>
            <w:bookmarkStart w:id="46" w:name="_Toc463440875"/>
            <w:bookmarkStart w:id="47" w:name="_Toc463467739"/>
            <w:bookmarkStart w:id="48" w:name="_Toc464063253"/>
            <w:bookmarkStart w:id="49" w:name="_Toc465587493"/>
            <w:bookmarkStart w:id="50" w:name="_Toc463959545"/>
            <w:bookmarkStart w:id="51" w:name="_Toc1376"/>
            <w:bookmarkStart w:id="52" w:name="_Toc463610924"/>
            <w:bookmarkStart w:id="53" w:name="_Toc463525868"/>
            <w:bookmarkStart w:id="54" w:name="_Toc463563226"/>
            <w:bookmarkStart w:id="55" w:name="_Toc463793827"/>
            <w:r>
              <w:rPr>
                <w:rFonts w:ascii="Times New Roman" w:hAnsi="Times New Roman"/>
                <w:color w:val="auto"/>
                <w:kern w:val="0"/>
                <w:sz w:val="18"/>
                <w:lang w:val="en-US" w:eastAsia="zh-CN"/>
              </w:rPr>
              <w:t>1、机房清洁、无与电梯无关的物品和设备</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
              <w:adjustRightInd w:val="0"/>
              <w:snapToGrid w:val="0"/>
              <w:rPr>
                <w:rFonts w:ascii="Times New Roman" w:hAnsi="Times New Roman"/>
                <w:color w:val="auto"/>
                <w:kern w:val="0"/>
                <w:sz w:val="18"/>
                <w:lang w:val="en-US" w:eastAsia="zh-CN"/>
              </w:rPr>
            </w:pPr>
            <w:bookmarkStart w:id="56" w:name="_Toc465031993"/>
            <w:bookmarkStart w:id="57" w:name="_Toc464150283"/>
            <w:bookmarkStart w:id="58" w:name="_Toc463959546"/>
            <w:bookmarkStart w:id="59" w:name="_Toc463603526"/>
            <w:bookmarkStart w:id="60" w:name="_Toc464063254"/>
            <w:bookmarkStart w:id="61" w:name="_Toc465587494"/>
            <w:bookmarkStart w:id="62" w:name="_Toc463563227"/>
            <w:bookmarkStart w:id="63" w:name="_Toc10216"/>
            <w:bookmarkStart w:id="64" w:name="_Toc464491315"/>
            <w:bookmarkStart w:id="65" w:name="_Toc463449661"/>
            <w:bookmarkStart w:id="66" w:name="_Toc463538945"/>
            <w:bookmarkStart w:id="67" w:name="_Toc465078653"/>
            <w:bookmarkStart w:id="68" w:name="_Toc463440876"/>
            <w:bookmarkStart w:id="69" w:name="_Toc464738869"/>
            <w:bookmarkStart w:id="70" w:name="_Toc464748809"/>
            <w:bookmarkStart w:id="71" w:name="_Toc463644302"/>
            <w:bookmarkStart w:id="72" w:name="_Toc463528480"/>
            <w:bookmarkStart w:id="73" w:name="_Toc463816132"/>
            <w:bookmarkStart w:id="74" w:name="_Toc463432652"/>
            <w:bookmarkStart w:id="75" w:name="_Toc463529615"/>
            <w:bookmarkStart w:id="76" w:name="_Toc463626512"/>
            <w:bookmarkStart w:id="77" w:name="_Toc463610925"/>
            <w:bookmarkStart w:id="78" w:name="_Toc463467740"/>
            <w:bookmarkStart w:id="79" w:name="_Toc463525869"/>
            <w:bookmarkStart w:id="80" w:name="_Toc463793828"/>
            <w:r>
              <w:rPr>
                <w:rFonts w:ascii="Times New Roman" w:hAnsi="Times New Roman"/>
                <w:color w:val="auto"/>
                <w:kern w:val="0"/>
                <w:sz w:val="18"/>
                <w:lang w:val="en-US" w:eastAsia="zh-CN"/>
              </w:rPr>
              <w:t>2、门窗完好、门外侧应有安全标志</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adjustRightInd w:val="0"/>
              <w:snapToGrid w:val="0"/>
              <w:rPr>
                <w:rFonts w:ascii="Times New Roman" w:hAnsi="Times New Roman"/>
                <w:color w:val="auto"/>
                <w:kern w:val="0"/>
                <w:sz w:val="18"/>
                <w:lang w:val="en-US" w:eastAsia="zh-CN"/>
              </w:rPr>
            </w:pPr>
            <w:bookmarkStart w:id="81" w:name="_Toc463563228"/>
            <w:bookmarkStart w:id="82" w:name="_Toc463626513"/>
            <w:bookmarkStart w:id="83" w:name="_Toc463529616"/>
            <w:bookmarkStart w:id="84" w:name="_Toc463816133"/>
            <w:bookmarkStart w:id="85" w:name="_Toc464063255"/>
            <w:bookmarkStart w:id="86" w:name="_Toc465078654"/>
            <w:bookmarkStart w:id="87" w:name="_Toc464150284"/>
            <w:bookmarkStart w:id="88" w:name="_Toc29301"/>
            <w:bookmarkStart w:id="89" w:name="_Toc463528481"/>
            <w:bookmarkStart w:id="90" w:name="_Toc463610926"/>
            <w:bookmarkStart w:id="91" w:name="_Toc463440877"/>
            <w:bookmarkStart w:id="92" w:name="_Toc465587495"/>
            <w:bookmarkStart w:id="93" w:name="_Toc463538946"/>
            <w:bookmarkStart w:id="94" w:name="_Toc463603527"/>
            <w:bookmarkStart w:id="95" w:name="_Toc463793829"/>
            <w:bookmarkStart w:id="96" w:name="_Toc464738870"/>
            <w:bookmarkStart w:id="97" w:name="_Toc463959547"/>
            <w:bookmarkStart w:id="98" w:name="_Toc463449662"/>
            <w:bookmarkStart w:id="99" w:name="_Toc463467741"/>
            <w:bookmarkStart w:id="100" w:name="_Toc463525870"/>
            <w:bookmarkStart w:id="101" w:name="_Toc465031994"/>
            <w:bookmarkStart w:id="102" w:name="_Toc464748810"/>
            <w:bookmarkStart w:id="103" w:name="_Toc464491316"/>
            <w:bookmarkStart w:id="104" w:name="_Toc463432653"/>
            <w:bookmarkStart w:id="105" w:name="_Toc463644303"/>
            <w:r>
              <w:rPr>
                <w:rFonts w:ascii="Times New Roman" w:hAnsi="Times New Roman"/>
                <w:color w:val="auto"/>
                <w:kern w:val="0"/>
                <w:sz w:val="18"/>
                <w:lang w:val="en-US" w:eastAsia="zh-CN"/>
              </w:rPr>
              <w:t>3、照明工作正常</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5"/>
              <w:adjustRightInd w:val="0"/>
              <w:snapToGrid w:val="0"/>
              <w:rPr>
                <w:rFonts w:ascii="Times New Roman" w:hAnsi="Times New Roman"/>
                <w:color w:val="auto"/>
                <w:kern w:val="0"/>
                <w:sz w:val="18"/>
                <w:lang w:val="en-US" w:eastAsia="zh-CN"/>
              </w:rPr>
            </w:pPr>
            <w:bookmarkStart w:id="106" w:name="_Toc464150285"/>
            <w:bookmarkStart w:id="107" w:name="_Toc463959548"/>
            <w:bookmarkStart w:id="108" w:name="_Toc465031995"/>
            <w:bookmarkStart w:id="109" w:name="_Toc6543"/>
            <w:bookmarkStart w:id="110" w:name="_Toc465587496"/>
            <w:bookmarkStart w:id="111" w:name="_Toc463467742"/>
            <w:bookmarkStart w:id="112" w:name="_Toc463440878"/>
            <w:bookmarkStart w:id="113" w:name="_Toc463449663"/>
            <w:bookmarkStart w:id="114" w:name="_Toc464063256"/>
            <w:bookmarkStart w:id="115" w:name="_Toc464738871"/>
            <w:bookmarkStart w:id="116" w:name="_Toc463793830"/>
            <w:bookmarkStart w:id="117" w:name="_Toc464491317"/>
            <w:bookmarkStart w:id="118" w:name="_Toc463626514"/>
            <w:bookmarkStart w:id="119" w:name="_Toc463529617"/>
            <w:bookmarkStart w:id="120" w:name="_Toc463563229"/>
            <w:bookmarkStart w:id="121" w:name="_Toc464748811"/>
            <w:bookmarkStart w:id="122" w:name="_Toc463528482"/>
            <w:bookmarkStart w:id="123" w:name="_Toc463525871"/>
            <w:bookmarkStart w:id="124" w:name="_Toc465078655"/>
            <w:bookmarkStart w:id="125" w:name="_Toc463816134"/>
            <w:bookmarkStart w:id="126" w:name="_Toc463432654"/>
            <w:bookmarkStart w:id="127" w:name="_Toc463644304"/>
            <w:bookmarkStart w:id="128" w:name="_Toc463538947"/>
            <w:bookmarkStart w:id="129" w:name="_Toc463610927"/>
            <w:bookmarkStart w:id="130" w:name="_Toc463603528"/>
            <w:r>
              <w:rPr>
                <w:rFonts w:ascii="Times New Roman" w:hAnsi="Times New Roman"/>
                <w:color w:val="auto"/>
                <w:kern w:val="0"/>
                <w:sz w:val="18"/>
                <w:lang w:val="en-US" w:eastAsia="zh-CN"/>
              </w:rPr>
              <w:t>4、温度保持在5</w:t>
            </w:r>
            <w:r>
              <w:rPr>
                <w:rFonts w:ascii="Times New Roman" w:hAnsi="宋体"/>
                <w:color w:val="auto"/>
                <w:kern w:val="0"/>
                <w:sz w:val="18"/>
                <w:lang w:val="en-US" w:eastAsia="zh-CN"/>
              </w:rPr>
              <w:t>℃</w:t>
            </w:r>
            <w:r>
              <w:rPr>
                <w:rFonts w:ascii="Times New Roman" w:hAnsi="Times New Roman"/>
                <w:color w:val="auto"/>
                <w:kern w:val="0"/>
                <w:sz w:val="18"/>
                <w:lang w:val="en-US" w:eastAsia="zh-CN"/>
              </w:rPr>
              <w:t>～40</w:t>
            </w:r>
            <w:r>
              <w:rPr>
                <w:rFonts w:ascii="Times New Roman" w:hAnsi="宋体"/>
                <w:color w:val="auto"/>
                <w:kern w:val="0"/>
                <w:sz w:val="18"/>
                <w:lang w:val="en-US" w:eastAsia="zh-CN"/>
              </w:rPr>
              <w:t>℃</w:t>
            </w:r>
            <w:r>
              <w:rPr>
                <w:rFonts w:ascii="Times New Roman" w:hAnsi="Times New Roman"/>
                <w:color w:val="auto"/>
                <w:kern w:val="0"/>
                <w:sz w:val="18"/>
                <w:lang w:val="en-US" w:eastAsia="zh-CN"/>
              </w:rPr>
              <w:t>之间</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5、消防设施有效</w:t>
            </w:r>
          </w:p>
          <w:p>
            <w:pPr>
              <w:pStyle w:val="5"/>
              <w:adjustRightInd w:val="0"/>
              <w:snapToGrid w:val="0"/>
              <w:rPr>
                <w:rFonts w:ascii="Times New Roman" w:hAnsi="Times New Roman"/>
                <w:color w:val="auto"/>
                <w:kern w:val="0"/>
                <w:sz w:val="18"/>
                <w:lang w:val="en-US" w:eastAsia="zh-CN"/>
              </w:rPr>
            </w:pPr>
            <w:bookmarkStart w:id="131" w:name="_Toc464748812"/>
            <w:bookmarkStart w:id="132" w:name="_Toc465078656"/>
            <w:bookmarkStart w:id="133" w:name="_Toc465031996"/>
            <w:bookmarkStart w:id="134" w:name="_Toc465587497"/>
            <w:bookmarkStart w:id="135" w:name="_Toc464738872"/>
            <w:r>
              <w:rPr>
                <w:rFonts w:ascii="Times New Roman" w:hAnsi="Times New Roman"/>
                <w:color w:val="auto"/>
                <w:kern w:val="0"/>
                <w:sz w:val="18"/>
                <w:lang w:val="en-US" w:eastAsia="zh-CN"/>
              </w:rPr>
              <w:t>6、安全标识齐全、清晰</w:t>
            </w:r>
            <w:bookmarkEnd w:id="131"/>
            <w:bookmarkEnd w:id="132"/>
            <w:bookmarkEnd w:id="133"/>
            <w:bookmarkEnd w:id="134"/>
            <w:bookmarkEnd w:id="135"/>
          </w:p>
        </w:tc>
        <w:tc>
          <w:tcPr>
            <w:tcW w:w="2762" w:type="dxa"/>
            <w:noWrap w:val="0"/>
            <w:vAlign w:val="center"/>
          </w:tcPr>
          <w:p>
            <w:pPr>
              <w:pStyle w:val="5"/>
              <w:adjustRightInd w:val="0"/>
              <w:snapToGrid w:val="0"/>
              <w:rPr>
                <w:rFonts w:ascii="Times New Roman" w:hAnsi="Times New Roman"/>
                <w:color w:val="auto"/>
                <w:kern w:val="0"/>
                <w:sz w:val="18"/>
                <w:lang w:val="en-US" w:eastAsia="zh-CN"/>
              </w:rPr>
            </w:pPr>
            <w:bookmarkStart w:id="136" w:name="_Toc464063257"/>
            <w:bookmarkStart w:id="137" w:name="_Toc465031997"/>
            <w:bookmarkStart w:id="138" w:name="_Toc463610928"/>
            <w:bookmarkStart w:id="139" w:name="_Toc463644305"/>
            <w:bookmarkStart w:id="140" w:name="_Toc463959549"/>
            <w:bookmarkStart w:id="141" w:name="_Toc464150286"/>
            <w:bookmarkStart w:id="142" w:name="_Toc463467743"/>
            <w:bookmarkStart w:id="143" w:name="_Toc463538948"/>
            <w:bookmarkStart w:id="144" w:name="_Toc463525872"/>
            <w:bookmarkStart w:id="145" w:name="_Toc463528483"/>
            <w:bookmarkStart w:id="146" w:name="_Toc463793831"/>
            <w:bookmarkStart w:id="147" w:name="_Toc464738873"/>
            <w:bookmarkStart w:id="148" w:name="_Toc463626515"/>
            <w:bookmarkStart w:id="149" w:name="_Toc463816135"/>
            <w:bookmarkStart w:id="150" w:name="_Toc463529618"/>
            <w:bookmarkStart w:id="151" w:name="_Toc463603529"/>
            <w:bookmarkStart w:id="152" w:name="_Toc465587498"/>
            <w:bookmarkStart w:id="153" w:name="_Toc463440879"/>
            <w:bookmarkStart w:id="154" w:name="_Toc465078657"/>
            <w:bookmarkStart w:id="155" w:name="_Toc463432655"/>
            <w:bookmarkStart w:id="156" w:name="_Toc463563230"/>
            <w:bookmarkStart w:id="157" w:name="_Toc464748813"/>
            <w:bookmarkStart w:id="158" w:name="_Toc463449664"/>
            <w:bookmarkStart w:id="159" w:name="_Toc464491318"/>
            <w:bookmarkStart w:id="160" w:name="_Toc30835"/>
            <w:r>
              <w:rPr>
                <w:rFonts w:ascii="Times New Roman" w:hAnsi="Times New Roman"/>
                <w:color w:val="auto"/>
                <w:kern w:val="0"/>
                <w:sz w:val="18"/>
                <w:lang w:val="en-US" w:eastAsia="zh-CN"/>
              </w:rPr>
              <w:t>1、目测</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5"/>
              <w:adjustRightInd w:val="0"/>
              <w:snapToGrid w:val="0"/>
              <w:rPr>
                <w:rFonts w:ascii="Times New Roman" w:hAnsi="Times New Roman"/>
                <w:color w:val="auto"/>
                <w:kern w:val="0"/>
                <w:sz w:val="18"/>
                <w:lang w:val="en-US" w:eastAsia="zh-CN"/>
              </w:rPr>
            </w:pPr>
            <w:bookmarkStart w:id="161" w:name="_Toc464491319"/>
            <w:bookmarkStart w:id="162" w:name="_Toc465078658"/>
            <w:bookmarkStart w:id="163" w:name="_Toc463467744"/>
            <w:bookmarkStart w:id="164" w:name="_Toc465031998"/>
            <w:bookmarkStart w:id="165" w:name="_Toc463432656"/>
            <w:bookmarkStart w:id="166" w:name="_Toc463793832"/>
            <w:bookmarkStart w:id="167" w:name="_Toc463538949"/>
            <w:bookmarkStart w:id="168" w:name="_Toc465587499"/>
            <w:bookmarkStart w:id="169" w:name="_Toc464738874"/>
            <w:bookmarkStart w:id="170" w:name="_Toc464748814"/>
            <w:bookmarkStart w:id="171" w:name="_Toc463610929"/>
            <w:bookmarkStart w:id="172" w:name="_Toc463563231"/>
            <w:bookmarkStart w:id="173" w:name="_Toc463603530"/>
            <w:bookmarkStart w:id="174" w:name="_Toc463449665"/>
            <w:bookmarkStart w:id="175" w:name="_Toc464150287"/>
            <w:bookmarkStart w:id="176" w:name="_Toc463529619"/>
            <w:bookmarkStart w:id="177" w:name="_Toc463525873"/>
            <w:bookmarkStart w:id="178" w:name="_Toc463528484"/>
            <w:bookmarkStart w:id="179" w:name="_Toc463959550"/>
            <w:bookmarkStart w:id="180" w:name="_Toc463440880"/>
            <w:bookmarkStart w:id="181" w:name="_Toc463816136"/>
            <w:bookmarkStart w:id="182" w:name="_Toc463626516"/>
            <w:bookmarkStart w:id="183" w:name="_Toc26079"/>
            <w:bookmarkStart w:id="184" w:name="_Toc463644306"/>
            <w:bookmarkStart w:id="185" w:name="_Toc464063258"/>
            <w:r>
              <w:rPr>
                <w:rFonts w:ascii="Times New Roman" w:hAnsi="Times New Roman"/>
                <w:color w:val="auto"/>
                <w:kern w:val="0"/>
                <w:sz w:val="18"/>
                <w:lang w:val="en-US" w:eastAsia="zh-CN"/>
              </w:rPr>
              <w:t>2、目测</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5"/>
              <w:adjustRightInd w:val="0"/>
              <w:snapToGrid w:val="0"/>
              <w:rPr>
                <w:rFonts w:ascii="Times New Roman" w:hAnsi="Times New Roman"/>
                <w:color w:val="auto"/>
                <w:kern w:val="0"/>
                <w:sz w:val="18"/>
                <w:lang w:val="en-US" w:eastAsia="zh-CN"/>
              </w:rPr>
            </w:pPr>
            <w:bookmarkStart w:id="186" w:name="_Toc463449666"/>
            <w:bookmarkStart w:id="187" w:name="_Toc463538950"/>
            <w:bookmarkStart w:id="188" w:name="_Toc465078659"/>
            <w:bookmarkStart w:id="189" w:name="_Toc465587500"/>
            <w:bookmarkStart w:id="190" w:name="_Toc463610930"/>
            <w:bookmarkStart w:id="191" w:name="_Toc463626517"/>
            <w:bookmarkStart w:id="192" w:name="_Toc464063259"/>
            <w:bookmarkStart w:id="193" w:name="_Toc464150288"/>
            <w:bookmarkStart w:id="194" w:name="_Toc465031999"/>
            <w:bookmarkStart w:id="195" w:name="_Toc463603531"/>
            <w:bookmarkStart w:id="196" w:name="_Toc463793833"/>
            <w:bookmarkStart w:id="197" w:name="_Toc463816137"/>
            <w:bookmarkStart w:id="198" w:name="_Toc463644307"/>
            <w:bookmarkStart w:id="199" w:name="_Toc463525874"/>
            <w:bookmarkStart w:id="200" w:name="_Toc463432657"/>
            <w:bookmarkStart w:id="201" w:name="_Toc463959551"/>
            <w:bookmarkStart w:id="202" w:name="_Toc11070"/>
            <w:bookmarkStart w:id="203" w:name="_Toc464491320"/>
            <w:bookmarkStart w:id="204" w:name="_Toc463467745"/>
            <w:bookmarkStart w:id="205" w:name="_Toc464748815"/>
            <w:bookmarkStart w:id="206" w:name="_Toc463529620"/>
            <w:bookmarkStart w:id="207" w:name="_Toc463440881"/>
            <w:bookmarkStart w:id="208" w:name="_Toc463563232"/>
            <w:bookmarkStart w:id="209" w:name="_Toc463528485"/>
            <w:bookmarkStart w:id="210" w:name="_Toc464738875"/>
            <w:r>
              <w:rPr>
                <w:rFonts w:ascii="Times New Roman" w:hAnsi="Times New Roman"/>
                <w:color w:val="auto"/>
                <w:kern w:val="0"/>
                <w:sz w:val="18"/>
                <w:lang w:val="en-US" w:eastAsia="zh-CN"/>
              </w:rPr>
              <w:t>3、目测，操作照明开关验证</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5"/>
              <w:adjustRightInd w:val="0"/>
              <w:snapToGrid w:val="0"/>
              <w:rPr>
                <w:rFonts w:ascii="Times New Roman" w:hAnsi="Times New Roman"/>
                <w:color w:val="auto"/>
                <w:kern w:val="0"/>
                <w:sz w:val="18"/>
                <w:lang w:val="en-US" w:eastAsia="zh-CN"/>
              </w:rPr>
            </w:pPr>
            <w:bookmarkStart w:id="211" w:name="_Toc463626518"/>
            <w:bookmarkStart w:id="212" w:name="_Toc463816138"/>
            <w:bookmarkStart w:id="213" w:name="_Toc464063260"/>
            <w:bookmarkStart w:id="214" w:name="_Toc463603532"/>
            <w:bookmarkStart w:id="215" w:name="_Toc463644308"/>
            <w:bookmarkStart w:id="216" w:name="_Toc463610931"/>
            <w:bookmarkStart w:id="217" w:name="_Toc28270"/>
            <w:bookmarkStart w:id="218" w:name="_Toc463959552"/>
            <w:bookmarkStart w:id="219" w:name="_Toc463525875"/>
            <w:bookmarkStart w:id="220" w:name="_Toc463563233"/>
            <w:bookmarkStart w:id="221" w:name="_Toc464150289"/>
            <w:bookmarkStart w:id="222" w:name="_Toc463793834"/>
            <w:bookmarkStart w:id="223" w:name="_Toc465032000"/>
            <w:bookmarkStart w:id="224" w:name="_Toc465587501"/>
            <w:bookmarkStart w:id="225" w:name="_Toc464738876"/>
            <w:bookmarkStart w:id="226" w:name="_Toc464748816"/>
            <w:bookmarkStart w:id="227" w:name="_Toc464491321"/>
            <w:bookmarkStart w:id="228" w:name="_Toc463449667"/>
            <w:bookmarkStart w:id="229" w:name="_Toc463440882"/>
            <w:bookmarkStart w:id="230" w:name="_Toc463538951"/>
            <w:bookmarkStart w:id="231" w:name="_Toc463432658"/>
            <w:bookmarkStart w:id="232" w:name="_Toc463528486"/>
            <w:bookmarkStart w:id="233" w:name="_Toc463529621"/>
            <w:bookmarkStart w:id="234" w:name="_Toc463467746"/>
            <w:bookmarkStart w:id="235" w:name="_Toc465078660"/>
            <w:r>
              <w:rPr>
                <w:rFonts w:ascii="Times New Roman" w:hAnsi="Times New Roman"/>
                <w:color w:val="auto"/>
                <w:kern w:val="0"/>
                <w:sz w:val="18"/>
                <w:lang w:val="en-US" w:eastAsia="zh-CN"/>
              </w:rPr>
              <w:t>4、体感，必要时测量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5"/>
              <w:adjustRightInd w:val="0"/>
              <w:snapToGrid w:val="0"/>
              <w:rPr>
                <w:rFonts w:ascii="Times New Roman" w:hAnsi="Times New Roman"/>
                <w:color w:val="auto"/>
                <w:kern w:val="0"/>
                <w:sz w:val="18"/>
                <w:lang w:val="en-US" w:eastAsia="zh-CN"/>
              </w:rPr>
            </w:pPr>
            <w:bookmarkStart w:id="236" w:name="_Toc465032001"/>
            <w:bookmarkStart w:id="237" w:name="_Toc465587502"/>
            <w:bookmarkStart w:id="238" w:name="_Toc464748817"/>
            <w:bookmarkStart w:id="239" w:name="_Toc464738877"/>
            <w:bookmarkStart w:id="240" w:name="_Toc465078661"/>
            <w:r>
              <w:rPr>
                <w:rFonts w:ascii="Times New Roman" w:hAnsi="Times New Roman"/>
                <w:color w:val="auto"/>
                <w:kern w:val="0"/>
                <w:sz w:val="18"/>
                <w:lang w:val="en-US" w:eastAsia="zh-CN"/>
              </w:rPr>
              <w:t>5、查看标记</w:t>
            </w:r>
            <w:bookmarkEnd w:id="236"/>
            <w:bookmarkEnd w:id="237"/>
            <w:bookmarkEnd w:id="238"/>
            <w:bookmarkEnd w:id="239"/>
            <w:bookmarkEnd w:id="240"/>
          </w:p>
          <w:p>
            <w:pPr>
              <w:pStyle w:val="5"/>
              <w:adjustRightInd w:val="0"/>
              <w:snapToGrid w:val="0"/>
              <w:rPr>
                <w:rFonts w:ascii="Times New Roman" w:hAnsi="Times New Roman"/>
                <w:color w:val="auto"/>
                <w:kern w:val="0"/>
                <w:sz w:val="18"/>
                <w:lang w:val="en-US" w:eastAsia="zh-CN"/>
              </w:rPr>
            </w:pPr>
            <w:bookmarkStart w:id="241" w:name="_Toc464738878"/>
            <w:bookmarkStart w:id="242" w:name="_Toc464748818"/>
            <w:bookmarkStart w:id="243" w:name="_Toc465032002"/>
            <w:bookmarkStart w:id="244" w:name="_Toc465587503"/>
            <w:bookmarkStart w:id="245" w:name="_Toc465078662"/>
            <w:r>
              <w:rPr>
                <w:rFonts w:ascii="Times New Roman" w:hAnsi="Times New Roman"/>
                <w:color w:val="auto"/>
                <w:kern w:val="0"/>
                <w:sz w:val="18"/>
                <w:lang w:val="en-US" w:eastAsia="zh-CN"/>
              </w:rPr>
              <w:t>6、目测</w:t>
            </w:r>
            <w:bookmarkEnd w:id="241"/>
            <w:bookmarkEnd w:id="242"/>
            <w:bookmarkEnd w:id="243"/>
            <w:bookmarkEnd w:id="244"/>
            <w:bookmarkEnd w:id="245"/>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2</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运行状态、平层情况</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无异常抖动或异常声响，平层正常</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3</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轿厢照明，通风装置</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bookmarkStart w:id="246" w:name="_Toc463959553"/>
            <w:bookmarkStart w:id="247" w:name="_Toc463610932"/>
            <w:bookmarkStart w:id="248" w:name="_Toc463816139"/>
            <w:bookmarkStart w:id="249" w:name="_Toc463563234"/>
            <w:bookmarkStart w:id="250" w:name="_Toc463432659"/>
            <w:bookmarkStart w:id="251" w:name="_Toc465032003"/>
            <w:bookmarkStart w:id="252" w:name="_Toc463440883"/>
            <w:bookmarkStart w:id="253" w:name="_Toc463525876"/>
            <w:bookmarkStart w:id="254" w:name="_Toc463644309"/>
            <w:bookmarkStart w:id="255" w:name="_Toc463626519"/>
            <w:bookmarkStart w:id="256" w:name="_Toc463793835"/>
            <w:bookmarkStart w:id="257" w:name="_Toc463467747"/>
            <w:bookmarkStart w:id="258" w:name="_Toc465587504"/>
            <w:bookmarkStart w:id="259" w:name="_Toc463538952"/>
            <w:bookmarkStart w:id="260" w:name="_Toc464063261"/>
            <w:bookmarkStart w:id="261" w:name="_Toc464491322"/>
            <w:bookmarkStart w:id="262" w:name="_Toc463529622"/>
            <w:bookmarkStart w:id="263" w:name="_Toc30314"/>
            <w:bookmarkStart w:id="264" w:name="_Toc463528487"/>
            <w:bookmarkStart w:id="265" w:name="_Toc463449668"/>
            <w:bookmarkStart w:id="266" w:name="_Toc464748819"/>
            <w:bookmarkStart w:id="267" w:name="_Toc465078663"/>
            <w:bookmarkStart w:id="268" w:name="_Toc464150290"/>
            <w:bookmarkStart w:id="269" w:name="_Toc463603533"/>
            <w:bookmarkStart w:id="270" w:name="_Toc464738879"/>
            <w:r>
              <w:rPr>
                <w:rFonts w:ascii="Times New Roman" w:hAnsi="Times New Roman"/>
                <w:color w:val="auto"/>
                <w:kern w:val="0"/>
                <w:sz w:val="18"/>
                <w:lang w:val="en-US" w:eastAsia="zh-CN"/>
              </w:rPr>
              <w:t>1、照明正常</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5"/>
              <w:adjustRightInd w:val="0"/>
              <w:snapToGrid w:val="0"/>
              <w:rPr>
                <w:rFonts w:ascii="Times New Roman" w:hAnsi="Times New Roman"/>
                <w:color w:val="auto"/>
                <w:kern w:val="0"/>
                <w:sz w:val="18"/>
                <w:lang w:val="en-US" w:eastAsia="zh-CN"/>
              </w:rPr>
            </w:pPr>
            <w:bookmarkStart w:id="271" w:name="_Toc463432660"/>
            <w:bookmarkStart w:id="272" w:name="_Toc464738880"/>
            <w:bookmarkStart w:id="273" w:name="_Toc464748820"/>
            <w:bookmarkStart w:id="274" w:name="_Toc463440884"/>
            <w:bookmarkStart w:id="275" w:name="_Toc463603534"/>
            <w:bookmarkStart w:id="276" w:name="_Toc463610933"/>
            <w:bookmarkStart w:id="277" w:name="_Toc463816140"/>
            <w:bookmarkStart w:id="278" w:name="_Toc1921"/>
            <w:bookmarkStart w:id="279" w:name="_Toc464491323"/>
            <w:bookmarkStart w:id="280" w:name="_Toc463538953"/>
            <w:bookmarkStart w:id="281" w:name="_Toc464063262"/>
            <w:bookmarkStart w:id="282" w:name="_Toc463449669"/>
            <w:bookmarkStart w:id="283" w:name="_Toc463959554"/>
            <w:bookmarkStart w:id="284" w:name="_Toc463467748"/>
            <w:bookmarkStart w:id="285" w:name="_Toc463529623"/>
            <w:bookmarkStart w:id="286" w:name="_Toc463644310"/>
            <w:bookmarkStart w:id="287" w:name="_Toc463528488"/>
            <w:bookmarkStart w:id="288" w:name="_Toc463525877"/>
            <w:bookmarkStart w:id="289" w:name="_Toc465032004"/>
            <w:bookmarkStart w:id="290" w:name="_Toc464150291"/>
            <w:bookmarkStart w:id="291" w:name="_Toc463626520"/>
            <w:bookmarkStart w:id="292" w:name="_Toc463563235"/>
            <w:bookmarkStart w:id="293" w:name="_Toc465587505"/>
            <w:bookmarkStart w:id="294" w:name="_Toc463793836"/>
            <w:bookmarkStart w:id="295" w:name="_Toc465078664"/>
            <w:r>
              <w:rPr>
                <w:rFonts w:ascii="Times New Roman" w:hAnsi="Times New Roman"/>
                <w:color w:val="auto"/>
                <w:kern w:val="0"/>
                <w:sz w:val="18"/>
                <w:lang w:val="en-US" w:eastAsia="zh-CN"/>
              </w:rPr>
              <w:t>2、通风装置工作正常</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tc>
        <w:tc>
          <w:tcPr>
            <w:tcW w:w="2762" w:type="dxa"/>
            <w:noWrap w:val="0"/>
            <w:vAlign w:val="center"/>
          </w:tcPr>
          <w:p>
            <w:pPr>
              <w:pStyle w:val="5"/>
              <w:adjustRightInd w:val="0"/>
              <w:snapToGrid w:val="0"/>
              <w:rPr>
                <w:rFonts w:ascii="Times New Roman" w:hAnsi="Times New Roman"/>
                <w:color w:val="auto"/>
                <w:kern w:val="0"/>
                <w:sz w:val="18"/>
                <w:lang w:val="en-US" w:eastAsia="zh-CN"/>
              </w:rPr>
            </w:pPr>
            <w:bookmarkStart w:id="296" w:name="_Toc463449670"/>
            <w:bookmarkStart w:id="297" w:name="_Toc463959555"/>
            <w:bookmarkStart w:id="298" w:name="_Toc463626521"/>
            <w:bookmarkStart w:id="299" w:name="_Toc463603535"/>
            <w:bookmarkStart w:id="300" w:name="_Toc16388"/>
            <w:bookmarkStart w:id="301" w:name="_Toc464738881"/>
            <w:bookmarkStart w:id="302" w:name="_Toc463610934"/>
            <w:bookmarkStart w:id="303" w:name="_Toc463440885"/>
            <w:bookmarkStart w:id="304" w:name="_Toc463538954"/>
            <w:bookmarkStart w:id="305" w:name="_Toc463563236"/>
            <w:bookmarkStart w:id="306" w:name="_Toc464063263"/>
            <w:bookmarkStart w:id="307" w:name="_Toc463525878"/>
            <w:bookmarkStart w:id="308" w:name="_Toc465032005"/>
            <w:bookmarkStart w:id="309" w:name="_Toc465078665"/>
            <w:bookmarkStart w:id="310" w:name="_Toc464748821"/>
            <w:bookmarkStart w:id="311" w:name="_Toc463644311"/>
            <w:bookmarkStart w:id="312" w:name="_Toc463793837"/>
            <w:bookmarkStart w:id="313" w:name="_Toc464491324"/>
            <w:bookmarkStart w:id="314" w:name="_Toc463816141"/>
            <w:bookmarkStart w:id="315" w:name="_Toc463432661"/>
            <w:bookmarkStart w:id="316" w:name="_Toc464150292"/>
            <w:bookmarkStart w:id="317" w:name="_Toc463529624"/>
            <w:bookmarkStart w:id="318" w:name="_Toc463467749"/>
            <w:bookmarkStart w:id="319" w:name="_Toc465587506"/>
            <w:bookmarkStart w:id="320" w:name="_Toc463528489"/>
            <w:r>
              <w:rPr>
                <w:rFonts w:ascii="Times New Roman" w:hAnsi="Times New Roman"/>
                <w:color w:val="auto"/>
                <w:kern w:val="0"/>
                <w:sz w:val="18"/>
                <w:lang w:val="en-US" w:eastAsia="zh-CN"/>
              </w:rPr>
              <w:t>1、目测</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5"/>
              <w:adjustRightInd w:val="0"/>
              <w:snapToGrid w:val="0"/>
              <w:rPr>
                <w:rFonts w:ascii="Times New Roman" w:hAnsi="Times New Roman"/>
                <w:color w:val="auto"/>
                <w:kern w:val="0"/>
                <w:sz w:val="18"/>
                <w:lang w:val="en-US" w:eastAsia="zh-CN"/>
              </w:rPr>
            </w:pPr>
            <w:bookmarkStart w:id="321" w:name="_Toc465587507"/>
            <w:bookmarkStart w:id="322" w:name="_Toc464063264"/>
            <w:bookmarkStart w:id="323" w:name="_Toc464150293"/>
            <w:bookmarkStart w:id="324" w:name="_Toc465078666"/>
            <w:bookmarkStart w:id="325" w:name="_Toc463603536"/>
            <w:bookmarkStart w:id="326" w:name="_Toc464491325"/>
            <w:bookmarkStart w:id="327" w:name="_Toc463626522"/>
            <w:bookmarkStart w:id="328" w:name="_Toc463529625"/>
            <w:bookmarkStart w:id="329" w:name="_Toc463610935"/>
            <w:bookmarkStart w:id="330" w:name="_Toc463528490"/>
            <w:bookmarkStart w:id="331" w:name="_Toc24145"/>
            <w:bookmarkStart w:id="332" w:name="_Toc463449671"/>
            <w:bookmarkStart w:id="333" w:name="_Toc463467750"/>
            <w:bookmarkStart w:id="334" w:name="_Toc463538955"/>
            <w:bookmarkStart w:id="335" w:name="_Toc463959556"/>
            <w:bookmarkStart w:id="336" w:name="_Toc463432662"/>
            <w:bookmarkStart w:id="337" w:name="_Toc465032006"/>
            <w:bookmarkStart w:id="338" w:name="_Toc464748822"/>
            <w:bookmarkStart w:id="339" w:name="_Toc463525879"/>
            <w:bookmarkStart w:id="340" w:name="_Toc463793838"/>
            <w:bookmarkStart w:id="341" w:name="_Toc463563237"/>
            <w:bookmarkStart w:id="342" w:name="_Toc463816142"/>
            <w:bookmarkStart w:id="343" w:name="_Toc464738882"/>
            <w:bookmarkStart w:id="344" w:name="_Toc463440886"/>
            <w:bookmarkStart w:id="345" w:name="_Toc463644312"/>
            <w:r>
              <w:rPr>
                <w:rFonts w:ascii="Times New Roman" w:hAnsi="Times New Roman"/>
                <w:color w:val="auto"/>
                <w:kern w:val="0"/>
                <w:sz w:val="18"/>
                <w:lang w:val="en-US" w:eastAsia="zh-CN"/>
              </w:rPr>
              <w:t>2、观察，体感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4</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轿内报警装置、对讲系统</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工作正常、声音清晰</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通话验证</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5</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轿内显示、指令按钮</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显示正常、按钮齐全</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6</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操作箱检修门</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完好、锁闭正常</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7</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层轿门开启、关闭情况，防夹人装置状态</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层轿门开启、关闭正常；防夹人装置功能正常</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观察；用手触碰（阻隔）安全装置验证功能</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8</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层站召唤、层楼显示</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按钮完好，齐全有效</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观察，并通过揿压按钮进行验证</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9</w:t>
            </w:r>
          </w:p>
        </w:tc>
        <w:tc>
          <w:tcPr>
            <w:tcW w:w="2764"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轿门、层门地坎</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清洁无异物</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r>
        <w:trPr>
          <w:jc w:val="center"/>
        </w:trPr>
        <w:tc>
          <w:tcPr>
            <w:tcW w:w="533" w:type="dxa"/>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10</w:t>
            </w:r>
          </w:p>
        </w:tc>
        <w:tc>
          <w:tcPr>
            <w:tcW w:w="2764" w:type="dxa"/>
            <w:noWrap w:val="0"/>
            <w:vAlign w:val="center"/>
          </w:tcPr>
          <w:p>
            <w:pPr>
              <w:adjustRightInd w:val="0"/>
              <w:snapToGrid w:val="0"/>
              <w:rPr>
                <w:color w:val="auto"/>
                <w:sz w:val="18"/>
                <w:szCs w:val="18"/>
                <w:lang w:eastAsia="zh-CN"/>
              </w:rPr>
            </w:pPr>
            <w:r>
              <w:rPr>
                <w:rFonts w:hAnsi="宋体" w:eastAsia="宋体"/>
                <w:color w:val="auto"/>
                <w:sz w:val="18"/>
                <w:szCs w:val="18"/>
                <w:lang w:eastAsia="zh-CN"/>
              </w:rPr>
              <w:t>电梯使用标志、安全警示标志、</w:t>
            </w:r>
            <w:r>
              <w:rPr>
                <w:color w:val="auto"/>
                <w:sz w:val="18"/>
                <w:szCs w:val="18"/>
                <w:lang w:eastAsia="zh-CN"/>
              </w:rPr>
              <w:t>96333</w:t>
            </w:r>
            <w:r>
              <w:rPr>
                <w:rFonts w:hAnsi="宋体" w:eastAsia="宋体"/>
                <w:color w:val="auto"/>
                <w:sz w:val="18"/>
                <w:szCs w:val="18"/>
                <w:lang w:eastAsia="zh-CN"/>
              </w:rPr>
              <w:t>标识、安全注意事项</w:t>
            </w:r>
          </w:p>
        </w:tc>
        <w:tc>
          <w:tcPr>
            <w:tcW w:w="364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齐全清晰，且在有效期内</w:t>
            </w:r>
          </w:p>
        </w:tc>
        <w:tc>
          <w:tcPr>
            <w:tcW w:w="2762" w:type="dxa"/>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bl>
    <w:p>
      <w:pPr>
        <w:pStyle w:val="18"/>
        <w:numPr>
          <w:ilvl w:val="0"/>
          <w:numId w:val="0"/>
        </w:numPr>
        <w:tabs>
          <w:tab w:val="clear" w:pos="180"/>
        </w:tabs>
        <w:spacing w:before="60" w:beforeLines="25" w:after="60" w:afterLines="25"/>
        <w:rPr>
          <w:rFonts w:ascii="Times New Roman"/>
          <w:b/>
          <w:color w:val="auto"/>
        </w:rPr>
      </w:pPr>
      <w:bookmarkStart w:id="346" w:name="_Toc20979"/>
      <w:bookmarkStart w:id="347" w:name="_Toc12562"/>
      <w:bookmarkStart w:id="348" w:name="_Toc25943809"/>
      <w:bookmarkStart w:id="349" w:name="_Toc1660"/>
      <w:r>
        <w:rPr>
          <w:rFonts w:ascii="Times New Roman" w:hAnsi="黑体"/>
          <w:b/>
          <w:color w:val="auto"/>
        </w:rPr>
        <w:t>附表</w:t>
      </w:r>
      <w:r>
        <w:rPr>
          <w:rFonts w:ascii="Times New Roman"/>
          <w:b/>
          <w:color w:val="auto"/>
        </w:rPr>
        <w:t xml:space="preserve">2  </w:t>
      </w:r>
      <w:r>
        <w:rPr>
          <w:rFonts w:ascii="Times New Roman" w:hAnsi="黑体"/>
          <w:b/>
          <w:color w:val="auto"/>
        </w:rPr>
        <w:t>杂物电梯日常巡查内容、要求与方法</w:t>
      </w:r>
      <w:bookmarkEnd w:id="346"/>
      <w:bookmarkEnd w:id="347"/>
      <w:bookmarkEnd w:id="348"/>
      <w:bookmarkEnd w:id="349"/>
    </w:p>
    <w:tbl>
      <w:tblPr>
        <w:tblStyle w:val="8"/>
        <w:tblW w:w="96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1"/>
        <w:gridCol w:w="2764"/>
        <w:gridCol w:w="3711"/>
        <w:gridCol w:w="2551"/>
      </w:tblGrid>
      <w:tr>
        <w:tc>
          <w:tcPr>
            <w:tcW w:w="641"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2764"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巡查项目、内容</w:t>
            </w:r>
          </w:p>
        </w:tc>
        <w:tc>
          <w:tcPr>
            <w:tcW w:w="3711"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要求</w:t>
            </w:r>
          </w:p>
        </w:tc>
        <w:tc>
          <w:tcPr>
            <w:tcW w:w="2551"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方法</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机房巡查</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1、机房清洁、无与电梯无关的物品和设备</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2、门窗完好、门外侧应有安全标志</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3、照明工作正常</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4、温度保持在5</w:t>
            </w:r>
            <w:r>
              <w:rPr>
                <w:rFonts w:ascii="Times New Roman" w:hAnsi="宋体"/>
                <w:color w:val="auto"/>
                <w:kern w:val="0"/>
                <w:sz w:val="18"/>
                <w:lang w:val="en-US" w:eastAsia="zh-CN"/>
              </w:rPr>
              <w:t>℃</w:t>
            </w:r>
            <w:r>
              <w:rPr>
                <w:rFonts w:ascii="Times New Roman" w:hAnsi="Times New Roman"/>
                <w:color w:val="auto"/>
                <w:kern w:val="0"/>
                <w:sz w:val="18"/>
                <w:lang w:val="en-US" w:eastAsia="zh-CN"/>
              </w:rPr>
              <w:t>～40</w:t>
            </w:r>
            <w:r>
              <w:rPr>
                <w:rFonts w:ascii="Times New Roman" w:hAnsi="宋体"/>
                <w:color w:val="auto"/>
                <w:kern w:val="0"/>
                <w:sz w:val="18"/>
                <w:lang w:val="en-US" w:eastAsia="zh-CN"/>
              </w:rPr>
              <w:t>℃</w:t>
            </w:r>
            <w:r>
              <w:rPr>
                <w:rFonts w:ascii="Times New Roman" w:hAnsi="Times New Roman"/>
                <w:color w:val="auto"/>
                <w:kern w:val="0"/>
                <w:sz w:val="18"/>
                <w:lang w:val="en-US" w:eastAsia="zh-CN"/>
              </w:rPr>
              <w:t>之间</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5、消防设施有效</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6、安全标识齐全、清晰</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1、目测</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2、目测</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3、目测，操作照明开关验证</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4、体感，必要时测量</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5、查看标记</w:t>
            </w:r>
          </w:p>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6、目测</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2</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手动紧急操作装置</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齐全，在指定位置</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3</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运行状态、平层情况</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无异常抖动或异常声响，平层正常</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4</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层轿门开启、关闭情况</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层轿门开启、关闭正常；防夹人装置功能正常</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5</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层站召唤、层楼显示</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按钮完好，齐全有效</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观察，并通过揿压按钮进行验证</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6</w:t>
            </w:r>
          </w:p>
        </w:tc>
        <w:tc>
          <w:tcPr>
            <w:tcW w:w="2764"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轿门、层门地坎</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清洁无异物</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r>
        <w:tc>
          <w:tcPr>
            <w:tcW w:w="641" w:type="dxa"/>
            <w:noWrap w:val="0"/>
            <w:vAlign w:val="center"/>
          </w:tcPr>
          <w:p>
            <w:pPr>
              <w:pStyle w:val="5"/>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7</w:t>
            </w:r>
          </w:p>
        </w:tc>
        <w:tc>
          <w:tcPr>
            <w:tcW w:w="2764" w:type="dxa"/>
            <w:noWrap w:val="0"/>
            <w:vAlign w:val="center"/>
          </w:tcPr>
          <w:p>
            <w:pPr>
              <w:snapToGrid w:val="0"/>
              <w:rPr>
                <w:color w:val="auto"/>
                <w:sz w:val="18"/>
                <w:szCs w:val="18"/>
                <w:lang w:eastAsia="zh-CN"/>
              </w:rPr>
            </w:pPr>
            <w:r>
              <w:rPr>
                <w:rFonts w:hAnsi="宋体" w:eastAsia="宋体"/>
                <w:color w:val="auto"/>
                <w:sz w:val="18"/>
                <w:szCs w:val="18"/>
                <w:lang w:eastAsia="zh-CN"/>
              </w:rPr>
              <w:t>电梯使用标志、安全警示标志、</w:t>
            </w:r>
            <w:r>
              <w:rPr>
                <w:color w:val="auto"/>
                <w:sz w:val="18"/>
                <w:szCs w:val="18"/>
                <w:lang w:eastAsia="zh-CN"/>
              </w:rPr>
              <w:t>96333</w:t>
            </w:r>
            <w:r>
              <w:rPr>
                <w:rFonts w:hAnsi="宋体" w:eastAsia="宋体"/>
                <w:color w:val="auto"/>
                <w:sz w:val="18"/>
                <w:szCs w:val="18"/>
                <w:lang w:eastAsia="zh-CN"/>
              </w:rPr>
              <w:t>标识、安全注意事项</w:t>
            </w:r>
          </w:p>
        </w:tc>
        <w:tc>
          <w:tcPr>
            <w:tcW w:w="371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齐全清晰，且在有效期内</w:t>
            </w:r>
          </w:p>
        </w:tc>
        <w:tc>
          <w:tcPr>
            <w:tcW w:w="2551" w:type="dxa"/>
            <w:noWrap w:val="0"/>
            <w:vAlign w:val="center"/>
          </w:tcPr>
          <w:p>
            <w:pPr>
              <w:pStyle w:val="5"/>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目测</w:t>
            </w:r>
          </w:p>
        </w:tc>
      </w:tr>
    </w:tbl>
    <w:p>
      <w:pPr>
        <w:pStyle w:val="18"/>
        <w:numPr>
          <w:ilvl w:val="0"/>
          <w:numId w:val="0"/>
        </w:numPr>
        <w:tabs>
          <w:tab w:val="clear" w:pos="180"/>
        </w:tabs>
        <w:spacing w:before="60" w:beforeLines="25" w:after="60" w:afterLines="25"/>
        <w:rPr>
          <w:rFonts w:ascii="Times New Roman"/>
          <w:b/>
          <w:color w:val="auto"/>
        </w:rPr>
      </w:pPr>
      <w:bookmarkStart w:id="350" w:name="_Toc22505"/>
      <w:bookmarkStart w:id="351" w:name="_Toc24797"/>
      <w:bookmarkStart w:id="352" w:name="_Toc30490"/>
      <w:bookmarkStart w:id="353" w:name="_Toc25943810"/>
      <w:r>
        <w:rPr>
          <w:rFonts w:ascii="Times New Roman" w:hAnsi="黑体"/>
          <w:b/>
          <w:color w:val="auto"/>
        </w:rPr>
        <w:t>附表</w:t>
      </w:r>
      <w:r>
        <w:rPr>
          <w:rFonts w:ascii="Times New Roman"/>
          <w:b/>
          <w:color w:val="auto"/>
        </w:rPr>
        <w:t xml:space="preserve">3  </w:t>
      </w:r>
      <w:r>
        <w:rPr>
          <w:rFonts w:ascii="Times New Roman" w:hAnsi="黑体"/>
          <w:b/>
          <w:color w:val="auto"/>
        </w:rPr>
        <w:t>自动扶梯与自动人行道电梯日常巡查内容、要求与方法</w:t>
      </w:r>
      <w:bookmarkEnd w:id="350"/>
      <w:bookmarkEnd w:id="351"/>
      <w:bookmarkEnd w:id="352"/>
      <w:bookmarkEnd w:id="353"/>
    </w:p>
    <w:tbl>
      <w:tblPr>
        <w:tblStyle w:val="8"/>
        <w:tblW w:w="97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4"/>
        <w:gridCol w:w="2627"/>
        <w:gridCol w:w="4138"/>
        <w:gridCol w:w="2318"/>
      </w:tblGrid>
      <w:tr>
        <w:trPr>
          <w:jc w:val="center"/>
        </w:trPr>
        <w:tc>
          <w:tcPr>
            <w:tcW w:w="664"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2627"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巡查项目、内容</w:t>
            </w:r>
          </w:p>
        </w:tc>
        <w:tc>
          <w:tcPr>
            <w:tcW w:w="4138"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要求</w:t>
            </w:r>
          </w:p>
        </w:tc>
        <w:tc>
          <w:tcPr>
            <w:tcW w:w="2318" w:type="dxa"/>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方法</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1</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出入口区域</w:t>
            </w:r>
          </w:p>
        </w:tc>
        <w:tc>
          <w:tcPr>
            <w:tcW w:w="4138" w:type="dxa"/>
            <w:noWrap w:val="0"/>
            <w:vAlign w:val="center"/>
          </w:tcPr>
          <w:p>
            <w:pPr>
              <w:pStyle w:val="5"/>
              <w:snapToGrid w:val="0"/>
              <w:rPr>
                <w:rFonts w:ascii="Times New Roman" w:hAnsi="Times New Roman"/>
                <w:color w:val="auto"/>
                <w:kern w:val="0"/>
                <w:sz w:val="18"/>
                <w:szCs w:val="18"/>
                <w:lang w:val="en-US" w:eastAsia="zh-CN"/>
              </w:rPr>
            </w:pPr>
            <w:bookmarkStart w:id="354" w:name="_Toc463793839"/>
            <w:bookmarkStart w:id="355" w:name="_Toc463644313"/>
            <w:bookmarkStart w:id="356" w:name="_Toc463626523"/>
            <w:bookmarkStart w:id="357" w:name="_Toc464738884"/>
            <w:bookmarkStart w:id="358" w:name="_Toc463816144"/>
            <w:bookmarkStart w:id="359" w:name="_Toc465032008"/>
            <w:bookmarkStart w:id="360" w:name="_Toc464491327"/>
            <w:bookmarkStart w:id="361" w:name="_Toc463959558"/>
            <w:bookmarkStart w:id="362" w:name="_Toc464748824"/>
            <w:bookmarkStart w:id="363" w:name="_Toc5652"/>
            <w:bookmarkStart w:id="364" w:name="_Toc464063266"/>
            <w:bookmarkStart w:id="365" w:name="_Toc464150295"/>
            <w:bookmarkStart w:id="366" w:name="_Toc465587510"/>
            <w:bookmarkStart w:id="367" w:name="_Toc465078669"/>
            <w:r>
              <w:rPr>
                <w:rFonts w:ascii="Times New Roman" w:hAnsi="Times New Roman"/>
                <w:color w:val="auto"/>
                <w:kern w:val="0"/>
                <w:sz w:val="18"/>
                <w:szCs w:val="18"/>
                <w:lang w:val="en-US" w:eastAsia="zh-CN"/>
              </w:rPr>
              <w:t>1、通道清洁、畅通</w:t>
            </w:r>
            <w:bookmarkEnd w:id="354"/>
            <w:bookmarkEnd w:id="355"/>
            <w:bookmarkEnd w:id="356"/>
            <w:r>
              <w:rPr>
                <w:rFonts w:ascii="Times New Roman" w:hAnsi="Times New Roman"/>
                <w:color w:val="auto"/>
                <w:kern w:val="0"/>
                <w:sz w:val="18"/>
                <w:szCs w:val="18"/>
                <w:lang w:val="en-US" w:eastAsia="zh-CN"/>
              </w:rPr>
              <w:t>、无杂物</w:t>
            </w:r>
            <w:bookmarkEnd w:id="357"/>
            <w:bookmarkEnd w:id="358"/>
            <w:bookmarkEnd w:id="359"/>
            <w:bookmarkEnd w:id="360"/>
            <w:bookmarkEnd w:id="361"/>
            <w:bookmarkEnd w:id="362"/>
            <w:bookmarkEnd w:id="363"/>
            <w:bookmarkEnd w:id="364"/>
            <w:bookmarkEnd w:id="365"/>
            <w:bookmarkEnd w:id="366"/>
            <w:bookmarkEnd w:id="367"/>
          </w:p>
          <w:p>
            <w:pPr>
              <w:pStyle w:val="5"/>
              <w:snapToGrid w:val="0"/>
              <w:rPr>
                <w:rFonts w:ascii="Times New Roman" w:hAnsi="Times New Roman"/>
                <w:color w:val="auto"/>
                <w:kern w:val="0"/>
                <w:sz w:val="18"/>
                <w:szCs w:val="18"/>
                <w:lang w:val="en-US" w:eastAsia="zh-CN"/>
              </w:rPr>
            </w:pPr>
            <w:bookmarkStart w:id="368" w:name="_Toc465032009"/>
            <w:bookmarkStart w:id="369" w:name="_Toc464748825"/>
            <w:bookmarkStart w:id="370" w:name="_Toc464491328"/>
            <w:bookmarkStart w:id="371" w:name="_Toc464738885"/>
            <w:bookmarkStart w:id="372" w:name="_Toc463959559"/>
            <w:bookmarkStart w:id="373" w:name="_Toc31418"/>
            <w:bookmarkStart w:id="374" w:name="_Toc464150296"/>
            <w:bookmarkStart w:id="375" w:name="_Toc463626524"/>
            <w:bookmarkStart w:id="376" w:name="_Toc463644314"/>
            <w:bookmarkStart w:id="377" w:name="_Toc463816145"/>
            <w:bookmarkStart w:id="378" w:name="_Toc464063267"/>
            <w:bookmarkStart w:id="379" w:name="_Toc465078670"/>
            <w:bookmarkStart w:id="380" w:name="_Toc465587511"/>
            <w:bookmarkStart w:id="381" w:name="_Toc463793840"/>
            <w:r>
              <w:rPr>
                <w:rFonts w:ascii="Times New Roman" w:hAnsi="Times New Roman"/>
                <w:color w:val="auto"/>
                <w:kern w:val="0"/>
                <w:sz w:val="18"/>
                <w:szCs w:val="18"/>
                <w:lang w:val="en-US" w:eastAsia="zh-CN"/>
              </w:rPr>
              <w:t>2、上下出入口处的照明工作正常</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5"/>
              <w:snapToGrid w:val="0"/>
              <w:rPr>
                <w:rFonts w:ascii="Times New Roman" w:hAnsi="Times New Roman"/>
                <w:color w:val="auto"/>
                <w:kern w:val="0"/>
                <w:sz w:val="18"/>
                <w:szCs w:val="18"/>
                <w:lang w:val="en-US" w:eastAsia="zh-CN"/>
              </w:rPr>
            </w:pPr>
            <w:bookmarkStart w:id="382" w:name="_Toc17045"/>
            <w:bookmarkStart w:id="383" w:name="_Toc465032010"/>
            <w:bookmarkStart w:id="384" w:name="_Toc463816146"/>
            <w:bookmarkStart w:id="385" w:name="_Toc465078671"/>
            <w:bookmarkStart w:id="386" w:name="_Toc463959560"/>
            <w:bookmarkStart w:id="387" w:name="_Toc464738886"/>
            <w:bookmarkStart w:id="388" w:name="_Toc464150297"/>
            <w:bookmarkStart w:id="389" w:name="_Toc464748826"/>
            <w:bookmarkStart w:id="390" w:name="_Toc464063268"/>
            <w:bookmarkStart w:id="391" w:name="_Toc463793841"/>
            <w:bookmarkStart w:id="392" w:name="_Toc465587512"/>
            <w:bookmarkStart w:id="393" w:name="_Toc463644315"/>
            <w:bookmarkStart w:id="394" w:name="_Toc463626525"/>
            <w:bookmarkStart w:id="395" w:name="_Toc464491329"/>
            <w:r>
              <w:rPr>
                <w:rFonts w:ascii="Times New Roman" w:hAnsi="Times New Roman"/>
                <w:color w:val="auto"/>
                <w:kern w:val="0"/>
                <w:sz w:val="18"/>
                <w:szCs w:val="18"/>
                <w:lang w:val="en-US" w:eastAsia="zh-CN"/>
              </w:rPr>
              <w:t>3、上下出入口和扶梯之间保护栏杆牢固可靠</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c>
        <w:tc>
          <w:tcPr>
            <w:tcW w:w="2318" w:type="dxa"/>
            <w:noWrap w:val="0"/>
            <w:vAlign w:val="center"/>
          </w:tcPr>
          <w:p>
            <w:pPr>
              <w:pStyle w:val="5"/>
              <w:snapToGrid w:val="0"/>
              <w:rPr>
                <w:rFonts w:ascii="Times New Roman" w:hAnsi="Times New Roman"/>
                <w:color w:val="auto"/>
                <w:kern w:val="0"/>
                <w:sz w:val="18"/>
                <w:szCs w:val="18"/>
                <w:lang w:val="en-US" w:eastAsia="zh-CN"/>
              </w:rPr>
            </w:pPr>
            <w:bookmarkStart w:id="396" w:name="_Toc463816147"/>
            <w:bookmarkStart w:id="397" w:name="_Toc464063269"/>
            <w:bookmarkStart w:id="398" w:name="_Toc463644316"/>
            <w:bookmarkStart w:id="399" w:name="_Toc465032011"/>
            <w:bookmarkStart w:id="400" w:name="_Toc465078672"/>
            <w:bookmarkStart w:id="401" w:name="_Toc464748827"/>
            <w:bookmarkStart w:id="402" w:name="_Toc464738887"/>
            <w:bookmarkStart w:id="403" w:name="_Toc465587513"/>
            <w:bookmarkStart w:id="404" w:name="_Toc464491330"/>
            <w:bookmarkStart w:id="405" w:name="_Toc24139"/>
            <w:bookmarkStart w:id="406" w:name="_Toc464150298"/>
            <w:bookmarkStart w:id="407" w:name="_Toc463626526"/>
            <w:bookmarkStart w:id="408" w:name="_Toc463959561"/>
            <w:bookmarkStart w:id="409" w:name="_Toc463793842"/>
            <w:r>
              <w:rPr>
                <w:rFonts w:ascii="Times New Roman" w:hAnsi="Times New Roman"/>
                <w:color w:val="auto"/>
                <w:kern w:val="0"/>
                <w:sz w:val="18"/>
                <w:szCs w:val="18"/>
                <w:lang w:val="en-US" w:eastAsia="zh-CN"/>
              </w:rPr>
              <w:t>1、目测</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5"/>
              <w:snapToGrid w:val="0"/>
              <w:rPr>
                <w:rFonts w:ascii="Times New Roman" w:hAnsi="Times New Roman"/>
                <w:color w:val="auto"/>
                <w:kern w:val="0"/>
                <w:sz w:val="18"/>
                <w:szCs w:val="18"/>
                <w:lang w:val="en-US" w:eastAsia="zh-CN"/>
              </w:rPr>
            </w:pPr>
            <w:bookmarkStart w:id="410" w:name="_Toc464063270"/>
            <w:bookmarkStart w:id="411" w:name="_Toc24133"/>
            <w:bookmarkStart w:id="412" w:name="_Toc463959562"/>
            <w:bookmarkStart w:id="413" w:name="_Toc465078673"/>
            <w:bookmarkStart w:id="414" w:name="_Toc464748828"/>
            <w:bookmarkStart w:id="415" w:name="_Toc464738888"/>
            <w:bookmarkStart w:id="416" w:name="_Toc464491331"/>
            <w:bookmarkStart w:id="417" w:name="_Toc465032012"/>
            <w:bookmarkStart w:id="418" w:name="_Toc465587514"/>
            <w:bookmarkStart w:id="419" w:name="_Toc463644317"/>
            <w:bookmarkStart w:id="420" w:name="_Toc463626527"/>
            <w:bookmarkStart w:id="421" w:name="_Toc463793843"/>
            <w:bookmarkStart w:id="422" w:name="_Toc463816148"/>
            <w:bookmarkStart w:id="423" w:name="_Toc464150299"/>
            <w:r>
              <w:rPr>
                <w:rFonts w:ascii="Times New Roman" w:hAnsi="Times New Roman"/>
                <w:color w:val="auto"/>
                <w:kern w:val="0"/>
                <w:sz w:val="18"/>
                <w:szCs w:val="18"/>
                <w:lang w:val="en-US" w:eastAsia="zh-CN"/>
              </w:rPr>
              <w:t>2、目测，操作照明开关验证</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5"/>
              <w:snapToGrid w:val="0"/>
              <w:rPr>
                <w:rFonts w:ascii="Times New Roman" w:hAnsi="Times New Roman"/>
                <w:color w:val="auto"/>
                <w:kern w:val="0"/>
                <w:sz w:val="18"/>
                <w:szCs w:val="18"/>
                <w:lang w:val="en-US" w:eastAsia="zh-CN"/>
              </w:rPr>
            </w:pPr>
            <w:bookmarkStart w:id="424" w:name="_Toc464491332"/>
            <w:bookmarkStart w:id="425" w:name="_Toc464150300"/>
            <w:bookmarkStart w:id="426" w:name="_Toc464063271"/>
            <w:bookmarkStart w:id="427" w:name="_Toc464738889"/>
            <w:bookmarkStart w:id="428" w:name="_Toc465587515"/>
            <w:bookmarkStart w:id="429" w:name="_Toc464748829"/>
            <w:bookmarkStart w:id="430" w:name="_Toc463816149"/>
            <w:bookmarkStart w:id="431" w:name="_Toc463959563"/>
            <w:bookmarkStart w:id="432" w:name="_Toc463626528"/>
            <w:bookmarkStart w:id="433" w:name="_Toc465032013"/>
            <w:bookmarkStart w:id="434" w:name="_Toc463793844"/>
            <w:bookmarkStart w:id="435" w:name="_Toc465078674"/>
            <w:bookmarkStart w:id="436" w:name="_Toc463644318"/>
            <w:bookmarkStart w:id="437" w:name="_Toc7729"/>
            <w:r>
              <w:rPr>
                <w:rFonts w:ascii="Times New Roman" w:hAnsi="Times New Roman"/>
                <w:color w:val="auto"/>
                <w:kern w:val="0"/>
                <w:sz w:val="18"/>
                <w:szCs w:val="18"/>
                <w:lang w:val="en-US" w:eastAsia="zh-CN"/>
              </w:rPr>
              <w:t>3、手感，必要时测量</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2</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运行状态</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无异常抖动或异常声响</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观察</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3</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急停开关</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可靠有效</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手动试验</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4</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扶手带入口处保护开关</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动作灵活可靠，无垃圾</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手动试验</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5</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梯级或踏板</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表面完好、清洁</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6</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梳齿板</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完好、啮合正常</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7</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扶手带</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表面无毛刺，无损伤，出入口处居中，运行无摩擦</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8</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防夹装置</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牢固可靠</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9</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防爬/阻挡/防滑装置、防护挡板</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完好</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r>
        <w:trPr>
          <w:jc w:val="center"/>
        </w:trPr>
        <w:tc>
          <w:tcPr>
            <w:tcW w:w="664" w:type="dxa"/>
            <w:noWrap w:val="0"/>
            <w:vAlign w:val="center"/>
          </w:tcPr>
          <w:p>
            <w:pPr>
              <w:pStyle w:val="5"/>
              <w:snapToGrid w:val="0"/>
              <w:jc w:val="center"/>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10</w:t>
            </w:r>
          </w:p>
        </w:tc>
        <w:tc>
          <w:tcPr>
            <w:tcW w:w="2627"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电梯使用标志、安全警示标志、96333标识、安全注意事项</w:t>
            </w:r>
          </w:p>
        </w:tc>
        <w:tc>
          <w:tcPr>
            <w:tcW w:w="413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齐全清晰，且在有效期内</w:t>
            </w:r>
          </w:p>
        </w:tc>
        <w:tc>
          <w:tcPr>
            <w:tcW w:w="2318" w:type="dxa"/>
            <w:noWrap w:val="0"/>
            <w:vAlign w:val="center"/>
          </w:tcPr>
          <w:p>
            <w:pPr>
              <w:pStyle w:val="5"/>
              <w:snapToGrid w:val="0"/>
              <w:rPr>
                <w:rFonts w:ascii="Times New Roman" w:hAnsi="Times New Roman"/>
                <w:color w:val="auto"/>
                <w:kern w:val="0"/>
                <w:sz w:val="18"/>
                <w:szCs w:val="18"/>
                <w:lang w:val="en-US" w:eastAsia="zh-CN"/>
              </w:rPr>
            </w:pPr>
            <w:r>
              <w:rPr>
                <w:rFonts w:ascii="Times New Roman" w:hAnsi="Times New Roman"/>
                <w:color w:val="auto"/>
                <w:kern w:val="0"/>
                <w:sz w:val="18"/>
                <w:szCs w:val="18"/>
                <w:lang w:val="en-US" w:eastAsia="zh-CN"/>
              </w:rPr>
              <w:t>目测</w:t>
            </w:r>
          </w:p>
        </w:tc>
      </w:tr>
    </w:tbl>
    <w:p>
      <w:pPr>
        <w:snapToGrid w:val="0"/>
        <w:rPr>
          <w:color w:val="auto"/>
          <w:sz w:val="18"/>
          <w:szCs w:val="18"/>
          <w:lang w:eastAsia="zh-CN"/>
        </w:rPr>
      </w:pPr>
    </w:p>
    <w:p>
      <w:pPr>
        <w:snapToGrid w:val="0"/>
        <w:rPr>
          <w:color w:val="auto"/>
          <w:sz w:val="18"/>
          <w:szCs w:val="18"/>
          <w:lang w:eastAsia="zh-CN"/>
        </w:rPr>
        <w:sectPr>
          <w:pgSz w:w="11900" w:h="16840"/>
          <w:pgMar w:top="1134" w:right="1134" w:bottom="1134" w:left="1134" w:header="851" w:footer="851" w:gutter="0"/>
          <w:cols w:space="720" w:num="1"/>
          <w:titlePg/>
          <w:docGrid w:linePitch="360" w:charSpace="0"/>
        </w:sectPr>
      </w:pPr>
    </w:p>
    <w:p>
      <w:pPr>
        <w:pStyle w:val="14"/>
        <w:snapToGrid w:val="0"/>
        <w:spacing w:after="120" w:afterLines="50" w:line="240" w:lineRule="auto"/>
        <w:jc w:val="center"/>
        <w:rPr>
          <w:rFonts w:ascii="Times New Roman" w:hAnsi="Times New Roman" w:eastAsia="黑体" w:cs="Times New Roman"/>
          <w:b/>
          <w:color w:val="auto"/>
          <w:sz w:val="21"/>
          <w:szCs w:val="21"/>
        </w:rPr>
      </w:pPr>
      <w:r>
        <w:rPr>
          <w:rFonts w:ascii="Times New Roman" w:hAnsi="Times New Roman" w:eastAsia="黑体" w:cs="Times New Roman"/>
          <w:b/>
          <w:color w:val="auto"/>
          <w:sz w:val="21"/>
          <w:szCs w:val="21"/>
        </w:rPr>
        <w:t>表</w:t>
      </w:r>
      <w:r>
        <w:rPr>
          <w:rFonts w:ascii="Times New Roman" w:hAnsi="Times New Roman" w:eastAsia="黑体" w:cs="Times New Roman"/>
          <w:b/>
          <w:color w:val="auto"/>
          <w:sz w:val="21"/>
          <w:szCs w:val="21"/>
          <w:lang w:val="en-US" w:eastAsia="zh-CN" w:bidi="en-US"/>
        </w:rPr>
        <w:t>B.</w:t>
      </w:r>
      <w:r>
        <w:rPr>
          <w:rFonts w:hint="eastAsia" w:ascii="Times New Roman" w:hAnsi="Times New Roman" w:eastAsia="黑体" w:cs="Times New Roman"/>
          <w:b/>
          <w:color w:val="auto"/>
          <w:sz w:val="21"/>
          <w:szCs w:val="21"/>
          <w:lang w:val="en-US" w:eastAsia="zh-CN" w:bidi="en-US"/>
        </w:rPr>
        <w:t xml:space="preserve">11 </w:t>
      </w:r>
      <w:r>
        <w:rPr>
          <w:rFonts w:ascii="Times New Roman" w:hAnsi="Times New Roman" w:eastAsia="黑体" w:cs="Times New Roman"/>
          <w:b/>
          <w:color w:val="auto"/>
          <w:sz w:val="21"/>
          <w:szCs w:val="21"/>
          <w:lang w:val="en-US" w:eastAsia="zh-CN" w:bidi="en-US"/>
        </w:rPr>
        <w:t xml:space="preserve"> </w:t>
      </w:r>
      <w:r>
        <w:rPr>
          <w:rFonts w:ascii="Times New Roman" w:hAnsi="Times New Roman" w:eastAsia="黑体" w:cs="Times New Roman"/>
          <w:b/>
          <w:color w:val="auto"/>
          <w:sz w:val="21"/>
          <w:szCs w:val="21"/>
        </w:rPr>
        <w:t>特种设备</w:t>
      </w:r>
      <w:r>
        <w:rPr>
          <w:rFonts w:ascii="Times New Roman" w:hAnsi="Times New Roman" w:eastAsia="黑体" w:cs="Times New Roman"/>
          <w:b/>
          <w:color w:val="auto"/>
          <w:sz w:val="21"/>
          <w:szCs w:val="21"/>
          <w:lang w:eastAsia="zh-CN"/>
        </w:rPr>
        <w:t>隐患排查清单——起重机械专项</w:t>
      </w:r>
      <w:r>
        <w:rPr>
          <w:rFonts w:ascii="Times New Roman" w:hAnsi="Times New Roman" w:eastAsia="黑体" w:cs="Times New Roman"/>
          <w:b/>
          <w:color w:val="auto"/>
          <w:sz w:val="21"/>
          <w:szCs w:val="21"/>
        </w:rPr>
        <w:t>要求</w:t>
      </w:r>
    </w:p>
    <w:tbl>
      <w:tblPr>
        <w:tblStyle w:val="8"/>
        <w:tblpPr/>
        <w:tblOverlap w:val="never"/>
        <w:tblW w:w="14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 w:type="dxa"/>
          <w:bottom w:w="0" w:type="dxa"/>
          <w:right w:w="10" w:type="dxa"/>
        </w:tblCellMar>
      </w:tblPr>
      <w:tblGrid>
        <w:gridCol w:w="1051"/>
        <w:gridCol w:w="593"/>
        <w:gridCol w:w="593"/>
        <w:gridCol w:w="635"/>
        <w:gridCol w:w="2464"/>
        <w:gridCol w:w="1239"/>
        <w:gridCol w:w="8388"/>
      </w:tblGrid>
      <w:tr>
        <w:trPr>
          <w:trHeight w:val="370" w:hRule="exact"/>
          <w:tblHeader/>
          <w:jc w:val="center"/>
        </w:trPr>
        <w:tc>
          <w:tcPr>
            <w:tcW w:w="1051" w:type="dxa"/>
            <w:vMerge w:val="restart"/>
            <w:tcBorders>
              <w:top w:val="single" w:color="auto" w:sz="12" w:space="0"/>
            </w:tcBorders>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Times New Roman" w:eastAsia="黑体" w:cs="Times New Roman"/>
                <w:b/>
                <w:color w:val="auto"/>
                <w:sz w:val="18"/>
                <w:szCs w:val="18"/>
                <w:lang w:eastAsia="zh-CN"/>
              </w:rPr>
              <w:t>排查内容</w:t>
            </w:r>
          </w:p>
        </w:tc>
        <w:tc>
          <w:tcPr>
            <w:tcW w:w="593" w:type="dxa"/>
            <w:vMerge w:val="restart"/>
            <w:tcBorders>
              <w:top w:val="single" w:color="auto" w:sz="12" w:space="0"/>
            </w:tcBorders>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593" w:type="dxa"/>
            <w:vMerge w:val="restart"/>
            <w:tcBorders>
              <w:top w:val="single" w:color="auto" w:sz="12" w:space="0"/>
            </w:tcBorders>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635" w:type="dxa"/>
            <w:vMerge w:val="restart"/>
            <w:tcBorders>
              <w:top w:val="single" w:color="auto" w:sz="12" w:space="0"/>
            </w:tcBorders>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3703" w:type="dxa"/>
            <w:gridSpan w:val="2"/>
            <w:tcBorders>
              <w:top w:val="single" w:color="auto" w:sz="12" w:space="0"/>
            </w:tcBorders>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8388" w:type="dxa"/>
            <w:vMerge w:val="restart"/>
            <w:tcBorders>
              <w:top w:val="single" w:color="auto" w:sz="12" w:space="0"/>
            </w:tcBorders>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rPr>
          <w:trHeight w:val="283" w:hRule="exact"/>
          <w:tblHeader/>
          <w:jc w:val="center"/>
        </w:trPr>
        <w:tc>
          <w:tcPr>
            <w:tcW w:w="1051" w:type="dxa"/>
            <w:vMerge w:val="continue"/>
            <w:shd w:val="clear" w:color="auto" w:fill="FFFFFF"/>
            <w:noWrap w:val="0"/>
            <w:vAlign w:val="center"/>
          </w:tcPr>
          <w:p>
            <w:pPr>
              <w:snapToGrid w:val="0"/>
              <w:jc w:val="center"/>
              <w:rPr>
                <w:color w:val="auto"/>
                <w:sz w:val="18"/>
                <w:szCs w:val="18"/>
              </w:rPr>
            </w:pPr>
          </w:p>
        </w:tc>
        <w:tc>
          <w:tcPr>
            <w:tcW w:w="593" w:type="dxa"/>
            <w:vMerge w:val="continue"/>
            <w:shd w:val="clear" w:color="auto" w:fill="FFFFFF"/>
            <w:noWrap w:val="0"/>
            <w:vAlign w:val="center"/>
          </w:tcPr>
          <w:p>
            <w:pPr>
              <w:snapToGrid w:val="0"/>
              <w:jc w:val="center"/>
              <w:rPr>
                <w:color w:val="auto"/>
                <w:sz w:val="18"/>
                <w:szCs w:val="18"/>
              </w:rPr>
            </w:pPr>
          </w:p>
        </w:tc>
        <w:tc>
          <w:tcPr>
            <w:tcW w:w="593" w:type="dxa"/>
            <w:vMerge w:val="continue"/>
            <w:shd w:val="clear" w:color="auto" w:fill="FFFFFF"/>
            <w:noWrap w:val="0"/>
            <w:vAlign w:val="center"/>
          </w:tcPr>
          <w:p>
            <w:pPr>
              <w:snapToGrid w:val="0"/>
              <w:jc w:val="center"/>
              <w:rPr>
                <w:color w:val="auto"/>
                <w:sz w:val="18"/>
                <w:szCs w:val="18"/>
              </w:rPr>
            </w:pPr>
          </w:p>
        </w:tc>
        <w:tc>
          <w:tcPr>
            <w:tcW w:w="635" w:type="dxa"/>
            <w:vMerge w:val="continue"/>
            <w:shd w:val="clear" w:color="auto" w:fill="FFFFFF"/>
            <w:noWrap w:val="0"/>
            <w:vAlign w:val="center"/>
          </w:tcPr>
          <w:p>
            <w:pPr>
              <w:snapToGrid w:val="0"/>
              <w:jc w:val="center"/>
              <w:rPr>
                <w:color w:val="auto"/>
                <w:sz w:val="18"/>
                <w:szCs w:val="18"/>
              </w:rPr>
            </w:pPr>
          </w:p>
        </w:tc>
        <w:tc>
          <w:tcPr>
            <w:tcW w:w="246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1239"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8388" w:type="dxa"/>
            <w:vMerge w:val="continue"/>
            <w:shd w:val="clear" w:color="auto" w:fill="FFFFFF"/>
            <w:noWrap w:val="0"/>
            <w:vAlign w:val="center"/>
          </w:tcPr>
          <w:p>
            <w:pPr>
              <w:snapToGrid w:val="0"/>
              <w:rPr>
                <w:color w:val="auto"/>
                <w:sz w:val="18"/>
                <w:szCs w:val="18"/>
              </w:rPr>
            </w:pPr>
          </w:p>
        </w:tc>
      </w:tr>
      <w:tr>
        <w:trPr>
          <w:trHeight w:val="525" w:hRule="exact"/>
          <w:jc w:val="center"/>
        </w:trPr>
        <w:tc>
          <w:tcPr>
            <w:tcW w:w="10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438" w:name="_Hlk53691265"/>
            <w:r>
              <w:rPr>
                <w:rFonts w:ascii="Times New Roman" w:hAnsi="Times New Roman" w:cs="Times New Roman"/>
                <w:color w:val="auto"/>
                <w:sz w:val="18"/>
                <w:szCs w:val="18"/>
              </w:rPr>
              <w:t>选型采购要求</w:t>
            </w:r>
            <w:bookmarkEnd w:id="438"/>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起重机械安全技术监察规程一桥式起重机 （TSG Q0002-2008）</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第17、89条</w:t>
            </w:r>
          </w:p>
        </w:tc>
        <w:tc>
          <w:tcPr>
            <w:tcW w:w="8388" w:type="dxa"/>
            <w:vMerge w:val="restart"/>
            <w:shd w:val="clear" w:color="auto" w:fill="FFFFFF"/>
            <w:noWrap w:val="0"/>
            <w:vAlign w:val="center"/>
          </w:tcPr>
          <w:p>
            <w:pPr>
              <w:pStyle w:val="15"/>
              <w:snapToGrid w:val="0"/>
              <w:spacing w:line="240" w:lineRule="auto"/>
              <w:rPr>
                <w:rFonts w:ascii="Times New Roman" w:hAnsi="Times New Roman" w:eastAsia="PMingLiU" w:cs="Times New Roman"/>
                <w:color w:val="auto"/>
                <w:sz w:val="18"/>
                <w:szCs w:val="18"/>
              </w:rPr>
            </w:pPr>
            <w:r>
              <w:rPr>
                <w:rFonts w:ascii="Times New Roman" w:hAnsi="Times New Roman" w:cs="Times New Roman"/>
                <w:color w:val="auto"/>
                <w:sz w:val="18"/>
                <w:szCs w:val="18"/>
              </w:rPr>
              <w:t>起重机应当在设计规定的工况和环境中使用,使用单位应当对起重机的选型和使用安全负责。</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使用单位应当根据使用现场环境以及吊运物品的要求，购置和使用适合的并且有起重机制造许可证的起重机。具体选型要求可参照GB/T 6067.1—2010第14章要求</w:t>
            </w:r>
          </w:p>
        </w:tc>
      </w:tr>
      <w:tr>
        <w:trPr>
          <w:trHeight w:val="432"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起重机械安全规程 第1部分:总则 （GB/T 6067.1-2010）</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第14章</w:t>
            </w:r>
          </w:p>
        </w:tc>
        <w:tc>
          <w:tcPr>
            <w:tcW w:w="8388"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454" w:hRule="exact"/>
          <w:jc w:val="center"/>
        </w:trPr>
        <w:tc>
          <w:tcPr>
            <w:tcW w:w="10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439" w:name="_Hlk53691287"/>
            <w:r>
              <w:rPr>
                <w:rFonts w:ascii="Times New Roman" w:hAnsi="Times New Roman" w:cs="Times New Roman"/>
                <w:color w:val="auto"/>
                <w:sz w:val="18"/>
                <w:szCs w:val="18"/>
              </w:rPr>
              <w:t>安装改造维修程序</w:t>
            </w:r>
            <w:bookmarkEnd w:id="439"/>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起重机械安全技术监察规程一桥式起重机 （TSG Q0002-2008）</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第15条</w:t>
            </w:r>
          </w:p>
        </w:tc>
        <w:tc>
          <w:tcPr>
            <w:tcW w:w="8388"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起重机的基础和轨道必须达到规定的要求，由使用单位组织验收，并且提供验收合格证明。施工单位在施工前应当对有关质量和尺寸进行检查，进行记录。</w:t>
            </w:r>
          </w:p>
        </w:tc>
      </w:tr>
      <w:tr>
        <w:trPr>
          <w:trHeight w:val="696"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w:t>
            </w:r>
            <w:r>
              <w:rPr>
                <w:rFonts w:ascii="Times New Roman" w:hAnsi="Times New Roman" w:cs="Times New Roman"/>
                <w:color w:val="auto"/>
                <w:sz w:val="18"/>
                <w:szCs w:val="18"/>
                <w:lang w:val="en-US" w:eastAsia="zh-CN" w:bidi="en-US"/>
              </w:rPr>
              <w:t>2.13</w:t>
            </w:r>
            <w:r>
              <w:rPr>
                <w:rFonts w:ascii="Times New Roman" w:hAnsi="Times New Roman" w:cs="Times New Roman"/>
                <w:color w:val="auto"/>
                <w:sz w:val="18"/>
                <w:szCs w:val="18"/>
                <w:lang w:val="en-US" w:eastAsia="en-US" w:bidi="en-US"/>
              </w:rPr>
              <w:t>条</w:t>
            </w:r>
          </w:p>
        </w:tc>
        <w:tc>
          <w:tcPr>
            <w:tcW w:w="8388" w:type="dxa"/>
            <w:shd w:val="clear" w:color="auto" w:fill="FFFFFF"/>
            <w:noWrap w:val="0"/>
            <w:vAlign w:val="center"/>
          </w:tcPr>
          <w:p>
            <w:pPr>
              <w:rPr>
                <w:rFonts w:eastAsia="PMingLiU"/>
                <w:color w:val="auto"/>
                <w:sz w:val="18"/>
                <w:szCs w:val="18"/>
                <w:lang w:val="zh-TW" w:eastAsia="zh-TW" w:bidi="zh-TW"/>
              </w:rPr>
            </w:pPr>
            <w:r>
              <w:rPr>
                <w:rFonts w:eastAsia="宋体"/>
                <w:color w:val="auto"/>
                <w:sz w:val="18"/>
                <w:szCs w:val="18"/>
                <w:lang w:val="zh-TW" w:eastAsia="zh-TW" w:bidi="zh-TW"/>
              </w:rPr>
              <w:t>特种设备移装后，使用单位应当办理使用登记变更。整体移装的，使用单位应当进行自行检查；拆卸后移装的，使用单位应当选择取得相应许可的单位进行安装。按照有关安全技术规范要求，拆卸后移装需要进行检验的，应当</w:t>
            </w:r>
            <w:r>
              <w:rPr>
                <w:rFonts w:eastAsia="宋体"/>
                <w:color w:val="auto"/>
                <w:sz w:val="18"/>
                <w:szCs w:val="18"/>
                <w:lang w:val="zh-TW" w:eastAsia="zh-CN" w:bidi="zh-TW"/>
              </w:rPr>
              <w:t>向</w:t>
            </w:r>
            <w:r>
              <w:rPr>
                <w:rFonts w:eastAsia="宋体"/>
                <w:color w:val="auto"/>
                <w:sz w:val="18"/>
                <w:szCs w:val="18"/>
                <w:lang w:val="zh-TW" w:eastAsia="zh-TW" w:bidi="zh-TW"/>
              </w:rPr>
              <w:t>特种设备检验机构申请检验。</w:t>
            </w:r>
          </w:p>
        </w:tc>
      </w:tr>
      <w:tr>
        <w:trPr>
          <w:trHeight w:val="440"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第2.16 条</w:t>
            </w:r>
          </w:p>
        </w:tc>
        <w:tc>
          <w:tcPr>
            <w:tcW w:w="8388"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使用单位负责组织实施塔式起重机、施工升降机在使用过程中的顶升行为，并且对其安全性能负责。使用单位应当制定其作业的操作规程，保证作业安全和使用安全性能。</w:t>
            </w:r>
          </w:p>
        </w:tc>
      </w:tr>
      <w:tr>
        <w:trPr>
          <w:trHeight w:val="560"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起重机械安装改造重大修理监督检验规则 （TSG Q7016-2016）</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第4条</w:t>
            </w:r>
          </w:p>
        </w:tc>
        <w:tc>
          <w:tcPr>
            <w:tcW w:w="8388"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468" w:hRule="exact"/>
          <w:jc w:val="center"/>
        </w:trPr>
        <w:tc>
          <w:tcPr>
            <w:tcW w:w="10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检验和登记程序</w:t>
            </w: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起重机械定期检验 规则</w:t>
            </w: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第7条</w:t>
            </w:r>
          </w:p>
        </w:tc>
        <w:tc>
          <w:tcPr>
            <w:tcW w:w="8388"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实施首次检验的起重机械，其产权单位应当在使用前向产权所在地的检验机构申请首次检验。实施定期检验的起重机械，其使用单位应当在起重机械检验合格有效期届满前1个月向检验机构申请定期检验。</w:t>
            </w:r>
          </w:p>
        </w:tc>
      </w:tr>
      <w:tr>
        <w:trPr>
          <w:trHeight w:val="1133"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第</w:t>
            </w:r>
            <w:r>
              <w:rPr>
                <w:rFonts w:ascii="Times New Roman" w:hAnsi="Times New Roman" w:eastAsia="PMingLiU" w:cs="Times New Roman"/>
                <w:color w:val="auto"/>
                <w:sz w:val="18"/>
                <w:szCs w:val="18"/>
              </w:rPr>
              <w:t>3.1</w:t>
            </w:r>
            <w:r>
              <w:rPr>
                <w:rFonts w:ascii="Times New Roman" w:hAnsi="Times New Roman" w:cs="Times New Roman"/>
                <w:color w:val="auto"/>
                <w:sz w:val="18"/>
                <w:szCs w:val="18"/>
              </w:rPr>
              <w:t>条</w:t>
            </w:r>
          </w:p>
        </w:tc>
        <w:tc>
          <w:tcPr>
            <w:tcW w:w="8388"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特种设备在投入使用前或者投入使用后30日内，使用单位应当向特种设备所在地的直辖市或者设区的市的特种设备安全监管部门申请办理使用登记。办理使用登记的直辖市或者设区的市的特种设备安全监管部门，可以委托下一级特种设备安全监管部门（以下简称登记机关）办理使用登记；对于整机出厂的特种设备，一般应当在投入使用前办理使用登记</w:t>
            </w:r>
            <w:r>
              <w:rPr>
                <w:rFonts w:ascii="Times New Roman" w:hAnsi="Times New Roman" w:cs="Times New Roman"/>
                <w:color w:val="auto"/>
                <w:sz w:val="18"/>
                <w:szCs w:val="18"/>
                <w:lang w:eastAsia="zh-CN"/>
              </w:rPr>
              <w:t>。</w:t>
            </w:r>
          </w:p>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流动作业的特种设备，向产权单位所在地的登记机关申请办理使用登记</w:t>
            </w:r>
            <w:r>
              <w:rPr>
                <w:rFonts w:ascii="Times New Roman" w:hAnsi="Times New Roman" w:cs="Times New Roman"/>
                <w:color w:val="auto"/>
                <w:sz w:val="18"/>
                <w:szCs w:val="18"/>
                <w:lang w:eastAsia="zh-CN"/>
              </w:rPr>
              <w:t>。</w:t>
            </w:r>
          </w:p>
        </w:tc>
      </w:tr>
      <w:tr>
        <w:trPr>
          <w:trHeight w:val="3766" w:hRule="exact"/>
          <w:jc w:val="center"/>
        </w:trPr>
        <w:tc>
          <w:tcPr>
            <w:tcW w:w="10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使用单位管理要求</w:t>
            </w: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第</w:t>
            </w:r>
            <w:r>
              <w:rPr>
                <w:rFonts w:ascii="Times New Roman" w:hAnsi="Times New Roman" w:eastAsia="PMingLiU" w:cs="Times New Roman"/>
                <w:color w:val="auto"/>
                <w:sz w:val="18"/>
                <w:szCs w:val="18"/>
              </w:rPr>
              <w:t>2.2</w:t>
            </w:r>
            <w:r>
              <w:rPr>
                <w:rFonts w:ascii="Times New Roman" w:hAnsi="Times New Roman" w:cs="Times New Roman"/>
                <w:color w:val="auto"/>
                <w:sz w:val="18"/>
                <w:szCs w:val="18"/>
              </w:rPr>
              <w:t>条</w:t>
            </w:r>
          </w:p>
        </w:tc>
        <w:tc>
          <w:tcPr>
            <w:tcW w:w="8388"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特种设备使用单位主要义务如下:</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(1)建立并且有效实施特种设备安全管理制度和高耗能特种设备节能管理制度，以及操作规程；</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(2)采购、使用取得许可生产（含设计、制造、安装、改造、修理，下同），并且经检验合格的特种设备，不得采购超过设计使用年限的特种设备，禁止使用国家明令淘汰和已经报废的特种设备；</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(3)设置特种设备安全管理机构，配备相应的安全管理人员和作业人员，建立人员管理台帐，开展安全与节能培训教育，保存人员培训记录；</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(4)办理使用登记，领取《特种设备使用登记证》，设备注销时交回使用登记证；</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(5)建立特种设备台帐及技术档案；</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(6)对特种设备作业人员作业情况进行检查，及时纠正违章作业行为；</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(7)对在用特种设备进行经常性维护保养和</w:t>
            </w:r>
            <w:r>
              <w:rPr>
                <w:rFonts w:hint="eastAsia" w:ascii="Times New Roman" w:hAnsi="Times New Roman" w:cs="Times New Roman"/>
                <w:color w:val="auto"/>
                <w:sz w:val="18"/>
                <w:szCs w:val="18"/>
                <w:lang w:eastAsia="zh-CN"/>
              </w:rPr>
              <w:t>定期</w:t>
            </w:r>
            <w:r>
              <w:rPr>
                <w:rFonts w:ascii="Times New Roman" w:hAnsi="Times New Roman" w:cs="Times New Roman"/>
                <w:color w:val="auto"/>
                <w:sz w:val="18"/>
                <w:szCs w:val="18"/>
              </w:rPr>
              <w:t>自行检查，</w:t>
            </w:r>
            <w:r>
              <w:rPr>
                <w:rFonts w:hint="eastAsia" w:ascii="Times New Roman" w:hAnsi="Times New Roman" w:cs="Times New Roman"/>
                <w:color w:val="auto"/>
                <w:sz w:val="18"/>
                <w:szCs w:val="18"/>
                <w:lang w:eastAsia="zh-CN"/>
              </w:rPr>
              <w:t>及时</w:t>
            </w:r>
            <w:r>
              <w:rPr>
                <w:rFonts w:ascii="Times New Roman" w:hAnsi="Times New Roman" w:cs="Times New Roman"/>
                <w:color w:val="auto"/>
                <w:sz w:val="18"/>
                <w:szCs w:val="18"/>
              </w:rPr>
              <w:t>排查和消除事故隐患，对在用特种设备的安全附件、安全保护装置及其附属仪器仪表进行定期校验（检定、校准，下同）、检修，即使提出定期检验和能效测试申请，接受定期检验和能效测试，并且做好相关配合工作；</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(8)制定特种设备事故应急专项预案，定期进行应急演练；发生事故</w:t>
            </w:r>
            <w:r>
              <w:rPr>
                <w:rFonts w:hint="eastAsia" w:ascii="Times New Roman" w:hAnsi="Times New Roman" w:cs="Times New Roman"/>
                <w:color w:val="auto"/>
                <w:sz w:val="18"/>
                <w:szCs w:val="18"/>
                <w:lang w:eastAsia="zh-CN"/>
              </w:rPr>
              <w:t>及时</w:t>
            </w:r>
            <w:r>
              <w:rPr>
                <w:rFonts w:ascii="Times New Roman" w:hAnsi="Times New Roman" w:cs="Times New Roman"/>
                <w:color w:val="auto"/>
                <w:sz w:val="18"/>
                <w:szCs w:val="18"/>
              </w:rPr>
              <w:t>上报，配合事故调查处理等；</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(9)保证特种设备安全、节能必要的投入；</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(10)法律、法规规定的其他义务。</w:t>
            </w:r>
          </w:p>
          <w:p>
            <w:pPr>
              <w:pStyle w:val="15"/>
              <w:snapToGrid w:val="0"/>
              <w:spacing w:line="240" w:lineRule="auto"/>
              <w:rPr>
                <w:rFonts w:hint="eastAsia"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使用单位应当</w:t>
            </w:r>
            <w:r>
              <w:rPr>
                <w:rFonts w:ascii="Times New Roman" w:hAnsi="Times New Roman" w:cs="Times New Roman"/>
                <w:color w:val="auto"/>
                <w:sz w:val="18"/>
                <w:szCs w:val="18"/>
                <w:lang w:eastAsia="zh-CN"/>
              </w:rPr>
              <w:t>接受特种设备安全监察部门依法实施的监督检查。</w:t>
            </w:r>
          </w:p>
        </w:tc>
      </w:tr>
      <w:tr>
        <w:trPr>
          <w:trHeight w:val="506" w:hRule="exact"/>
          <w:jc w:val="center"/>
        </w:trPr>
        <w:tc>
          <w:tcPr>
            <w:tcW w:w="105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bookmarkStart w:id="440" w:name="_Hlk53691348"/>
            <w:r>
              <w:rPr>
                <w:rFonts w:ascii="Times New Roman" w:hAnsi="Times New Roman" w:cs="Times New Roman"/>
                <w:color w:val="auto"/>
                <w:sz w:val="18"/>
                <w:szCs w:val="18"/>
              </w:rPr>
              <w:t>租用管理</w:t>
            </w:r>
            <w:bookmarkEnd w:id="440"/>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snapToGrid w:val="0"/>
              <w:rPr>
                <w:rFonts w:eastAsia="宋体"/>
                <w:color w:val="auto"/>
                <w:sz w:val="18"/>
                <w:szCs w:val="18"/>
                <w:lang w:eastAsia="zh-CN"/>
              </w:rPr>
            </w:pPr>
            <w:r>
              <w:rPr>
                <w:rFonts w:eastAsia="宋体"/>
                <w:color w:val="auto"/>
                <w:sz w:val="18"/>
                <w:szCs w:val="18"/>
                <w:lang w:eastAsia="zh-CN"/>
              </w:rPr>
              <w:t>起重机械安全技术监 察规程一桥式起重机（TSG Q0002-2008）</w:t>
            </w:r>
          </w:p>
        </w:tc>
        <w:tc>
          <w:tcPr>
            <w:tcW w:w="1239" w:type="dxa"/>
            <w:shd w:val="clear" w:color="auto" w:fill="FFFFFF"/>
            <w:noWrap w:val="0"/>
            <w:vAlign w:val="center"/>
          </w:tcPr>
          <w:p>
            <w:pPr>
              <w:snapToGrid w:val="0"/>
              <w:jc w:val="center"/>
              <w:rPr>
                <w:rFonts w:eastAsia="宋体"/>
                <w:color w:val="auto"/>
                <w:sz w:val="18"/>
                <w:szCs w:val="18"/>
              </w:rPr>
            </w:pPr>
            <w:r>
              <w:rPr>
                <w:rFonts w:eastAsia="宋体"/>
                <w:color w:val="auto"/>
                <w:sz w:val="18"/>
                <w:szCs w:val="18"/>
              </w:rPr>
              <w:t>第104 条</w:t>
            </w:r>
          </w:p>
        </w:tc>
        <w:tc>
          <w:tcPr>
            <w:tcW w:w="8388" w:type="dxa"/>
            <w:shd w:val="clear" w:color="auto" w:fill="FFFFFF"/>
            <w:noWrap w:val="0"/>
            <w:vAlign w:val="center"/>
          </w:tcPr>
          <w:p>
            <w:pPr>
              <w:snapToGrid w:val="0"/>
              <w:rPr>
                <w:rFonts w:eastAsia="宋体"/>
                <w:color w:val="auto"/>
                <w:sz w:val="18"/>
                <w:szCs w:val="18"/>
                <w:lang w:eastAsia="zh-CN"/>
              </w:rPr>
            </w:pPr>
            <w:r>
              <w:rPr>
                <w:rFonts w:eastAsia="宋体"/>
                <w:color w:val="auto"/>
                <w:sz w:val="18"/>
                <w:szCs w:val="18"/>
                <w:lang w:eastAsia="zh-CN"/>
              </w:rPr>
              <w:t>起重机承租使用单位应当使用符合本规程要求的起重机，并且按照本章的要求，在承租使用期间对起重机械进行日常维护保养和自行检查，对承租起重机的使用安全负责。</w:t>
            </w:r>
          </w:p>
        </w:tc>
      </w:tr>
      <w:tr>
        <w:trPr>
          <w:trHeight w:val="555" w:hRule="exact"/>
          <w:jc w:val="center"/>
        </w:trPr>
        <w:tc>
          <w:tcPr>
            <w:tcW w:w="105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日常检查</w:t>
            </w: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操作</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w:t>
            </w:r>
          </w:p>
        </w:tc>
        <w:tc>
          <w:tcPr>
            <w:tcW w:w="63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每班</w:t>
            </w: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起重机械安全技术监察规程一桥式起重机 </w:t>
            </w: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第94条</w:t>
            </w:r>
          </w:p>
        </w:tc>
        <w:tc>
          <w:tcPr>
            <w:tcW w:w="8388"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起重机每班使用前，应当对下列内容进行检查：</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作业环境</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安全防护装置</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起重吊具、钢丝绳和起重用链条</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制动器；</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消防器材</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供电电源；控制装置</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监控系统;标记和警示标志；气动系统、液压系统、冷却系统、燃油系统的渗漏；照明装置。</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发现异常时，应当在使用前排除，并且做好相应记录。</w:t>
            </w:r>
          </w:p>
        </w:tc>
      </w:tr>
      <w:tr>
        <w:trPr>
          <w:trHeight w:val="664"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w:t>
            </w:r>
            <w:r>
              <w:rPr>
                <w:rFonts w:hint="eastAsia"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检查与维护规程</w:t>
            </w:r>
            <w:r>
              <w:rPr>
                <w:rFonts w:hint="eastAsia"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 xml:space="preserve">第1部分:总则 </w:t>
            </w:r>
            <w:r>
              <w:rPr>
                <w:rFonts w:ascii="Times New Roman" w:hAnsi="Times New Roman" w:cs="Times New Roman"/>
                <w:color w:val="auto"/>
                <w:sz w:val="18"/>
                <w:szCs w:val="18"/>
                <w:lang w:val="en-US" w:eastAsia="zh-CN" w:bidi="en-US"/>
              </w:rPr>
              <w:t>(GB/T 31052.1</w:t>
            </w:r>
            <w:r>
              <w:rPr>
                <w:rFonts w:hint="eastAsia" w:ascii="Times New Roman" w:hAnsi="Times New Roman" w:cs="Times New Roman"/>
                <w:color w:val="auto"/>
                <w:sz w:val="18"/>
                <w:szCs w:val="18"/>
                <w:lang w:val="en-US" w:eastAsia="zh-CN" w:bidi="en-US"/>
              </w:rPr>
              <w:t>-</w:t>
            </w:r>
            <w:r>
              <w:rPr>
                <w:rFonts w:ascii="Times New Roman" w:hAnsi="Times New Roman" w:cs="Times New Roman"/>
                <w:color w:val="auto"/>
                <w:sz w:val="18"/>
                <w:szCs w:val="18"/>
                <w:lang w:val="en-US" w:eastAsia="zh-CN" w:bidi="en-US"/>
              </w:rPr>
              <w:t>2014)</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5.1</w:t>
            </w:r>
          </w:p>
        </w:tc>
        <w:tc>
          <w:tcPr>
            <w:tcW w:w="8388" w:type="dxa"/>
            <w:vMerge w:val="continue"/>
            <w:shd w:val="clear" w:color="auto" w:fill="FFFFFF"/>
            <w:noWrap w:val="0"/>
            <w:vAlign w:val="center"/>
          </w:tcPr>
          <w:p>
            <w:pPr>
              <w:snapToGrid w:val="0"/>
              <w:rPr>
                <w:rFonts w:eastAsia="宋体"/>
                <w:color w:val="auto"/>
                <w:sz w:val="18"/>
                <w:szCs w:val="18"/>
                <w:lang w:eastAsia="zh-CN"/>
              </w:rPr>
            </w:pPr>
          </w:p>
        </w:tc>
      </w:tr>
      <w:tr>
        <w:trPr>
          <w:trHeight w:val="712" w:hRule="exact"/>
          <w:jc w:val="center"/>
        </w:trPr>
        <w:tc>
          <w:tcPr>
            <w:tcW w:w="1051" w:type="dxa"/>
            <w:vMerge w:val="restart"/>
            <w:shd w:val="clear" w:color="auto" w:fill="FFFFFF"/>
            <w:noWrap w:val="0"/>
            <w:vAlign w:val="center"/>
          </w:tcPr>
          <w:p>
            <w:pPr>
              <w:pStyle w:val="15"/>
              <w:snapToGrid w:val="0"/>
              <w:spacing w:line="240" w:lineRule="auto"/>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rPr>
              <w:t>定期自行检查</w:t>
            </w: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指派</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专人</w:t>
            </w:r>
          </w:p>
        </w:tc>
        <w:tc>
          <w:tcPr>
            <w:tcW w:w="635"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周检、月检、 季检、半年检和年检。</w:t>
            </w: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起重机械安全技术监察规程一桥式起重机 </w:t>
            </w: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第95条</w:t>
            </w:r>
          </w:p>
        </w:tc>
        <w:tc>
          <w:tcPr>
            <w:tcW w:w="8388"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定期自行检查应包括以下项目：</w:t>
            </w:r>
          </w:p>
          <w:p>
            <w:pPr>
              <w:pStyle w:val="15"/>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a）</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技术文件和资料：随行文件;检查及维护记录</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设备安装、改造、维修、注册登记等其他档案。</w:t>
            </w:r>
          </w:p>
          <w:p>
            <w:pPr>
              <w:pStyle w:val="15"/>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b）</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金属结构：金属结构变形、裂纹、腐蚀；焊缝裂纹；紧固件及销轴。</w:t>
            </w:r>
          </w:p>
          <w:p>
            <w:pPr>
              <w:pStyle w:val="15"/>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c）</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机构：起升机构；运行机构；回转机构；变幅机构；伸缩机构；其他辅助机构（如：移动供电系统、吊具机构、润滑系统、塔机的爬升系统等）。</w:t>
            </w:r>
          </w:p>
          <w:p>
            <w:pPr>
              <w:pStyle w:val="15"/>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d）</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关键零部件</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起重吊具</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钢丝绳及其附件</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起重用链条</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卷筒；滑轮；制动器；车轮；开式齿轮；联轴器；其他。</w:t>
            </w:r>
          </w:p>
          <w:p>
            <w:pPr>
              <w:pStyle w:val="15"/>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e）</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控制系统：电控系统（含安全监控管理系统）；液压系统</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气动系统。</w:t>
            </w:r>
          </w:p>
          <w:p>
            <w:pPr>
              <w:pStyle w:val="15"/>
              <w:tabs>
                <w:tab w:val="left" w:pos="350"/>
              </w:tabs>
              <w:snapToGrid w:val="0"/>
              <w:spacing w:line="240" w:lineRule="auto"/>
              <w:rPr>
                <w:rFonts w:hint="eastAsia"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f）</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安全防护：限制运动行程与指示工作位置的安全防护装置（如：起升高度限制器、限位开关、幅度指示器、防止臂架向后倾翻的装置、回转锁定装置、支腿回缩锁定装置、防碰撞装置、缓冲器及端部止挡、偏斜指示器或限制器、水平仪等）；防超载、超速的安全防护装置（如：起重量限制器、起重力矩限制器、极限力矩限制器、超速保护装置等）；抗风防滑和防倾翻装置［如</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抗风防滑装置（锚定装置、夹轨器等）、防倾翻安全钩等］</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联锁保护</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电气保护；警示装置及标志（如</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rPr>
              <w:t>声、光报警装置、安全警示标志等）；通道及安全防护设施（如：楼梯、阶梯、平台、走道、栏杆、防护罩、检修吊笼等）；其他安全防护装置（如：风速仪、导电滑触线的安全防护、轨道清扫器、防坠落保护、断绳保护、钢丝绳防脱装置、起升绳偏角限制器、爬升装置防脱装置、汽车长宽高限制装置、阻车装置、人车误入检测装置、自动门防夹装置、防重叠自动检测装置、松绳（链）检测装置或载车板倾斜检测装置、限速器、安全钳、紧急联络装置、运转限制装置、载车板锁定装置等）。</w:t>
            </w:r>
          </w:p>
          <w:p>
            <w:pPr>
              <w:pStyle w:val="15"/>
              <w:tabs>
                <w:tab w:val="left" w:pos="350"/>
              </w:tabs>
              <w:snapToGrid w:val="0"/>
              <w:spacing w:line="240" w:lineRule="auto"/>
              <w:rPr>
                <w:rFonts w:hint="eastAsia" w:ascii="Times New Roman" w:hAnsi="Times New Roman" w:eastAsia="PMingLiU" w:cs="Times New Roman"/>
                <w:color w:val="auto"/>
                <w:sz w:val="15"/>
                <w:szCs w:val="15"/>
                <w:lang w:eastAsia="zh-CN"/>
              </w:rPr>
            </w:pPr>
            <w:r>
              <w:rPr>
                <w:rFonts w:hint="eastAsia" w:ascii="Times New Roman" w:hAnsi="Times New Roman" w:cs="Times New Roman"/>
                <w:color w:val="auto"/>
                <w:sz w:val="15"/>
                <w:szCs w:val="15"/>
                <w:lang w:eastAsia="zh-CN"/>
              </w:rPr>
              <w:t>注：</w:t>
            </w:r>
            <w:r>
              <w:rPr>
                <w:rFonts w:ascii="Times New Roman" w:hAnsi="Times New Roman" w:cs="Times New Roman"/>
                <w:color w:val="auto"/>
                <w:sz w:val="15"/>
                <w:szCs w:val="15"/>
              </w:rPr>
              <w:t>使用单位应根据不同的起重机械的情况确定具体的检查周 期、检查项目和检查方 法。年检时应为全项目检查</w:t>
            </w:r>
          </w:p>
        </w:tc>
      </w:tr>
      <w:tr>
        <w:trPr>
          <w:trHeight w:val="3826" w:hRule="exact"/>
          <w:jc w:val="center"/>
        </w:trPr>
        <w:tc>
          <w:tcPr>
            <w:tcW w:w="1051" w:type="dxa"/>
            <w:vMerge w:val="continue"/>
            <w:shd w:val="clear" w:color="auto" w:fill="FFFFFF"/>
            <w:noWrap w:val="0"/>
            <w:vAlign w:val="center"/>
          </w:tcPr>
          <w:p>
            <w:pPr>
              <w:pStyle w:val="15"/>
              <w:snapToGrid w:val="0"/>
              <w:spacing w:line="240" w:lineRule="auto"/>
              <w:jc w:val="center"/>
              <w:rPr>
                <w:rFonts w:ascii="Times New Roman" w:hAnsi="Times New Roman" w:eastAsia="PMingLiU" w:cs="Times New Roman"/>
                <w:color w:val="auto"/>
                <w:sz w:val="18"/>
                <w:szCs w:val="18"/>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w:t>
            </w:r>
            <w:r>
              <w:rPr>
                <w:rFonts w:hint="eastAsia"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检查与维护规程</w:t>
            </w:r>
            <w:r>
              <w:rPr>
                <w:rFonts w:hint="eastAsia"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 xml:space="preserve">第1部分:总则 </w:t>
            </w:r>
            <w:r>
              <w:rPr>
                <w:rFonts w:ascii="Times New Roman" w:hAnsi="Times New Roman" w:cs="Times New Roman"/>
                <w:color w:val="auto"/>
                <w:sz w:val="18"/>
                <w:szCs w:val="18"/>
                <w:lang w:val="en-US" w:eastAsia="zh-CN" w:bidi="en-US"/>
              </w:rPr>
              <w:t>（GB/T 31052.1—2014）</w:t>
            </w:r>
          </w:p>
        </w:tc>
        <w:tc>
          <w:tcPr>
            <w:tcW w:w="123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5.2</w:t>
            </w:r>
          </w:p>
        </w:tc>
        <w:tc>
          <w:tcPr>
            <w:tcW w:w="8388" w:type="dxa"/>
            <w:vMerge w:val="continue"/>
            <w:shd w:val="clear" w:color="auto" w:fill="FFFFFF"/>
            <w:noWrap w:val="0"/>
            <w:vAlign w:val="center"/>
          </w:tcPr>
          <w:p>
            <w:pPr>
              <w:snapToGrid w:val="0"/>
              <w:rPr>
                <w:rFonts w:eastAsia="宋体"/>
                <w:color w:val="auto"/>
                <w:sz w:val="18"/>
                <w:szCs w:val="18"/>
                <w:lang w:eastAsia="zh-CN"/>
              </w:rPr>
            </w:pPr>
          </w:p>
        </w:tc>
      </w:tr>
      <w:tr>
        <w:trPr>
          <w:trHeight w:val="564" w:hRule="exact"/>
          <w:jc w:val="center"/>
        </w:trPr>
        <w:tc>
          <w:tcPr>
            <w:tcW w:w="1051"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特殊检查</w:t>
            </w:r>
          </w:p>
        </w:tc>
        <w:tc>
          <w:tcPr>
            <w:tcW w:w="593" w:type="dxa"/>
            <w:vMerge w:val="continue"/>
            <w:tcBorders>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593"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指派</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专人</w:t>
            </w:r>
          </w:p>
        </w:tc>
        <w:tc>
          <w:tcPr>
            <w:tcW w:w="635"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根据</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需要</w:t>
            </w:r>
          </w:p>
        </w:tc>
        <w:tc>
          <w:tcPr>
            <w:tcW w:w="2464" w:type="dxa"/>
            <w:tcBorders>
              <w:top w:val="single" w:color="auto" w:sz="4" w:space="0"/>
              <w:bottom w:val="single" w:color="auto" w:sz="4" w:space="0"/>
            </w:tcBorders>
            <w:shd w:val="clear" w:color="auto" w:fill="FFFFFF"/>
            <w:noWrap w:val="0"/>
            <w:vAlign w:val="center"/>
          </w:tcPr>
          <w:p>
            <w:pPr>
              <w:pStyle w:val="15"/>
              <w:snapToGrid w:val="0"/>
              <w:spacing w:line="240" w:lineRule="auto"/>
              <w:rPr>
                <w:rFonts w:hint="eastAsia"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p>
          <w:p>
            <w:pPr>
              <w:pStyle w:val="15"/>
              <w:snapToGrid w:val="0"/>
              <w:spacing w:line="240" w:lineRule="auto"/>
              <w:rPr>
                <w:rFonts w:hint="eastAsia"/>
                <w:color w:val="auto"/>
                <w:sz w:val="18"/>
                <w:szCs w:val="18"/>
                <w:lang w:eastAsia="zh-CN"/>
              </w:rPr>
            </w:pPr>
            <w:r>
              <w:rPr>
                <w:rFonts w:ascii="Times New Roman" w:hAnsi="Times New Roman" w:cs="Times New Roman"/>
                <w:color w:val="auto"/>
                <w:sz w:val="18"/>
                <w:szCs w:val="18"/>
                <w:lang w:val="en-US" w:eastAsia="en-US" w:bidi="en-US"/>
              </w:rPr>
              <w:t xml:space="preserve"> GB/T 31052.1—2014</w:t>
            </w:r>
          </w:p>
        </w:tc>
        <w:tc>
          <w:tcPr>
            <w:tcW w:w="1239" w:type="dxa"/>
            <w:tcBorders>
              <w:top w:val="single" w:color="auto" w:sz="4" w:space="0"/>
              <w:bottom w:val="single" w:color="auto" w:sz="4"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第103条</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第</w:t>
            </w:r>
            <w:r>
              <w:rPr>
                <w:rFonts w:ascii="Times New Roman" w:hAnsi="Times New Roman" w:cs="Times New Roman"/>
                <w:color w:val="auto"/>
                <w:sz w:val="18"/>
                <w:szCs w:val="18"/>
                <w:lang w:val="en-US" w:eastAsia="en-US" w:bidi="en-US"/>
              </w:rPr>
              <w:t>5.3</w:t>
            </w:r>
            <w:r>
              <w:rPr>
                <w:rFonts w:ascii="Times New Roman" w:hAnsi="Times New Roman" w:cs="Times New Roman"/>
                <w:color w:val="auto"/>
                <w:sz w:val="18"/>
                <w:szCs w:val="18"/>
              </w:rPr>
              <w:t>条</w:t>
            </w:r>
          </w:p>
        </w:tc>
        <w:tc>
          <w:tcPr>
            <w:tcW w:w="8388" w:type="dxa"/>
            <w:tcBorders>
              <w:top w:val="single" w:color="auto" w:sz="4" w:space="0"/>
              <w:bottom w:val="single" w:color="auto" w:sz="4"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根据需要选择上述相应的内容进行检查。</w:t>
            </w:r>
          </w:p>
        </w:tc>
      </w:tr>
      <w:tr>
        <w:trPr>
          <w:trHeight w:val="709" w:hRule="exact"/>
          <w:jc w:val="center"/>
        </w:trPr>
        <w:tc>
          <w:tcPr>
            <w:tcW w:w="1051"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tc>
        <w:tc>
          <w:tcPr>
            <w:tcW w:w="593"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机构</w:t>
            </w:r>
          </w:p>
        </w:tc>
        <w:tc>
          <w:tcPr>
            <w:tcW w:w="593"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持证</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w:t>
            </w:r>
          </w:p>
        </w:tc>
        <w:tc>
          <w:tcPr>
            <w:tcW w:w="635"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按照规范确定</w:t>
            </w:r>
          </w:p>
        </w:tc>
        <w:tc>
          <w:tcPr>
            <w:tcW w:w="2464" w:type="dxa"/>
            <w:tcBorders>
              <w:top w:val="single" w:color="auto" w:sz="4" w:space="0"/>
              <w:bottom w:val="single" w:color="auto" w:sz="4"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起重机械定期检验 规则</w:t>
            </w:r>
          </w:p>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w:t>
            </w:r>
          </w:p>
        </w:tc>
        <w:tc>
          <w:tcPr>
            <w:tcW w:w="1239" w:type="dxa"/>
            <w:tcBorders>
              <w:top w:val="single" w:color="auto" w:sz="4" w:space="0"/>
              <w:bottom w:val="single" w:color="auto" w:sz="4"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8388" w:type="dxa"/>
            <w:tcBorders>
              <w:top w:val="single" w:color="auto" w:sz="4" w:space="0"/>
              <w:bottom w:val="single" w:color="auto" w:sz="4"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由检验机构按照</w:t>
            </w: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2016要求确定。</w:t>
            </w:r>
          </w:p>
        </w:tc>
      </w:tr>
      <w:tr>
        <w:trPr>
          <w:trHeight w:val="704" w:hRule="exact"/>
          <w:jc w:val="center"/>
        </w:trPr>
        <w:tc>
          <w:tcPr>
            <w:tcW w:w="1051"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日常巡查</w:t>
            </w:r>
          </w:p>
        </w:tc>
        <w:tc>
          <w:tcPr>
            <w:tcW w:w="593"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每日一次</w:t>
            </w:r>
          </w:p>
        </w:tc>
        <w:tc>
          <w:tcPr>
            <w:tcW w:w="2464"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rPr>
              <w:t>—</w:t>
            </w:r>
          </w:p>
        </w:tc>
        <w:tc>
          <w:tcPr>
            <w:tcW w:w="1239" w:type="dxa"/>
            <w:tcBorders>
              <w:top w:val="single" w:color="auto" w:sz="4" w:space="0"/>
              <w:bottom w:val="single" w:color="auto" w:sz="12" w:space="0"/>
            </w:tcBorders>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附录A</w:t>
            </w:r>
          </w:p>
        </w:tc>
        <w:tc>
          <w:tcPr>
            <w:tcW w:w="8388" w:type="dxa"/>
            <w:tcBorders>
              <w:top w:val="single" w:color="auto" w:sz="4" w:space="0"/>
              <w:bottom w:val="single" w:color="auto" w:sz="12" w:space="0"/>
            </w:tcBorders>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见附表</w:t>
            </w:r>
          </w:p>
        </w:tc>
      </w:tr>
    </w:tbl>
    <w:p>
      <w:pPr>
        <w:snapToGrid w:val="0"/>
        <w:rPr>
          <w:color w:val="auto"/>
          <w:sz w:val="18"/>
          <w:szCs w:val="18"/>
          <w:lang w:eastAsia="zh-CN"/>
        </w:rPr>
        <w:sectPr>
          <w:headerReference r:id="rId32" w:type="first"/>
          <w:footerReference r:id="rId35" w:type="first"/>
          <w:headerReference r:id="rId30" w:type="default"/>
          <w:footerReference r:id="rId33" w:type="default"/>
          <w:headerReference r:id="rId31" w:type="even"/>
          <w:footerReference r:id="rId34" w:type="even"/>
          <w:pgSz w:w="16840" w:h="11900" w:orient="landscape"/>
          <w:pgMar w:top="1134" w:right="1134" w:bottom="1134" w:left="1134" w:header="851" w:footer="851" w:gutter="0"/>
          <w:cols w:space="720" w:num="1"/>
          <w:titlePg/>
          <w:docGrid w:linePitch="360" w:charSpace="0"/>
        </w:sectPr>
      </w:pPr>
    </w:p>
    <w:p>
      <w:pPr>
        <w:pStyle w:val="18"/>
        <w:tabs>
          <w:tab w:val="clear" w:pos="180"/>
        </w:tabs>
        <w:snapToGrid w:val="0"/>
        <w:spacing w:before="60" w:beforeLines="25" w:after="60" w:afterLines="25"/>
        <w:rPr>
          <w:rFonts w:hint="eastAsia" w:ascii="Times New Roman"/>
          <w:b/>
          <w:color w:val="auto"/>
        </w:rPr>
      </w:pPr>
      <w:r>
        <w:rPr>
          <w:rFonts w:ascii="Times New Roman"/>
          <w:b/>
          <w:color w:val="auto"/>
        </w:rPr>
        <w:t>附</w:t>
      </w:r>
      <w:r>
        <w:rPr>
          <w:rFonts w:hint="eastAsia" w:ascii="Times New Roman"/>
          <w:b/>
          <w:color w:val="auto"/>
        </w:rPr>
        <w:t>表</w:t>
      </w:r>
      <w:r>
        <w:rPr>
          <w:rFonts w:ascii="Times New Roman"/>
          <w:b/>
          <w:color w:val="auto"/>
        </w:rPr>
        <w:t>1  起重机械日常巡查内容</w:t>
      </w:r>
    </w:p>
    <w:p>
      <w:pPr>
        <w:pStyle w:val="19"/>
        <w:rPr>
          <w:rFonts w:hint="eastAsia"/>
          <w:color w:val="auto"/>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77"/>
        <w:gridCol w:w="1560"/>
        <w:gridCol w:w="7229"/>
      </w:tblGrid>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1560"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w:t>
            </w:r>
          </w:p>
        </w:tc>
        <w:tc>
          <w:tcPr>
            <w:tcW w:w="7229"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巡查内容</w:t>
            </w:r>
          </w:p>
        </w:tc>
      </w:tr>
      <w:tr>
        <w:trPr>
          <w:trHeight w:val="1003"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w:t>
            </w:r>
          </w:p>
        </w:tc>
        <w:tc>
          <w:tcPr>
            <w:tcW w:w="1560" w:type="dxa"/>
            <w:vMerge w:val="restart"/>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作业环境条件</w:t>
            </w: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起重机是否处于整洁环境，并且远离油罐、废料、工具或物料，已有安全储藏措施的情况除外。</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检查起重机械的出入口，要求无障碍以及相应的灭火设施应完备</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2</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在作业区域内无影响安全作业的障碍物、高压线，运行轨道上无障碍物</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3</w:t>
            </w:r>
          </w:p>
        </w:tc>
        <w:tc>
          <w:tcPr>
            <w:tcW w:w="1560" w:type="dxa"/>
            <w:vMerge w:val="restart"/>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外观检查</w:t>
            </w: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检查电气设备，不允许沾染润滑油、润滑脂、水或灰尘</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4</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外观检查有关的台面和（或）部件，无润滑油和冷却剂等液体的洒落</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5</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检查所有的限制装置或保险装置以及固定手柄或操纵杆的操作状态</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6</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起重机车轮和轮胎的安全状况</w:t>
            </w:r>
          </w:p>
        </w:tc>
      </w:tr>
      <w:tr>
        <w:trPr>
          <w:trHeight w:val="858"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7</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检查吊钩和其他吊具、安全卡、旋转接头有无损坏、异常活动或磨损。检查吊钩柄螺纹和保险螺母有无可能应磨损或锈蚀导致的过度转动</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8</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在操作之前，应确定在设备或控制装置上没有插入电缆接头或布线装置</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9</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检查液压和气压系统软管在正常工作情况下是否有非正常弯曲和磨损</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10</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钢丝绳在滑轮和卷筒上缠绕正常，没有错位</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11</w:t>
            </w:r>
          </w:p>
        </w:tc>
        <w:tc>
          <w:tcPr>
            <w:tcW w:w="1560" w:type="dxa"/>
            <w:vMerge w:val="restart"/>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功能检查</w:t>
            </w: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空载时检查起重机械所有控制系统是否处于正常状态</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12</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所有听觉报警装置</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13</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在开动起重机械之前，检查制动器和离合器的功能是否正常</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14</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超载限制器</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15</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幅度指示值符合性</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16</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各气动控制系统中的气压</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17</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照明灯、挡风屏雨刷和清洗装置</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18</w:t>
            </w:r>
          </w:p>
        </w:tc>
        <w:tc>
          <w:tcPr>
            <w:tcW w:w="1560" w:type="dxa"/>
            <w:vMerge w:val="continue"/>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检查防风锚定装置的安全性</w:t>
            </w:r>
          </w:p>
        </w:tc>
      </w:tr>
      <w:tr>
        <w:trPr>
          <w:trHeight w:val="567" w:hRule="exact"/>
          <w:jc w:val="center"/>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19</w:t>
            </w:r>
          </w:p>
        </w:tc>
        <w:tc>
          <w:tcPr>
            <w:tcW w:w="1560"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其他异常情况及采取措施</w:t>
            </w:r>
          </w:p>
        </w:tc>
        <w:tc>
          <w:tcPr>
            <w:tcW w:w="7229"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p>
        </w:tc>
      </w:tr>
    </w:tbl>
    <w:p>
      <w:pPr>
        <w:pStyle w:val="19"/>
        <w:rPr>
          <w:color w:val="auto"/>
        </w:rPr>
      </w:pPr>
    </w:p>
    <w:p>
      <w:pPr>
        <w:snapToGrid w:val="0"/>
        <w:rPr>
          <w:color w:val="auto"/>
          <w:sz w:val="18"/>
          <w:szCs w:val="18"/>
          <w:lang w:eastAsia="zh-CN"/>
        </w:rPr>
        <w:sectPr>
          <w:pgSz w:w="11900" w:h="16840"/>
          <w:pgMar w:top="1134" w:right="1134" w:bottom="1134" w:left="1134" w:header="851" w:footer="851" w:gutter="0"/>
          <w:cols w:space="720" w:num="1"/>
          <w:titlePg/>
          <w:docGrid w:linePitch="360" w:charSpace="0"/>
        </w:sectPr>
      </w:pPr>
    </w:p>
    <w:p>
      <w:pPr>
        <w:pStyle w:val="14"/>
        <w:snapToGrid w:val="0"/>
        <w:spacing w:after="120" w:afterLines="50" w:line="240" w:lineRule="auto"/>
        <w:jc w:val="center"/>
        <w:rPr>
          <w:rFonts w:ascii="Times New Roman" w:hAnsi="Times New Roman" w:eastAsia="黑体" w:cs="Times New Roman"/>
          <w:b/>
          <w:color w:val="auto"/>
          <w:sz w:val="21"/>
          <w:szCs w:val="21"/>
        </w:rPr>
      </w:pPr>
      <w:r>
        <w:rPr>
          <w:rFonts w:ascii="Times New Roman" w:hAnsi="黑体" w:eastAsia="黑体" w:cs="Times New Roman"/>
          <w:b/>
          <w:color w:val="auto"/>
          <w:sz w:val="21"/>
          <w:szCs w:val="21"/>
        </w:rPr>
        <w:t>表</w:t>
      </w:r>
      <w:r>
        <w:rPr>
          <w:rFonts w:ascii="Times New Roman" w:hAnsi="Times New Roman" w:eastAsia="黑体" w:cs="Times New Roman"/>
          <w:b/>
          <w:color w:val="auto"/>
          <w:sz w:val="21"/>
          <w:szCs w:val="21"/>
          <w:lang w:val="en-US" w:eastAsia="zh-CN" w:bidi="en-US"/>
        </w:rPr>
        <w:t xml:space="preserve">B.12  </w:t>
      </w:r>
      <w:r>
        <w:rPr>
          <w:rFonts w:ascii="Times New Roman" w:hAnsi="黑体" w:eastAsia="黑体" w:cs="Times New Roman"/>
          <w:b/>
          <w:color w:val="auto"/>
          <w:sz w:val="21"/>
          <w:szCs w:val="21"/>
        </w:rPr>
        <w:t>特种设备</w:t>
      </w:r>
      <w:r>
        <w:rPr>
          <w:rFonts w:ascii="Times New Roman" w:hAnsi="黑体" w:eastAsia="黑体" w:cs="Times New Roman"/>
          <w:b/>
          <w:color w:val="auto"/>
          <w:sz w:val="21"/>
          <w:szCs w:val="21"/>
          <w:lang w:eastAsia="zh-CN"/>
        </w:rPr>
        <w:t>隐患排查清单</w:t>
      </w:r>
      <w:r>
        <w:rPr>
          <w:rFonts w:ascii="Times New Roman" w:hAnsi="Times New Roman" w:eastAsia="黑体" w:cs="Times New Roman"/>
          <w:b/>
          <w:color w:val="auto"/>
          <w:sz w:val="21"/>
          <w:szCs w:val="21"/>
          <w:lang w:eastAsia="zh-CN"/>
        </w:rPr>
        <w:t>——</w:t>
      </w:r>
      <w:r>
        <w:rPr>
          <w:rFonts w:ascii="Times New Roman" w:hAnsi="黑体" w:eastAsia="黑体" w:cs="Times New Roman"/>
          <w:b/>
          <w:color w:val="auto"/>
          <w:sz w:val="21"/>
          <w:szCs w:val="21"/>
          <w:lang w:eastAsia="zh-CN"/>
        </w:rPr>
        <w:t>客运索道专项</w:t>
      </w:r>
      <w:r>
        <w:rPr>
          <w:rFonts w:ascii="Times New Roman" w:hAnsi="黑体" w:eastAsia="黑体" w:cs="Times New Roman"/>
          <w:b/>
          <w:color w:val="auto"/>
          <w:sz w:val="21"/>
          <w:szCs w:val="21"/>
        </w:rPr>
        <w:t>要求</w:t>
      </w:r>
    </w:p>
    <w:tbl>
      <w:tblPr>
        <w:tblStyle w:val="8"/>
        <w:tblpPr/>
        <w:tblOverlap w:val="never"/>
        <w:tblW w:w="14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5"/>
        <w:gridCol w:w="511"/>
        <w:gridCol w:w="708"/>
        <w:gridCol w:w="567"/>
        <w:gridCol w:w="993"/>
        <w:gridCol w:w="992"/>
        <w:gridCol w:w="9947"/>
      </w:tblGrid>
      <w:tr>
        <w:trPr>
          <w:trHeight w:val="241" w:hRule="exact"/>
          <w:tblHeader/>
          <w:jc w:val="center"/>
        </w:trPr>
        <w:tc>
          <w:tcPr>
            <w:tcW w:w="1245"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511"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实施</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单位</w:t>
            </w:r>
          </w:p>
        </w:tc>
        <w:tc>
          <w:tcPr>
            <w:tcW w:w="708"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56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1985"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947"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199" w:hRule="exact"/>
          <w:tblHeader/>
          <w:jc w:val="center"/>
        </w:trPr>
        <w:tc>
          <w:tcPr>
            <w:tcW w:w="1245" w:type="dxa"/>
            <w:vMerge w:val="continue"/>
            <w:shd w:val="clear" w:color="auto" w:fill="FFFFFF"/>
            <w:noWrap w:val="0"/>
            <w:vAlign w:val="center"/>
          </w:tcPr>
          <w:p>
            <w:pPr>
              <w:snapToGrid w:val="0"/>
              <w:jc w:val="center"/>
              <w:rPr>
                <w:color w:val="auto"/>
                <w:sz w:val="18"/>
                <w:szCs w:val="18"/>
              </w:rPr>
            </w:pPr>
          </w:p>
        </w:tc>
        <w:tc>
          <w:tcPr>
            <w:tcW w:w="511" w:type="dxa"/>
            <w:vMerge w:val="continue"/>
            <w:shd w:val="clear" w:color="auto" w:fill="FFFFFF"/>
            <w:noWrap w:val="0"/>
            <w:vAlign w:val="center"/>
          </w:tcPr>
          <w:p>
            <w:pPr>
              <w:snapToGrid w:val="0"/>
              <w:jc w:val="center"/>
              <w:rPr>
                <w:color w:val="auto"/>
                <w:sz w:val="18"/>
                <w:szCs w:val="18"/>
              </w:rPr>
            </w:pPr>
          </w:p>
        </w:tc>
        <w:tc>
          <w:tcPr>
            <w:tcW w:w="708" w:type="dxa"/>
            <w:vMerge w:val="continue"/>
            <w:shd w:val="clear" w:color="auto" w:fill="FFFFFF"/>
            <w:noWrap w:val="0"/>
            <w:vAlign w:val="center"/>
          </w:tcPr>
          <w:p>
            <w:pPr>
              <w:snapToGrid w:val="0"/>
              <w:jc w:val="center"/>
              <w:rPr>
                <w:color w:val="auto"/>
                <w:sz w:val="18"/>
                <w:szCs w:val="18"/>
              </w:rPr>
            </w:pPr>
          </w:p>
        </w:tc>
        <w:tc>
          <w:tcPr>
            <w:tcW w:w="567" w:type="dxa"/>
            <w:vMerge w:val="continue"/>
            <w:shd w:val="clear" w:color="auto" w:fill="FFFFFF"/>
            <w:noWrap w:val="0"/>
            <w:vAlign w:val="center"/>
          </w:tcPr>
          <w:p>
            <w:pPr>
              <w:snapToGrid w:val="0"/>
              <w:jc w:val="center"/>
              <w:rPr>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w:t>
            </w:r>
            <w:r>
              <w:rPr>
                <w:rFonts w:ascii="Times New Roman" w:hAnsi="黑体" w:eastAsia="黑体" w:cs="Times New Roman"/>
                <w:b/>
                <w:color w:val="auto"/>
                <w:sz w:val="18"/>
                <w:szCs w:val="18"/>
              </w:rPr>
              <w:t>标准</w:t>
            </w:r>
          </w:p>
        </w:tc>
        <w:tc>
          <w:tcPr>
            <w:tcW w:w="992"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947" w:type="dxa"/>
            <w:vMerge w:val="continue"/>
            <w:shd w:val="clear" w:color="auto" w:fill="FFFFFF"/>
            <w:noWrap w:val="0"/>
            <w:vAlign w:val="center"/>
          </w:tcPr>
          <w:p>
            <w:pPr>
              <w:snapToGrid w:val="0"/>
              <w:rPr>
                <w:color w:val="auto"/>
                <w:sz w:val="18"/>
                <w:szCs w:val="18"/>
              </w:rPr>
            </w:pPr>
          </w:p>
        </w:tc>
      </w:tr>
      <w:tr>
        <w:trPr>
          <w:trHeight w:val="1842"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441" w:name="_Hlk53691378"/>
            <w:r>
              <w:rPr>
                <w:rFonts w:ascii="Times New Roman" w:cs="Times New Roman"/>
                <w:color w:val="auto"/>
                <w:sz w:val="18"/>
                <w:szCs w:val="18"/>
                <w:lang w:eastAsia="zh-CN"/>
              </w:rPr>
              <w:t>管理人员职责</w:t>
            </w:r>
            <w:bookmarkEnd w:id="441"/>
          </w:p>
        </w:tc>
        <w:tc>
          <w:tcPr>
            <w:tcW w:w="51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08"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56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每年至</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少一次</w:t>
            </w:r>
          </w:p>
        </w:tc>
        <w:tc>
          <w:tcPr>
            <w:tcW w:w="993"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《客运索道安全监督管理规定》</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第二十二</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条</w:t>
            </w:r>
          </w:p>
        </w:tc>
        <w:tc>
          <w:tcPr>
            <w:tcW w:w="9947" w:type="dxa"/>
            <w:shd w:val="clear" w:color="auto" w:fill="FFFFFF"/>
            <w:noWrap w:val="0"/>
            <w:vAlign w:val="top"/>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客运索道使用单位安全管理人员应当履行以下职责：</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（一）负责建立安全管理制度并检查各项制度的落实情况；</w:t>
            </w:r>
          </w:p>
          <w:p>
            <w:pPr>
              <w:pStyle w:val="15"/>
              <w:tabs>
                <w:tab w:val="left" w:pos="40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（二）做好本单位客运索道的安全监督管理工作，负责组织设备自检，申报使用登记和定期检验；</w:t>
            </w:r>
          </w:p>
          <w:p>
            <w:pPr>
              <w:pStyle w:val="15"/>
              <w:tabs>
                <w:tab w:val="left" w:pos="41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（三）对客运索道使用状况进行检查，发现问题应当立即处理</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情况紧急时，可以决定停止使用并及时报告本单位有关负责人；</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（四）组织应急救援演习，协助事故调查处理；</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（五）组织本单位人员的安全教育和培训；</w:t>
            </w:r>
          </w:p>
          <w:p>
            <w:pPr>
              <w:pStyle w:val="15"/>
              <w:tabs>
                <w:tab w:val="left" w:pos="40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（六）督促落实技术档案的管理；</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（七）法律法规及安全技术规范等规定的其他内容。</w:t>
            </w:r>
          </w:p>
        </w:tc>
      </w:tr>
      <w:tr>
        <w:trPr>
          <w:trHeight w:val="1870"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442" w:name="_Hlk53691395"/>
            <w:r>
              <w:rPr>
                <w:rFonts w:ascii="Times New Roman" w:cs="Times New Roman"/>
                <w:color w:val="auto"/>
                <w:sz w:val="18"/>
                <w:szCs w:val="18"/>
                <w:lang w:eastAsia="zh-CN"/>
              </w:rPr>
              <w:t>作业人员配备与职责</w:t>
            </w:r>
            <w:bookmarkEnd w:id="442"/>
          </w:p>
        </w:tc>
        <w:tc>
          <w:tcPr>
            <w:tcW w:w="51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第二十三</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条</w:t>
            </w:r>
          </w:p>
        </w:tc>
        <w:tc>
          <w:tcPr>
            <w:tcW w:w="9947"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客运索道使用单位应当按照安全技术规范等要求，配备作业人员，并加强对服务人员岗前培训教育，使其掌握基本的应急技能，协助作业人员进行应急处置。作业人员应当履行以下职责：</w:t>
            </w:r>
          </w:p>
          <w:p>
            <w:pPr>
              <w:pStyle w:val="15"/>
              <w:tabs>
                <w:tab w:val="left" w:pos="422"/>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（一）严格执行有关操作规程和操作人员守则；</w:t>
            </w:r>
          </w:p>
          <w:p>
            <w:pPr>
              <w:pStyle w:val="15"/>
              <w:tabs>
                <w:tab w:val="left" w:pos="422"/>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（二）负责设备使用状况日常检查、维护保养，对日常检查、日常维护保养、故障排除情况如实记录，保证设备正常运行；</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（三）每次运行前应当对保护乘客的安全装置进行检查确认；</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（四）作业过程中发现隐患或者其他不安全因素，应当立即向安全管理人员和本单位有关负责人报告；</w:t>
            </w:r>
          </w:p>
          <w:p>
            <w:pPr>
              <w:pStyle w:val="15"/>
              <w:tabs>
                <w:tab w:val="left" w:pos="40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（五）熟悉应急救援流程，发现设备运行不正常时，应当按照操作规程采取措施保证安全；</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（六）法律法规及安全技术规范等规定的其他内容。</w:t>
            </w:r>
          </w:p>
        </w:tc>
      </w:tr>
      <w:tr>
        <w:trPr>
          <w:trHeight w:val="2550"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bookmarkStart w:id="443" w:name="_Hlk53691412"/>
            <w:r>
              <w:rPr>
                <w:rFonts w:ascii="Times New Roman" w:cs="Times New Roman"/>
                <w:color w:val="auto"/>
                <w:sz w:val="18"/>
                <w:szCs w:val="18"/>
                <w:lang w:eastAsia="zh-CN"/>
              </w:rPr>
              <w:t>安全管理制度建立</w:t>
            </w:r>
            <w:bookmarkEnd w:id="443"/>
          </w:p>
        </w:tc>
        <w:tc>
          <w:tcPr>
            <w:tcW w:w="51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第二十四</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条</w:t>
            </w:r>
          </w:p>
        </w:tc>
        <w:tc>
          <w:tcPr>
            <w:tcW w:w="9947"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使用单位应当建立健全以下安全管理制度：</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（一）技术档案管理制度；</w:t>
            </w:r>
          </w:p>
          <w:p>
            <w:pPr>
              <w:pStyle w:val="15"/>
              <w:tabs>
                <w:tab w:val="left" w:pos="41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（二）安全操作规程；</w:t>
            </w:r>
          </w:p>
          <w:p>
            <w:pPr>
              <w:pStyle w:val="15"/>
              <w:tabs>
                <w:tab w:val="left" w:pos="442"/>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（三）日常检查与定期自行检查制度；</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（四）维护保养制度；</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（五）定期报检制度；</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（六）作业和服务人员守则；</w:t>
            </w:r>
          </w:p>
          <w:p>
            <w:pPr>
              <w:pStyle w:val="15"/>
              <w:tabs>
                <w:tab w:val="left" w:pos="408"/>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（七）作业人员及相关服务人员安全培训考核制度；</w:t>
            </w:r>
          </w:p>
          <w:p>
            <w:pPr>
              <w:pStyle w:val="15"/>
              <w:tabs>
                <w:tab w:val="left" w:pos="40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（八）应急救援演练制度；</w:t>
            </w:r>
          </w:p>
          <w:p>
            <w:pPr>
              <w:pStyle w:val="15"/>
              <w:tabs>
                <w:tab w:val="left" w:pos="413"/>
              </w:tabs>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（九）意外事件和事故处理制度；</w:t>
            </w:r>
          </w:p>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（十）法律法规及安全技术规范等规定的其他制度。</w:t>
            </w:r>
          </w:p>
        </w:tc>
      </w:tr>
      <w:tr>
        <w:trPr>
          <w:trHeight w:val="420"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运营前试运行检查</w:t>
            </w:r>
          </w:p>
        </w:tc>
        <w:tc>
          <w:tcPr>
            <w:tcW w:w="511" w:type="dxa"/>
            <w:vMerge w:val="restart"/>
            <w:shd w:val="clear" w:color="auto" w:fill="FFFFFF"/>
            <w:noWrap w:val="0"/>
            <w:vAlign w:val="center"/>
          </w:tcPr>
          <w:p>
            <w:pPr>
              <w:pStyle w:val="15"/>
              <w:snapToGrid w:val="0"/>
              <w:spacing w:line="240" w:lineRule="auto"/>
              <w:jc w:val="center"/>
              <w:rPr>
                <w:rFonts w:ascii="Times New Roman" w:hAnsi="Times New Roman" w:eastAsia="PMingLiU" w:cs="Times New Roman"/>
                <w:color w:val="auto"/>
                <w:sz w:val="18"/>
                <w:szCs w:val="18"/>
              </w:rPr>
            </w:pPr>
            <w:r>
              <w:rPr>
                <w:rFonts w:ascii="Times New Roman" w:cs="Times New Roman"/>
                <w:color w:val="auto"/>
                <w:sz w:val="18"/>
                <w:szCs w:val="18"/>
                <w:lang w:eastAsia="zh-CN"/>
              </w:rPr>
              <w:t>使用</w:t>
            </w:r>
            <w:r>
              <w:rPr>
                <w:rFonts w:ascii="Times New Roman" w:hAnsi="Times New Roman" w:cs="Times New Roman"/>
                <w:color w:val="auto"/>
                <w:sz w:val="18"/>
                <w:szCs w:val="18"/>
                <w:lang w:eastAsia="zh-CN"/>
              </w:rPr>
              <w:t xml:space="preserve"> </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08" w:type="dxa"/>
            <w:vMerge w:val="restart"/>
            <w:shd w:val="clear" w:color="auto" w:fill="FFFFFF"/>
            <w:noWrap w:val="0"/>
            <w:vAlign w:val="center"/>
          </w:tcPr>
          <w:p>
            <w:pPr>
              <w:pStyle w:val="15"/>
              <w:snapToGrid w:val="0"/>
              <w:spacing w:line="240" w:lineRule="auto"/>
              <w:jc w:val="center"/>
              <w:rPr>
                <w:rFonts w:ascii="Times New Roman" w:hAnsi="Times New Roman" w:eastAsia="PMingLiU" w:cs="Times New Roman"/>
                <w:color w:val="auto"/>
                <w:sz w:val="18"/>
                <w:szCs w:val="18"/>
              </w:rPr>
            </w:pPr>
            <w:r>
              <w:rPr>
                <w:rFonts w:ascii="Times New Roman" w:cs="Times New Roman"/>
                <w:color w:val="auto"/>
                <w:sz w:val="18"/>
                <w:szCs w:val="18"/>
                <w:lang w:eastAsia="zh-CN"/>
              </w:rPr>
              <w:t>作业</w:t>
            </w:r>
            <w:r>
              <w:rPr>
                <w:rFonts w:ascii="Times New Roman" w:hAnsi="Times New Roman" w:cs="Times New Roman"/>
                <w:color w:val="auto"/>
                <w:sz w:val="18"/>
                <w:szCs w:val="18"/>
                <w:lang w:eastAsia="zh-CN"/>
              </w:rPr>
              <w:t xml:space="preserve"> </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人员</w:t>
            </w:r>
          </w:p>
        </w:tc>
        <w:tc>
          <w:tcPr>
            <w:tcW w:w="567"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使用单</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位自定</w:t>
            </w:r>
          </w:p>
        </w:tc>
        <w:tc>
          <w:tcPr>
            <w:tcW w:w="993"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客运索道安全监督管理规定</w:t>
            </w:r>
          </w:p>
        </w:tc>
        <w:tc>
          <w:tcPr>
            <w:tcW w:w="992"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第二十七条</w:t>
            </w:r>
          </w:p>
        </w:tc>
        <w:tc>
          <w:tcPr>
            <w:tcW w:w="9947"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客运索道使用单位应当按照安全技术规范和使用维护说明书的要求，开展设备运营前试运行检查、日常检查和维护保养、定期自行检查</w:t>
            </w:r>
            <w:r>
              <w:rPr>
                <w:rFonts w:ascii="Times New Roman" w:hAnsi="Times New Roman" w:cs="Times New Roman"/>
                <w:color w:val="auto"/>
                <w:sz w:val="18"/>
                <w:szCs w:val="18"/>
                <w:lang w:eastAsia="zh-CN"/>
              </w:rPr>
              <w:t>,</w:t>
            </w:r>
            <w:r>
              <w:rPr>
                <w:rFonts w:ascii="Times New Roman" w:cs="Times New Roman"/>
                <w:color w:val="auto"/>
                <w:sz w:val="18"/>
                <w:szCs w:val="18"/>
                <w:lang w:eastAsia="zh-CN"/>
              </w:rPr>
              <w:t>并如实记录。对日常维护保养和试运行检查等自行检查中发现的异常情况，应当及时处理。在国家法定节假日或者开展大型活动等客运索道乘坐人员高峰期前，使用单位应当对客运索道进行全面检查维护，并加强日常检查和安全值班。</w:t>
            </w:r>
          </w:p>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客运索道使用单位进行本单位设备的维护保养工作，应当按照有关安全技术规范要求配备人员、工具和</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设备。</w:t>
            </w:r>
          </w:p>
        </w:tc>
      </w:tr>
      <w:tr>
        <w:trPr>
          <w:trHeight w:val="426"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日常检查和维护保养</w:t>
            </w:r>
          </w:p>
        </w:tc>
        <w:tc>
          <w:tcPr>
            <w:tcW w:w="51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r>
      <w:tr>
        <w:trPr>
          <w:trHeight w:val="277"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定期自行检查</w:t>
            </w:r>
          </w:p>
        </w:tc>
        <w:tc>
          <w:tcPr>
            <w:tcW w:w="51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r>
      <w:tr>
        <w:trPr>
          <w:trHeight w:val="293"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全面检查维护</w:t>
            </w:r>
          </w:p>
        </w:tc>
        <w:tc>
          <w:tcPr>
            <w:tcW w:w="51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p>
        </w:tc>
      </w:tr>
      <w:tr>
        <w:trPr>
          <w:trHeight w:val="647" w:hRule="exact"/>
          <w:jc w:val="center"/>
        </w:trPr>
        <w:tc>
          <w:tcPr>
            <w:tcW w:w="1245"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定期检验</w:t>
            </w:r>
          </w:p>
        </w:tc>
        <w:tc>
          <w:tcPr>
            <w:tcW w:w="51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机构</w:t>
            </w:r>
          </w:p>
        </w:tc>
        <w:tc>
          <w:tcPr>
            <w:tcW w:w="70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有资质</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的检验</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人员</w:t>
            </w:r>
          </w:p>
        </w:tc>
        <w:tc>
          <w:tcPr>
            <w:tcW w:w="567"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按照规</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范确定</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安全监督管理规定</w:t>
            </w:r>
          </w:p>
        </w:tc>
        <w:tc>
          <w:tcPr>
            <w:tcW w:w="992"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第二十六条</w:t>
            </w:r>
          </w:p>
        </w:tc>
        <w:tc>
          <w:tcPr>
            <w:tcW w:w="9947"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客运索道使用单位应当按照安全技术规范的要求，在定期检验周期届满前一个月向特种设备检验机构提出定期检验要求。</w:t>
            </w:r>
          </w:p>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客运索道定期检验分为全面检验和年度检验，客运架空索道和客运缆车在安装监督检验合格后每三年进行一次全面检验，期间的两个年度，每年进行一次年度检验。客运拖牵索道每年进行一次年度检验。</w:t>
            </w:r>
          </w:p>
        </w:tc>
      </w:tr>
    </w:tbl>
    <w:p>
      <w:pPr>
        <w:pStyle w:val="14"/>
        <w:snapToGrid w:val="0"/>
        <w:spacing w:after="120" w:afterLines="50" w:line="240" w:lineRule="auto"/>
        <w:jc w:val="center"/>
        <w:rPr>
          <w:rFonts w:ascii="Times New Roman" w:hAnsi="Times New Roman" w:cs="Times New Roman"/>
          <w:color w:val="auto"/>
          <w:sz w:val="18"/>
          <w:szCs w:val="18"/>
          <w:lang w:eastAsia="zh-CN"/>
        </w:rPr>
      </w:pPr>
      <w:bookmarkStart w:id="444" w:name="bookmark75"/>
      <w:bookmarkStart w:id="445" w:name="bookmark76"/>
      <w:bookmarkStart w:id="446" w:name="bookmark77"/>
      <w:r>
        <w:rPr>
          <w:rFonts w:ascii="Times New Roman" w:hAnsi="黑体" w:eastAsia="黑体" w:cs="Times New Roman"/>
          <w:b/>
          <w:color w:val="auto"/>
          <w:sz w:val="21"/>
          <w:szCs w:val="21"/>
          <w:lang w:val="en-US" w:eastAsia="zh-CN" w:bidi="en-US"/>
        </w:rPr>
        <w:t>表</w:t>
      </w:r>
      <w:r>
        <w:rPr>
          <w:rFonts w:ascii="Times New Roman" w:hAnsi="Times New Roman" w:eastAsia="黑体" w:cs="Times New Roman"/>
          <w:b/>
          <w:color w:val="auto"/>
          <w:sz w:val="21"/>
          <w:szCs w:val="21"/>
          <w:lang w:val="en-US" w:eastAsia="zh-CN" w:bidi="en-US"/>
        </w:rPr>
        <w:t xml:space="preserve">B.13 </w:t>
      </w:r>
      <w:r>
        <w:rPr>
          <w:rFonts w:ascii="Times New Roman" w:hAnsi="黑体" w:eastAsia="黑体" w:cs="Times New Roman"/>
          <w:b/>
          <w:color w:val="auto"/>
          <w:sz w:val="21"/>
          <w:szCs w:val="21"/>
        </w:rPr>
        <w:t>特种设备</w:t>
      </w:r>
      <w:r>
        <w:rPr>
          <w:rFonts w:ascii="Times New Roman" w:hAnsi="黑体" w:eastAsia="黑体" w:cs="Times New Roman"/>
          <w:b/>
          <w:color w:val="auto"/>
          <w:sz w:val="21"/>
          <w:szCs w:val="21"/>
          <w:lang w:eastAsia="zh-CN"/>
        </w:rPr>
        <w:t>隐患排查清单</w:t>
      </w:r>
      <w:r>
        <w:rPr>
          <w:rFonts w:ascii="Times New Roman" w:hAnsi="Times New Roman" w:eastAsia="黑体" w:cs="Times New Roman"/>
          <w:b/>
          <w:color w:val="auto"/>
          <w:sz w:val="21"/>
          <w:szCs w:val="21"/>
          <w:lang w:eastAsia="zh-CN"/>
        </w:rPr>
        <w:t>——</w:t>
      </w:r>
      <w:r>
        <w:rPr>
          <w:rFonts w:ascii="Times New Roman" w:hAnsi="黑体" w:eastAsia="黑体" w:cs="Times New Roman"/>
          <w:b/>
          <w:color w:val="auto"/>
          <w:sz w:val="21"/>
          <w:szCs w:val="21"/>
          <w:lang w:eastAsia="zh-CN"/>
        </w:rPr>
        <w:t>大型游乐设施专项要求</w:t>
      </w:r>
    </w:p>
    <w:tbl>
      <w:tblPr>
        <w:tblStyle w:val="8"/>
        <w:tblpPr/>
        <w:tblOverlap w:val="never"/>
        <w:tblW w:w="14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04"/>
        <w:gridCol w:w="659"/>
        <w:gridCol w:w="738"/>
        <w:gridCol w:w="750"/>
        <w:gridCol w:w="1156"/>
        <w:gridCol w:w="1191"/>
        <w:gridCol w:w="9465"/>
      </w:tblGrid>
      <w:tr>
        <w:trPr>
          <w:trHeight w:val="346" w:hRule="exact"/>
          <w:tblHeader/>
          <w:jc w:val="center"/>
        </w:trPr>
        <w:tc>
          <w:tcPr>
            <w:tcW w:w="1004"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65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实施</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单位</w:t>
            </w:r>
          </w:p>
        </w:tc>
        <w:tc>
          <w:tcPr>
            <w:tcW w:w="738"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7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347"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46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52" w:hRule="exact"/>
          <w:tblHeader/>
          <w:jc w:val="center"/>
        </w:trPr>
        <w:tc>
          <w:tcPr>
            <w:tcW w:w="1004" w:type="dxa"/>
            <w:vMerge w:val="continue"/>
            <w:shd w:val="clear" w:color="auto" w:fill="FFFFFF"/>
            <w:noWrap w:val="0"/>
            <w:vAlign w:val="center"/>
          </w:tcPr>
          <w:p>
            <w:pPr>
              <w:snapToGrid w:val="0"/>
              <w:jc w:val="center"/>
              <w:rPr>
                <w:color w:val="auto"/>
                <w:sz w:val="18"/>
                <w:szCs w:val="18"/>
              </w:rPr>
            </w:pPr>
          </w:p>
        </w:tc>
        <w:tc>
          <w:tcPr>
            <w:tcW w:w="659" w:type="dxa"/>
            <w:vMerge w:val="continue"/>
            <w:shd w:val="clear" w:color="auto" w:fill="FFFFFF"/>
            <w:noWrap w:val="0"/>
            <w:vAlign w:val="center"/>
          </w:tcPr>
          <w:p>
            <w:pPr>
              <w:snapToGrid w:val="0"/>
              <w:jc w:val="center"/>
              <w:rPr>
                <w:color w:val="auto"/>
                <w:sz w:val="18"/>
                <w:szCs w:val="18"/>
              </w:rPr>
            </w:pPr>
          </w:p>
        </w:tc>
        <w:tc>
          <w:tcPr>
            <w:tcW w:w="738" w:type="dxa"/>
            <w:vMerge w:val="continue"/>
            <w:shd w:val="clear" w:color="auto" w:fill="FFFFFF"/>
            <w:noWrap w:val="0"/>
            <w:vAlign w:val="center"/>
          </w:tcPr>
          <w:p>
            <w:pPr>
              <w:snapToGrid w:val="0"/>
              <w:jc w:val="center"/>
              <w:rPr>
                <w:color w:val="auto"/>
                <w:sz w:val="18"/>
                <w:szCs w:val="18"/>
              </w:rPr>
            </w:pPr>
          </w:p>
        </w:tc>
        <w:tc>
          <w:tcPr>
            <w:tcW w:w="750" w:type="dxa"/>
            <w:vMerge w:val="continue"/>
            <w:shd w:val="clear" w:color="auto" w:fill="FFFFFF"/>
            <w:noWrap w:val="0"/>
            <w:vAlign w:val="center"/>
          </w:tcPr>
          <w:p>
            <w:pPr>
              <w:snapToGrid w:val="0"/>
              <w:jc w:val="center"/>
              <w:rPr>
                <w:color w:val="auto"/>
                <w:sz w:val="18"/>
                <w:szCs w:val="18"/>
              </w:rPr>
            </w:pPr>
          </w:p>
        </w:tc>
        <w:tc>
          <w:tcPr>
            <w:tcW w:w="1156"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w:t>
            </w:r>
            <w:r>
              <w:rPr>
                <w:rFonts w:ascii="Times New Roman" w:hAnsi="黑体" w:eastAsia="黑体" w:cs="Times New Roman"/>
                <w:b/>
                <w:color w:val="auto"/>
                <w:sz w:val="18"/>
                <w:szCs w:val="18"/>
              </w:rPr>
              <w:t>标准</w:t>
            </w:r>
          </w:p>
        </w:tc>
        <w:tc>
          <w:tcPr>
            <w:tcW w:w="1191"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465" w:type="dxa"/>
            <w:vMerge w:val="continue"/>
            <w:shd w:val="clear" w:color="auto" w:fill="FFFFFF"/>
            <w:noWrap w:val="0"/>
            <w:vAlign w:val="center"/>
          </w:tcPr>
          <w:p>
            <w:pPr>
              <w:snapToGrid w:val="0"/>
              <w:rPr>
                <w:color w:val="auto"/>
                <w:sz w:val="18"/>
                <w:szCs w:val="18"/>
              </w:rPr>
            </w:pPr>
          </w:p>
        </w:tc>
      </w:tr>
      <w:tr>
        <w:trPr>
          <w:trHeight w:val="2823"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管理制度建立</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安全管理员</w:t>
            </w:r>
          </w:p>
        </w:tc>
        <w:tc>
          <w:tcPr>
            <w:tcW w:w="750" w:type="dxa"/>
            <w:vMerge w:val="restart"/>
            <w:shd w:val="clear" w:color="auto" w:fill="FFFFFF"/>
            <w:noWrap w:val="0"/>
            <w:vAlign w:val="center"/>
          </w:tcPr>
          <w:p>
            <w:pPr>
              <w:pStyle w:val="15"/>
              <w:snapToGrid w:val="0"/>
              <w:spacing w:line="240" w:lineRule="auto"/>
              <w:jc w:val="center"/>
              <w:rPr>
                <w:rFonts w:ascii="Times New Roman" w:hAnsi="Times New Roman" w:eastAsia="PMingLiU" w:cs="Times New Roman"/>
                <w:color w:val="auto"/>
                <w:sz w:val="18"/>
                <w:szCs w:val="18"/>
              </w:rPr>
            </w:pPr>
            <w:r>
              <w:rPr>
                <w:rFonts w:ascii="Times New Roman" w:cs="Times New Roman"/>
                <w:color w:val="auto"/>
                <w:sz w:val="18"/>
                <w:szCs w:val="18"/>
              </w:rPr>
              <w:t>每年至</w:t>
            </w:r>
            <w:r>
              <w:rPr>
                <w:rFonts w:ascii="Times New Roman" w:hAnsi="Times New Roman" w:cs="Times New Roman"/>
                <w:color w:val="auto"/>
                <w:sz w:val="18"/>
                <w:szCs w:val="18"/>
              </w:rPr>
              <w:t xml:space="preserve"> </w:t>
            </w:r>
            <w:r>
              <w:rPr>
                <w:rFonts w:ascii="Times New Roman" w:cs="Times New Roman"/>
                <w:color w:val="auto"/>
                <w:sz w:val="18"/>
                <w:szCs w:val="18"/>
              </w:rPr>
              <w:t>少一次</w:t>
            </w:r>
          </w:p>
        </w:tc>
        <w:tc>
          <w:tcPr>
            <w:tcW w:w="1156"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《大型游乐设施安全监察规定》（总局第</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rPr>
              <w:t>154</w:t>
            </w:r>
            <w:r>
              <w:rPr>
                <w:rFonts w:ascii="Times New Roman" w:cs="Times New Roman"/>
                <w:color w:val="auto"/>
                <w:sz w:val="18"/>
                <w:szCs w:val="18"/>
              </w:rPr>
              <w:t>号令</w:t>
            </w: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第二十一条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安全管理制度应当包括以下主要内容：</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（一）技术档案管理制度；</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（二）设备管理制度；</w:t>
            </w:r>
          </w:p>
          <w:p>
            <w:pPr>
              <w:pStyle w:val="15"/>
              <w:tabs>
                <w:tab w:val="left" w:pos="41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（三）安全操作规程；</w:t>
            </w:r>
          </w:p>
          <w:p>
            <w:pPr>
              <w:pStyle w:val="15"/>
              <w:tabs>
                <w:tab w:val="left" w:pos="44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（四）日常安全检查制度；</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（五）维护保养制度；</w:t>
            </w:r>
          </w:p>
          <w:p>
            <w:pPr>
              <w:pStyle w:val="15"/>
              <w:tabs>
                <w:tab w:val="left" w:pos="40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（六）定期报检制度；</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（七）作业和服务人员守则；</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w:t>
            </w:r>
            <w:r>
              <w:rPr>
                <w:rFonts w:ascii="Times New Roman" w:hAnsi="Times New Roman" w:cs="Times New Roman"/>
                <w:color w:val="auto"/>
                <w:sz w:val="18"/>
                <w:szCs w:val="18"/>
                <w:lang w:val="en-US" w:eastAsia="zh-CN" w:bidi="en-US"/>
              </w:rPr>
              <w:t>八</w:t>
            </w:r>
            <w:r>
              <w:rPr>
                <w:rFonts w:ascii="Times New Roman" w:hAnsi="Times New Roman" w:eastAsia="Times New Roman" w:cs="Times New Roman"/>
                <w:color w:val="auto"/>
                <w:sz w:val="18"/>
                <w:szCs w:val="18"/>
                <w:lang w:val="en-US" w:eastAsia="zh-CN" w:bidi="en-US"/>
              </w:rPr>
              <w:t>）</w:t>
            </w:r>
            <w:r>
              <w:rPr>
                <w:rFonts w:ascii="Times New Roman" w:cs="Times New Roman"/>
                <w:color w:val="auto"/>
                <w:sz w:val="18"/>
                <w:szCs w:val="18"/>
              </w:rPr>
              <w:t>作业人员及相关运营服务人员安全培训考核制度；</w:t>
            </w:r>
          </w:p>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rPr>
              <w:t>（九）应急救援演练制度；</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（十）意外事件和事故处理制度；</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（十一）其他。</w:t>
            </w:r>
          </w:p>
        </w:tc>
      </w:tr>
      <w:tr>
        <w:trPr>
          <w:trHeight w:val="473"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iCs/>
                <w:color w:val="auto"/>
                <w:sz w:val="18"/>
                <w:szCs w:val="18"/>
              </w:rPr>
              <w:t>运行条</w:t>
            </w:r>
            <w:r>
              <w:rPr>
                <w:rFonts w:ascii="Times New Roman" w:cs="Times New Roman"/>
                <w:color w:val="auto"/>
                <w:sz w:val="18"/>
                <w:szCs w:val="18"/>
              </w:rPr>
              <w:t>件审查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安全管理员</w:t>
            </w:r>
          </w:p>
        </w:tc>
        <w:tc>
          <w:tcPr>
            <w:tcW w:w="750"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56"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第三十四条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运营使用单位应与场地提供单位签订安全管理协议，落实安全管理制度。</w:t>
            </w:r>
            <w:r>
              <w:rPr>
                <w:rFonts w:ascii="Times New Roman" w:hAnsi="Times New Roman" w:cs="Times New Roman"/>
                <w:color w:val="auto"/>
                <w:sz w:val="18"/>
                <w:szCs w:val="18"/>
              </w:rPr>
              <w:t xml:space="preserve"> </w:t>
            </w:r>
            <w:r>
              <w:rPr>
                <w:rFonts w:ascii="Times New Roman" w:cs="Times New Roman"/>
                <w:color w:val="auto"/>
                <w:sz w:val="18"/>
                <w:szCs w:val="18"/>
              </w:rPr>
              <w:t>场地提供单位应当核实运营使用单位满足相关法律法规要求的运营使用条件。</w:t>
            </w:r>
          </w:p>
        </w:tc>
      </w:tr>
      <w:tr>
        <w:trPr>
          <w:trHeight w:val="2668" w:hRule="atLeas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技术档案管理</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安全管理员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r>
              <w:rPr>
                <w:rFonts w:ascii="Times New Roman" w:hAnsi="Times New Roman" w:cs="Times New Roman"/>
                <w:color w:val="auto"/>
                <w:sz w:val="18"/>
                <w:szCs w:val="18"/>
              </w:rPr>
              <w:t xml:space="preserve"> </w:t>
            </w:r>
            <w:r>
              <w:rPr>
                <w:rFonts w:ascii="Times New Roman" w:cs="Times New Roman"/>
                <w:color w:val="auto"/>
                <w:sz w:val="18"/>
                <w:szCs w:val="18"/>
              </w:rPr>
              <w:t>少一次</w:t>
            </w:r>
          </w:p>
        </w:tc>
        <w:tc>
          <w:tcPr>
            <w:tcW w:w="11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《大型游乐设施安全监察规定》（总局第</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rPr>
              <w:t>154</w:t>
            </w:r>
            <w:r>
              <w:rPr>
                <w:rFonts w:ascii="Times New Roman" w:cs="Times New Roman"/>
                <w:color w:val="auto"/>
                <w:sz w:val="18"/>
                <w:szCs w:val="18"/>
              </w:rPr>
              <w:t>号令）</w:t>
            </w: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第二十二条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应对每台（套）大型游乐设施建立技术档案，依法管理和保存。</w:t>
            </w:r>
            <w:r>
              <w:rPr>
                <w:rFonts w:ascii="Times New Roman" w:hAnsi="Times New Roman" w:cs="Times New Roman"/>
                <w:color w:val="auto"/>
                <w:sz w:val="18"/>
                <w:szCs w:val="18"/>
              </w:rPr>
              <w:t xml:space="preserve"> </w:t>
            </w:r>
            <w:r>
              <w:rPr>
                <w:rFonts w:ascii="Times New Roman" w:cs="Times New Roman"/>
                <w:color w:val="auto"/>
                <w:sz w:val="18"/>
                <w:szCs w:val="18"/>
              </w:rPr>
              <w:t>技术档案应当包括以下主要内容：</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（一）安装技术资料；</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（二）监督检验报告；</w:t>
            </w:r>
          </w:p>
          <w:p>
            <w:pPr>
              <w:pStyle w:val="15"/>
              <w:tabs>
                <w:tab w:val="left" w:pos="40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（三）使用登记表；</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（四）改造、修理技术文件；</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（五）年度自行检查的记录；</w:t>
            </w:r>
          </w:p>
          <w:p>
            <w:pPr>
              <w:pStyle w:val="15"/>
              <w:tabs>
                <w:tab w:val="left" w:pos="40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（六）定期检验报告；</w:t>
            </w:r>
          </w:p>
          <w:p>
            <w:pPr>
              <w:pStyle w:val="15"/>
              <w:tabs>
                <w:tab w:val="left" w:pos="40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（七）应急救援演练记录；</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（八）运行、维护保养、设备故障与事故处理记录；</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（九）作业人员培训、考核和证书管理记录；</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（十）法律法规规定的其他内容。</w:t>
            </w:r>
          </w:p>
        </w:tc>
      </w:tr>
      <w:tr>
        <w:trPr>
          <w:trHeight w:val="2080"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人员配备与</w:t>
            </w:r>
            <w:r>
              <w:rPr>
                <w:rFonts w:ascii="Times New Roman" w:hAnsi="Times New Roman" w:cs="Times New Roman"/>
                <w:color w:val="auto"/>
                <w:sz w:val="18"/>
                <w:szCs w:val="18"/>
              </w:rPr>
              <w:t xml:space="preserve"> </w:t>
            </w:r>
            <w:r>
              <w:rPr>
                <w:rFonts w:ascii="Times New Roman" w:cs="Times New Roman"/>
                <w:color w:val="auto"/>
                <w:sz w:val="18"/>
                <w:szCs w:val="18"/>
              </w:rPr>
              <w:t>职责</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少一次</w:t>
            </w:r>
          </w:p>
        </w:tc>
        <w:tc>
          <w:tcPr>
            <w:tcW w:w="11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《大型游乐设施安全监察规定》（总局第</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rPr>
              <w:t>154</w:t>
            </w:r>
            <w:r>
              <w:rPr>
                <w:rFonts w:ascii="Times New Roman" w:cs="Times New Roman"/>
                <w:color w:val="auto"/>
                <w:sz w:val="18"/>
                <w:szCs w:val="18"/>
              </w:rPr>
              <w:t>号令）</w:t>
            </w: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第二十八条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应</w:t>
            </w:r>
            <w:r>
              <w:rPr>
                <w:rFonts w:ascii="Times New Roman" w:cs="Times New Roman"/>
                <w:color w:val="auto"/>
                <w:sz w:val="18"/>
                <w:szCs w:val="18"/>
                <w:lang w:eastAsia="zh-CN"/>
              </w:rPr>
              <w:t>按照</w:t>
            </w:r>
            <w:r>
              <w:rPr>
                <w:rFonts w:ascii="Times New Roman" w:cs="Times New Roman"/>
                <w:color w:val="auto"/>
                <w:sz w:val="18"/>
                <w:szCs w:val="18"/>
              </w:rPr>
              <w:t>安全技术规范和使用维护说明书要求，配备满足安全运营要求的持证操作人员，并加强对服务人员岗前</w:t>
            </w:r>
            <w:r>
              <w:rPr>
                <w:rFonts w:ascii="Times New Roman" w:cs="Times New Roman"/>
                <w:color w:val="auto"/>
                <w:sz w:val="18"/>
                <w:szCs w:val="18"/>
                <w:lang w:eastAsia="zh-CN"/>
              </w:rPr>
              <w:t>培训教育</w:t>
            </w:r>
            <w:r>
              <w:rPr>
                <w:rFonts w:ascii="Times New Roman" w:cs="Times New Roman"/>
                <w:color w:val="auto"/>
                <w:sz w:val="18"/>
                <w:szCs w:val="18"/>
              </w:rPr>
              <w:t>，使其掌握基本的应急技能，协助操作人员进行应急处置。</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操作人员应当履行以下职责：</w:t>
            </w:r>
          </w:p>
          <w:p>
            <w:pPr>
              <w:pStyle w:val="15"/>
              <w:tabs>
                <w:tab w:val="left" w:pos="41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（一）严格执行操作规程和操作人员守则；</w:t>
            </w:r>
          </w:p>
          <w:p>
            <w:pPr>
              <w:pStyle w:val="15"/>
              <w:tabs>
                <w:tab w:val="left" w:pos="40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（二）每次运行前应当向乘客告知安全注意事项，对保护乘客的安全装置进行检查确认；</w:t>
            </w:r>
          </w:p>
          <w:p>
            <w:pPr>
              <w:pStyle w:val="15"/>
              <w:tabs>
                <w:tab w:val="left" w:pos="408"/>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（三）运行时应当密切注意乘客动态及设备运行状态，发现不正常情况，应当立即采取有效措施，消除隐患；</w:t>
            </w:r>
          </w:p>
          <w:p>
            <w:pPr>
              <w:pStyle w:val="15"/>
              <w:tabs>
                <w:tab w:val="left" w:pos="413"/>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（四）熟悉应急救援流程。发生故障或突发事件，应当立即停止运行或采取紧急措施保护乘客，并立即向现场安全管理人员报告；</w:t>
            </w:r>
          </w:p>
          <w:p>
            <w:pPr>
              <w:pStyle w:val="15"/>
              <w:tabs>
                <w:tab w:val="left" w:pos="413"/>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（五）如实记录设备的运行情况。</w:t>
            </w:r>
          </w:p>
        </w:tc>
      </w:tr>
      <w:tr>
        <w:trPr>
          <w:trHeight w:val="1114"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设备维护要求</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使用单位自定</w:t>
            </w:r>
          </w:p>
        </w:tc>
        <w:tc>
          <w:tcPr>
            <w:tcW w:w="1156" w:type="dxa"/>
            <w:vMerge w:val="restart"/>
            <w:shd w:val="clear" w:color="auto" w:fill="FFFFFF"/>
            <w:noWrap w:val="0"/>
            <w:vAlign w:val="center"/>
          </w:tcPr>
          <w:p>
            <w:pPr>
              <w:pStyle w:val="15"/>
              <w:snapToGrid w:val="0"/>
              <w:spacing w:line="240" w:lineRule="auto"/>
              <w:rPr>
                <w:rFonts w:ascii="Times New Roman" w:hAnsi="Times New Roman" w:eastAsia="Times New Roman" w:cs="Times New Roman"/>
                <w:color w:val="auto"/>
                <w:sz w:val="18"/>
                <w:szCs w:val="18"/>
                <w:lang w:val="en-US" w:eastAsia="zh-CN" w:bidi="en-US"/>
              </w:rPr>
            </w:pPr>
            <w:r>
              <w:rPr>
                <w:rFonts w:ascii="Times New Roman" w:cs="Times New Roman"/>
                <w:color w:val="auto"/>
                <w:sz w:val="18"/>
                <w:szCs w:val="18"/>
              </w:rPr>
              <w:t>《大型游乐设施安全监察规定》（总局第</w:t>
            </w:r>
            <w:r>
              <w:rPr>
                <w:rFonts w:ascii="Times New Roman" w:hAnsi="Times New Roman" w:cs="Times New Roman"/>
                <w:color w:val="auto"/>
                <w:sz w:val="18"/>
                <w:szCs w:val="18"/>
              </w:rPr>
              <w:t xml:space="preserve"> </w:t>
            </w:r>
            <w:r>
              <w:rPr>
                <w:rFonts w:ascii="Times New Roman" w:hAnsi="Times New Roman" w:eastAsia="Times New Roman" w:cs="Times New Roman"/>
                <w:color w:val="auto"/>
                <w:sz w:val="18"/>
                <w:szCs w:val="18"/>
              </w:rPr>
              <w:t>154</w:t>
            </w:r>
            <w:r>
              <w:rPr>
                <w:rFonts w:ascii="Times New Roman" w:cs="Times New Roman"/>
                <w:color w:val="auto"/>
                <w:sz w:val="18"/>
                <w:szCs w:val="18"/>
              </w:rPr>
              <w:t>号令）</w:t>
            </w: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第二十三条</w:t>
            </w:r>
          </w:p>
        </w:tc>
        <w:tc>
          <w:tcPr>
            <w:tcW w:w="946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运营使用单位应当按照安全技术规范和使用维护说明书的要求，开展设备运营前试运行检查、日常检查和维护保养、定期安全检查并如实记录。对日常维护保养和试运行检查等自行检查中发现的异常情况，应当及时处理。在国</w:t>
            </w:r>
            <w:r>
              <w:rPr>
                <w:rFonts w:ascii="Times New Roman" w:hAnsi="Times New Roman" w:cs="Times New Roman"/>
                <w:color w:val="auto"/>
                <w:sz w:val="18"/>
                <w:szCs w:val="18"/>
              </w:rPr>
              <w:t xml:space="preserve"> </w:t>
            </w:r>
            <w:r>
              <w:rPr>
                <w:rFonts w:ascii="Times New Roman" w:cs="Times New Roman"/>
                <w:color w:val="auto"/>
                <w:sz w:val="18"/>
                <w:szCs w:val="18"/>
              </w:rPr>
              <w:t>家法定节假日或举行大型群众性活动前，运营使用单位应当对大型游乐设施进行全面检查维护，并加强日常检查和安全值班。</w:t>
            </w:r>
          </w:p>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运营使用单位进行本单位设备的维护保养工作，应当按照安全技术规范要求配备具有相应资格的作业人员、必备工具和设备。</w:t>
            </w:r>
          </w:p>
        </w:tc>
      </w:tr>
      <w:tr>
        <w:trPr>
          <w:trHeight w:val="1430"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应急管理</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要求</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val="zh-CN" w:eastAsia="zh-CN" w:bidi="zh-CN"/>
              </w:rPr>
              <w:t>少一次</w:t>
            </w:r>
          </w:p>
        </w:tc>
        <w:tc>
          <w:tcPr>
            <w:tcW w:w="11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val="en-US" w:eastAsia="en-US" w:bidi="en-US"/>
              </w:rPr>
            </w:pP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第二十五条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应制定应急预案，建立应急救援指挥机构，配备相应的救援人员、营救设备和急救物品。对每台（套）大型游乐设施应当制定专门的应急预案。</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应加强营救设备、急救物品的存放和管理，对救援人员定期进行专业培训。应定期对每台（套）大型游乐设施组织应急救援演练。</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可根据当地实际情况，与其他运营使用单位或公安消防等专业应急救援力量建立应急联动机制，制定联合应急预案，并定期进行联合演练。</w:t>
            </w:r>
          </w:p>
        </w:tc>
      </w:tr>
      <w:tr>
        <w:trPr>
          <w:trHeight w:val="700"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试运行和相应的安全检查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每日投</w:t>
            </w:r>
            <w:r>
              <w:rPr>
                <w:rFonts w:ascii="Times New Roman" w:hAnsi="Times New Roman" w:cs="Times New Roman"/>
                <w:color w:val="auto"/>
                <w:sz w:val="18"/>
                <w:szCs w:val="18"/>
              </w:rPr>
              <w:t xml:space="preserve"> </w:t>
            </w:r>
            <w:r>
              <w:rPr>
                <w:rFonts w:ascii="Times New Roman" w:cs="Times New Roman"/>
                <w:color w:val="auto"/>
                <w:sz w:val="18"/>
                <w:szCs w:val="18"/>
              </w:rPr>
              <w:t>入运营前</w:t>
            </w:r>
          </w:p>
        </w:tc>
        <w:tc>
          <w:tcPr>
            <w:tcW w:w="1156"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lang w:val="en-US" w:eastAsia="zh-CN" w:bidi="en-US"/>
              </w:rPr>
            </w:pPr>
            <w:r>
              <w:rPr>
                <w:rFonts w:ascii="Times New Roman" w:cs="Times New Roman"/>
                <w:color w:val="auto"/>
                <w:sz w:val="18"/>
                <w:szCs w:val="18"/>
              </w:rPr>
              <w:t>游乐设施安全技术监察规程（试行）（国质检锅</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2003</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34 </w:t>
            </w:r>
            <w:r>
              <w:rPr>
                <w:rFonts w:ascii="Times New Roman" w:cs="Times New Roman"/>
                <w:color w:val="auto"/>
                <w:sz w:val="18"/>
                <w:szCs w:val="18"/>
              </w:rPr>
              <w:t>号）</w:t>
            </w:r>
          </w:p>
        </w:tc>
        <w:tc>
          <w:tcPr>
            <w:tcW w:w="1191"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cs="Times New Roman"/>
                <w:color w:val="auto"/>
                <w:sz w:val="18"/>
                <w:szCs w:val="18"/>
              </w:rPr>
              <w:t>第四十五条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游乐设施在每</w:t>
            </w:r>
            <w:r>
              <w:rPr>
                <w:rFonts w:ascii="Times New Roman" w:hAnsi="Times New Roman" w:cs="Times New Roman"/>
                <w:color w:val="auto"/>
                <w:sz w:val="18"/>
                <w:szCs w:val="18"/>
                <w:lang w:eastAsia="zh-CN"/>
              </w:rPr>
              <w:t>日</w:t>
            </w:r>
            <w:r>
              <w:rPr>
                <w:rFonts w:ascii="Times New Roman" w:cs="Times New Roman"/>
                <w:color w:val="auto"/>
                <w:sz w:val="18"/>
                <w:szCs w:val="18"/>
              </w:rPr>
              <w:t>投入运营前，使用单位必须进行试运行，并记录检查情况。</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每次运行前，作业和服务人员必须向游客讲解安全注意事项，并对安全装置进行检查确认。运行中要注意游客动态</w:t>
            </w:r>
            <w:r>
              <w:rPr>
                <w:rFonts w:ascii="Times New Roman" w:hAnsi="Times New Roman" w:cs="Times New Roman"/>
                <w:color w:val="auto"/>
                <w:sz w:val="18"/>
                <w:szCs w:val="18"/>
              </w:rPr>
              <w:t>,</w:t>
            </w:r>
            <w:r>
              <w:rPr>
                <w:rFonts w:ascii="Times New Roman" w:cs="Times New Roman"/>
                <w:color w:val="auto"/>
                <w:sz w:val="18"/>
                <w:szCs w:val="18"/>
              </w:rPr>
              <w:t>及时制止游客的危险行为。</w:t>
            </w:r>
          </w:p>
        </w:tc>
      </w:tr>
      <w:tr>
        <w:trPr>
          <w:trHeight w:val="946"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年检</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每年一次</w:t>
            </w:r>
          </w:p>
        </w:tc>
        <w:tc>
          <w:tcPr>
            <w:tcW w:w="11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1191" w:type="dxa"/>
            <w:vMerge w:val="restart"/>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第四十四条</w:t>
            </w:r>
          </w:p>
        </w:tc>
        <w:tc>
          <w:tcPr>
            <w:tcW w:w="9465" w:type="dxa"/>
            <w:vMerge w:val="restart"/>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使用单位应当严格执行游乐设施的年检、月检、日检制度，严禁带故障运行。安全检查的内容包括：</w:t>
            </w:r>
          </w:p>
          <w:p>
            <w:pPr>
              <w:pStyle w:val="15"/>
              <w:tabs>
                <w:tab w:val="left" w:pos="41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（一）对使用的游乐设施，每年要进行</w:t>
            </w:r>
            <w:r>
              <w:rPr>
                <w:rFonts w:ascii="Times New Roman" w:hAnsi="Times New Roman" w:eastAsia="Times New Roman" w:cs="Times New Roman"/>
                <w:color w:val="auto"/>
                <w:sz w:val="18"/>
                <w:szCs w:val="18"/>
              </w:rPr>
              <w:t>1</w:t>
            </w:r>
            <w:r>
              <w:rPr>
                <w:rFonts w:ascii="Times New Roman" w:cs="Times New Roman"/>
                <w:color w:val="auto"/>
                <w:sz w:val="18"/>
                <w:szCs w:val="18"/>
              </w:rPr>
              <w:t>次全面检查，必要时要进行载荷试验，并按额定速度进行起升、运行、回转、变速等机构的安全技术性能检查。</w:t>
            </w:r>
          </w:p>
          <w:p>
            <w:pPr>
              <w:pStyle w:val="15"/>
              <w:tabs>
                <w:tab w:val="left" w:pos="40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（二）月检至少应检查下列项目：</w:t>
            </w:r>
          </w:p>
          <w:p>
            <w:pPr>
              <w:pStyle w:val="15"/>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各种安全装置；</w:t>
            </w:r>
          </w:p>
          <w:p>
            <w:pPr>
              <w:pStyle w:val="15"/>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动力装置、传动和制动系统；</w:t>
            </w:r>
          </w:p>
          <w:p>
            <w:pPr>
              <w:pStyle w:val="15"/>
              <w:numPr>
                <w:ilvl w:val="0"/>
                <w:numId w:val="50"/>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绳索、链条和乘坐物；</w:t>
            </w:r>
          </w:p>
          <w:p>
            <w:pPr>
              <w:pStyle w:val="15"/>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控制电路与电气元件；</w:t>
            </w:r>
          </w:p>
          <w:p>
            <w:pPr>
              <w:pStyle w:val="15"/>
              <w:numPr>
                <w:ilvl w:val="0"/>
                <w:numId w:val="50"/>
              </w:numPr>
              <w:tabs>
                <w:tab w:val="left" w:pos="19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备用电源。</w:t>
            </w:r>
          </w:p>
          <w:p>
            <w:pPr>
              <w:pStyle w:val="15"/>
              <w:tabs>
                <w:tab w:val="left" w:pos="44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（三）日检至少应检查下列项目：</w:t>
            </w:r>
          </w:p>
          <w:p>
            <w:pPr>
              <w:pStyle w:val="15"/>
              <w:numPr>
                <w:ilvl w:val="0"/>
                <w:numId w:val="51"/>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控制装置、限速装置、制动装置和其他安全装置是否有效及可靠；</w:t>
            </w:r>
          </w:p>
          <w:p>
            <w:pPr>
              <w:pStyle w:val="15"/>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运行是否正常，有无异常的振动或者噪声；</w:t>
            </w:r>
          </w:p>
          <w:p>
            <w:pPr>
              <w:pStyle w:val="15"/>
              <w:numPr>
                <w:ilvl w:val="0"/>
                <w:numId w:val="51"/>
              </w:numPr>
              <w:tabs>
                <w:tab w:val="left" w:pos="19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各易磨损件状况；</w:t>
            </w:r>
          </w:p>
          <w:p>
            <w:pPr>
              <w:pStyle w:val="15"/>
              <w:numPr>
                <w:ilvl w:val="0"/>
                <w:numId w:val="51"/>
              </w:numPr>
              <w:tabs>
                <w:tab w:val="left" w:pos="21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门联锁开关及安全带等是否完好；</w:t>
            </w:r>
          </w:p>
          <w:p>
            <w:pPr>
              <w:pStyle w:val="15"/>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润滑点的检查和加添润滑油；</w:t>
            </w:r>
          </w:p>
          <w:p>
            <w:pPr>
              <w:pStyle w:val="15"/>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重要部位（轨道、车轮等）是否正常。</w:t>
            </w:r>
            <w:r>
              <w:rPr>
                <w:rFonts w:ascii="Times New Roman" w:hAnsi="Times New Roman" w:cs="Times New Roman"/>
                <w:color w:val="auto"/>
                <w:sz w:val="18"/>
                <w:szCs w:val="18"/>
              </w:rPr>
              <w:t xml:space="preserve"> </w:t>
            </w:r>
            <w:r>
              <w:rPr>
                <w:rFonts w:ascii="Times New Roman" w:cs="Times New Roman"/>
                <w:color w:val="auto"/>
                <w:sz w:val="18"/>
                <w:szCs w:val="18"/>
              </w:rPr>
              <w:t>检查应当做详细记录，并存档备查。</w:t>
            </w:r>
          </w:p>
        </w:tc>
      </w:tr>
      <w:tr>
        <w:trPr>
          <w:trHeight w:val="1699"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月检</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每月一次</w:t>
            </w:r>
          </w:p>
        </w:tc>
        <w:tc>
          <w:tcPr>
            <w:tcW w:w="11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119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465"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1088"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日检</w:t>
            </w:r>
          </w:p>
        </w:tc>
        <w:tc>
          <w:tcPr>
            <w:tcW w:w="659" w:type="dxa"/>
            <w:shd w:val="clear" w:color="auto" w:fill="FFFFFF"/>
            <w:noWrap w:val="0"/>
            <w:vAlign w:val="center"/>
          </w:tcPr>
          <w:p>
            <w:pPr>
              <w:pStyle w:val="15"/>
              <w:snapToGrid w:val="0"/>
              <w:spacing w:line="240" w:lineRule="auto"/>
              <w:ind w:left="158" w:leftChars="75"/>
              <w:jc w:val="center"/>
              <w:rPr>
                <w:rFonts w:ascii="Times New Roman" w:hAnsi="Times New Roman" w:cs="Times New Roman"/>
                <w:color w:val="auto"/>
                <w:sz w:val="18"/>
                <w:szCs w:val="18"/>
              </w:rPr>
            </w:pPr>
            <w:r>
              <w:rPr>
                <w:rFonts w:ascii="Times New Roman" w:cs="Times New Roman"/>
                <w:color w:val="auto"/>
                <w:sz w:val="18"/>
                <w:szCs w:val="18"/>
              </w:rPr>
              <w:t>使用单位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安全管</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理人员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w:t>
            </w:r>
            <w:r>
              <w:rPr>
                <w:rFonts w:ascii="Times New Roman" w:cs="Times New Roman"/>
                <w:color w:val="auto"/>
                <w:sz w:val="18"/>
                <w:szCs w:val="18"/>
                <w:lang w:eastAsia="zh-CN"/>
              </w:rPr>
              <w:t>天</w:t>
            </w:r>
            <w:r>
              <w:rPr>
                <w:rFonts w:ascii="Times New Roman" w:cs="Times New Roman"/>
                <w:color w:val="auto"/>
                <w:sz w:val="18"/>
                <w:szCs w:val="18"/>
              </w:rPr>
              <w:t>一次</w:t>
            </w:r>
          </w:p>
        </w:tc>
        <w:tc>
          <w:tcPr>
            <w:tcW w:w="11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1191" w:type="dxa"/>
            <w:vMerge w:val="continue"/>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p>
        </w:tc>
        <w:tc>
          <w:tcPr>
            <w:tcW w:w="9465"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r>
      <w:tr>
        <w:trPr>
          <w:trHeight w:val="690"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验收检验和定期检验</w:t>
            </w:r>
          </w:p>
        </w:tc>
        <w:tc>
          <w:tcPr>
            <w:tcW w:w="659" w:type="dxa"/>
            <w:shd w:val="clear" w:color="auto" w:fill="FFFFFF"/>
            <w:noWrap w:val="0"/>
            <w:vAlign w:val="center"/>
          </w:tcPr>
          <w:p>
            <w:pPr>
              <w:pStyle w:val="15"/>
              <w:snapToGrid w:val="0"/>
              <w:spacing w:line="240" w:lineRule="auto"/>
              <w:ind w:firstLine="180" w:firstLineChars="100"/>
              <w:jc w:val="center"/>
              <w:rPr>
                <w:rFonts w:ascii="Times New Roman" w:hAnsi="Times New Roman" w:cs="Times New Roman"/>
                <w:color w:val="auto"/>
                <w:sz w:val="18"/>
                <w:szCs w:val="18"/>
              </w:rPr>
            </w:pPr>
            <w:r>
              <w:rPr>
                <w:rFonts w:asci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机构</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检验人员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根据上</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次检验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报告</w:t>
            </w:r>
          </w:p>
        </w:tc>
        <w:tc>
          <w:tcPr>
            <w:tcW w:w="1156"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第三十七条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A</w:t>
            </w:r>
            <w:r>
              <w:rPr>
                <w:rFonts w:ascii="Times New Roman" w:cs="Times New Roman"/>
                <w:color w:val="auto"/>
                <w:sz w:val="18"/>
                <w:szCs w:val="18"/>
              </w:rPr>
              <w:t>级游乐设施，由国家游乐设施监督检验机构进行验收检验和定期检验。</w:t>
            </w:r>
          </w:p>
          <w:p>
            <w:pPr>
              <w:pStyle w:val="15"/>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B</w:t>
            </w:r>
            <w:r>
              <w:rPr>
                <w:rFonts w:ascii="Times New Roman" w:cs="Times New Roman"/>
                <w:color w:val="auto"/>
                <w:sz w:val="18"/>
                <w:szCs w:val="18"/>
              </w:rPr>
              <w:t>级和</w:t>
            </w:r>
            <w:r>
              <w:rPr>
                <w:rFonts w:ascii="Times New Roman" w:hAnsi="Times New Roman" w:eastAsia="Times New Roman" w:cs="Times New Roman"/>
                <w:color w:val="auto"/>
                <w:sz w:val="18"/>
                <w:szCs w:val="18"/>
                <w:lang w:val="en-US" w:eastAsia="zh-CN" w:bidi="en-US"/>
              </w:rPr>
              <w:t>C</w:t>
            </w:r>
            <w:r>
              <w:rPr>
                <w:rFonts w:ascii="Times New Roman" w:cs="Times New Roman"/>
                <w:color w:val="auto"/>
                <w:sz w:val="18"/>
                <w:szCs w:val="18"/>
              </w:rPr>
              <w:t>级游乐设施，由所在地区经国家特种设备安全监察机构授权的监督检验机构进行验收检验</w:t>
            </w:r>
            <w:r>
              <w:rPr>
                <w:rFonts w:ascii="Times New Roman" w:hAnsi="Times New Roman" w:cs="Times New Roman"/>
                <w:color w:val="auto"/>
                <w:sz w:val="18"/>
                <w:szCs w:val="18"/>
              </w:rPr>
              <w:t xml:space="preserve"> </w:t>
            </w:r>
            <w:r>
              <w:rPr>
                <w:rFonts w:ascii="Times New Roman" w:cs="Times New Roman"/>
                <w:color w:val="auto"/>
                <w:sz w:val="18"/>
                <w:szCs w:val="18"/>
              </w:rPr>
              <w:t>和定期检验。</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首台（套）游乐设施的型式试验与验收检验由国家游乐设施监督检验机构一并进行。</w:t>
            </w:r>
          </w:p>
        </w:tc>
      </w:tr>
      <w:tr>
        <w:trPr>
          <w:trHeight w:val="722"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定期检验</w:t>
            </w:r>
          </w:p>
        </w:tc>
        <w:tc>
          <w:tcPr>
            <w:tcW w:w="659" w:type="dxa"/>
            <w:shd w:val="clear" w:color="auto" w:fill="FFFFFF"/>
            <w:noWrap w:val="0"/>
            <w:vAlign w:val="center"/>
          </w:tcPr>
          <w:p>
            <w:pPr>
              <w:pStyle w:val="15"/>
              <w:snapToGrid w:val="0"/>
              <w:spacing w:line="240" w:lineRule="auto"/>
              <w:ind w:firstLine="180" w:firstLineChars="100"/>
              <w:jc w:val="center"/>
              <w:rPr>
                <w:rFonts w:ascii="Times New Roman" w:hAnsi="Times New Roman" w:cs="Times New Roman"/>
                <w:color w:val="auto"/>
                <w:sz w:val="18"/>
                <w:szCs w:val="18"/>
              </w:rPr>
            </w:pPr>
            <w:r>
              <w:rPr>
                <w:rFonts w:ascii="Times New Roman" w:cs="Times New Roman"/>
                <w:color w:val="auto"/>
                <w:sz w:val="18"/>
                <w:szCs w:val="18"/>
              </w:rPr>
              <w:t>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机构</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有资质</w:t>
            </w:r>
            <w:r>
              <w:rPr>
                <w:rFonts w:ascii="Times New Roman" w:hAnsi="Times New Roman" w:cs="Times New Roman"/>
                <w:color w:val="auto"/>
                <w:sz w:val="18"/>
                <w:szCs w:val="18"/>
              </w:rPr>
              <w:t xml:space="preserve"> </w:t>
            </w:r>
            <w:r>
              <w:rPr>
                <w:rFonts w:ascii="Times New Roman" w:cs="Times New Roman"/>
                <w:color w:val="auto"/>
                <w:sz w:val="18"/>
                <w:szCs w:val="18"/>
              </w:rPr>
              <w:t>检验人员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根据上</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次检验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报告</w:t>
            </w:r>
          </w:p>
        </w:tc>
        <w:tc>
          <w:tcPr>
            <w:tcW w:w="1156"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大型游乐设施安全监察规定</w:t>
            </w:r>
          </w:p>
        </w:tc>
        <w:tc>
          <w:tcPr>
            <w:tcW w:w="1191"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第二十条</w:t>
            </w:r>
          </w:p>
        </w:tc>
        <w:tc>
          <w:tcPr>
            <w:tcW w:w="9465"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运营使用单位应当在大型游乐设施安装监督检验完成后</w:t>
            </w:r>
            <w:r>
              <w:rPr>
                <w:rFonts w:ascii="Times New Roman" w:hAnsi="Times New Roman" w:eastAsia="Times New Roman" w:cs="Times New Roman"/>
                <w:color w:val="auto"/>
                <w:sz w:val="18"/>
                <w:szCs w:val="18"/>
              </w:rPr>
              <w:t>1</w:t>
            </w:r>
            <w:r>
              <w:rPr>
                <w:rFonts w:ascii="Times New Roman" w:cs="Times New Roman"/>
                <w:color w:val="auto"/>
                <w:sz w:val="18"/>
                <w:szCs w:val="18"/>
              </w:rPr>
              <w:t>年内，向特种设备检验机构提出首次定期检验申请</w:t>
            </w:r>
            <w:r>
              <w:rPr>
                <w:rFonts w:ascii="Times New Roman" w:cs="Times New Roman"/>
                <w:color w:val="auto"/>
                <w:sz w:val="18"/>
                <w:szCs w:val="18"/>
                <w:lang w:eastAsia="zh-CN"/>
              </w:rPr>
              <w:t>；</w:t>
            </w:r>
            <w:r>
              <w:rPr>
                <w:rFonts w:ascii="Times New Roman" w:cs="Times New Roman"/>
                <w:color w:val="auto"/>
                <w:sz w:val="18"/>
                <w:szCs w:val="18"/>
              </w:rPr>
              <w:t>在大型游乐设施定期检验周期届满</w:t>
            </w:r>
            <w:r>
              <w:rPr>
                <w:rFonts w:ascii="Times New Roman" w:hAnsi="Times New Roman" w:eastAsia="Times New Roman" w:cs="Times New Roman"/>
                <w:color w:val="auto"/>
                <w:sz w:val="18"/>
                <w:szCs w:val="18"/>
              </w:rPr>
              <w:t>1</w:t>
            </w:r>
            <w:r>
              <w:rPr>
                <w:rFonts w:ascii="Times New Roman" w:cs="Times New Roman"/>
                <w:color w:val="auto"/>
                <w:sz w:val="18"/>
                <w:szCs w:val="18"/>
              </w:rPr>
              <w:t>个月前，运营使用单位应当向特种设备检验机构提出定期检验要求。</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特种设备检验机构应当按照安全技术规范的要求进行定期检验。</w:t>
            </w:r>
          </w:p>
        </w:tc>
      </w:tr>
    </w:tbl>
    <w:p>
      <w:pPr>
        <w:snapToGrid w:val="0"/>
        <w:spacing w:line="20" w:lineRule="exact"/>
        <w:rPr>
          <w:color w:val="auto"/>
          <w:sz w:val="18"/>
          <w:szCs w:val="18"/>
          <w:lang w:eastAsia="zh-CN"/>
        </w:rPr>
      </w:pPr>
    </w:p>
    <w:bookmarkEnd w:id="444"/>
    <w:bookmarkEnd w:id="445"/>
    <w:bookmarkEnd w:id="446"/>
    <w:p>
      <w:pPr>
        <w:pStyle w:val="14"/>
        <w:snapToGrid w:val="0"/>
        <w:spacing w:line="240" w:lineRule="auto"/>
        <w:jc w:val="both"/>
        <w:rPr>
          <w:rFonts w:ascii="Times New Roman" w:hAnsi="Times New Roman" w:cs="Times New Roman"/>
          <w:color w:val="auto"/>
          <w:sz w:val="18"/>
          <w:szCs w:val="18"/>
          <w:lang w:eastAsia="zh-CN"/>
        </w:rPr>
        <w:sectPr>
          <w:headerReference r:id="rId38" w:type="first"/>
          <w:footerReference r:id="rId41" w:type="first"/>
          <w:headerReference r:id="rId36" w:type="default"/>
          <w:footerReference r:id="rId39" w:type="default"/>
          <w:headerReference r:id="rId37" w:type="even"/>
          <w:footerReference r:id="rId40" w:type="even"/>
          <w:pgSz w:w="16840" w:h="11900" w:orient="landscape"/>
          <w:pgMar w:top="1134" w:right="1134" w:bottom="1560" w:left="1134" w:header="0" w:footer="3" w:gutter="0"/>
          <w:cols w:space="720" w:num="1"/>
          <w:titlePg/>
          <w:docGrid w:linePitch="360" w:charSpace="0"/>
        </w:sectPr>
      </w:pPr>
    </w:p>
    <w:p>
      <w:pPr>
        <w:pStyle w:val="14"/>
        <w:snapToGrid w:val="0"/>
        <w:spacing w:line="240" w:lineRule="auto"/>
        <w:jc w:val="center"/>
        <w:rPr>
          <w:rFonts w:ascii="Times New Roman" w:hAnsi="Times New Roman" w:eastAsia="黑体" w:cs="Times New Roman"/>
          <w:b/>
          <w:color w:val="auto"/>
          <w:kern w:val="2"/>
          <w:sz w:val="21"/>
          <w:szCs w:val="21"/>
          <w:lang w:val="en-US" w:eastAsia="zh-CN" w:bidi="ar-SA"/>
        </w:rPr>
      </w:pPr>
      <w:r>
        <w:rPr>
          <w:rFonts w:ascii="Times New Roman" w:hAnsi="黑体" w:eastAsia="黑体" w:cs="Times New Roman"/>
          <w:b/>
          <w:color w:val="auto"/>
          <w:kern w:val="2"/>
          <w:sz w:val="21"/>
          <w:szCs w:val="21"/>
          <w:lang w:val="en-US" w:eastAsia="zh-CN" w:bidi="ar-SA"/>
        </w:rPr>
        <w:t>附表</w:t>
      </w:r>
      <w:r>
        <w:rPr>
          <w:rFonts w:ascii="Times New Roman" w:hAnsi="Times New Roman" w:eastAsia="黑体" w:cs="Times New Roman"/>
          <w:b/>
          <w:color w:val="auto"/>
          <w:kern w:val="2"/>
          <w:sz w:val="21"/>
          <w:szCs w:val="21"/>
          <w:lang w:val="en-US" w:eastAsia="zh-CN" w:bidi="ar-SA"/>
        </w:rPr>
        <w:t xml:space="preserve">1  </w:t>
      </w:r>
      <w:r>
        <w:rPr>
          <w:rFonts w:ascii="Times New Roman" w:hAnsi="黑体" w:eastAsia="黑体" w:cs="Times New Roman"/>
          <w:b/>
          <w:color w:val="auto"/>
          <w:kern w:val="2"/>
          <w:sz w:val="21"/>
          <w:szCs w:val="21"/>
          <w:lang w:val="en-US" w:eastAsia="zh-CN" w:bidi="ar-SA"/>
        </w:rPr>
        <w:t>大型游乐设施日常巡查内容</w:t>
      </w:r>
    </w:p>
    <w:p>
      <w:pPr>
        <w:pStyle w:val="14"/>
        <w:snapToGrid w:val="0"/>
        <w:spacing w:line="240" w:lineRule="auto"/>
        <w:jc w:val="center"/>
        <w:rPr>
          <w:rFonts w:ascii="Times New Roman" w:hAnsi="Times New Roman" w:eastAsia="黑体" w:cs="Times New Roman"/>
          <w:b/>
          <w:color w:val="auto"/>
          <w:kern w:val="2"/>
          <w:sz w:val="21"/>
          <w:szCs w:val="21"/>
          <w:lang w:val="en-US" w:eastAsia="zh-CN" w:bidi="ar-SA"/>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643"/>
        <w:gridCol w:w="970"/>
        <w:gridCol w:w="7562"/>
      </w:tblGrid>
      <w:tr>
        <w:trPr>
          <w:trHeight w:val="565" w:hRule="exact"/>
          <w:jc w:val="center"/>
        </w:trPr>
        <w:tc>
          <w:tcPr>
            <w:tcW w:w="643"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970"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w:t>
            </w:r>
          </w:p>
        </w:tc>
        <w:tc>
          <w:tcPr>
            <w:tcW w:w="7562"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巡查内容</w:t>
            </w:r>
          </w:p>
        </w:tc>
      </w:tr>
      <w:tr>
        <w:trPr>
          <w:trHeight w:val="1262" w:hRule="exact"/>
          <w:jc w:val="center"/>
        </w:trPr>
        <w:tc>
          <w:tcPr>
            <w:tcW w:w="6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1</w:t>
            </w:r>
          </w:p>
        </w:tc>
        <w:tc>
          <w:tcPr>
            <w:tcW w:w="97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通道</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7562" w:type="dxa"/>
            <w:shd w:val="clear" w:color="auto" w:fill="FFFFFF"/>
            <w:noWrap w:val="0"/>
            <w:vAlign w:val="center"/>
          </w:tcPr>
          <w:p>
            <w:pPr>
              <w:pStyle w:val="15"/>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检查地面的防滑地毯是否有明显破损；</w:t>
            </w:r>
          </w:p>
          <w:p>
            <w:pPr>
              <w:pStyle w:val="15"/>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检查通道指示标志有无缺损；</w:t>
            </w:r>
          </w:p>
          <w:p>
            <w:pPr>
              <w:pStyle w:val="15"/>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检查通道沿线外露电缆有无显见异常；</w:t>
            </w:r>
          </w:p>
        </w:tc>
      </w:tr>
      <w:tr>
        <w:trPr>
          <w:trHeight w:val="2347" w:hRule="exact"/>
          <w:jc w:val="center"/>
        </w:trPr>
        <w:tc>
          <w:tcPr>
            <w:tcW w:w="6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w:t>
            </w:r>
          </w:p>
        </w:tc>
        <w:tc>
          <w:tcPr>
            <w:tcW w:w="97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安全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栅栏</w:t>
            </w:r>
          </w:p>
        </w:tc>
        <w:tc>
          <w:tcPr>
            <w:tcW w:w="7562" w:type="dxa"/>
            <w:shd w:val="clear" w:color="auto" w:fill="FFFFFF"/>
            <w:noWrap w:val="0"/>
            <w:vAlign w:val="center"/>
          </w:tcPr>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检查栏杆支撑有无松动；</w:t>
            </w:r>
          </w:p>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检查栏杆表面有无破损：</w:t>
            </w:r>
          </w:p>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检查端部球形封堵有无撕裂、缺失；</w:t>
            </w:r>
          </w:p>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检查门铰链有无变形、脱落；</w:t>
            </w:r>
          </w:p>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检查活动间隙是否发生改变而导致可能夹手；</w:t>
            </w:r>
          </w:p>
          <w:p>
            <w:pPr>
              <w:pStyle w:val="15"/>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检查悬挂的安全标志是否有缺损；</w:t>
            </w:r>
          </w:p>
        </w:tc>
      </w:tr>
      <w:tr>
        <w:trPr>
          <w:trHeight w:val="1805" w:hRule="exact"/>
          <w:jc w:val="center"/>
        </w:trPr>
        <w:tc>
          <w:tcPr>
            <w:tcW w:w="6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w:t>
            </w:r>
          </w:p>
        </w:tc>
        <w:tc>
          <w:tcPr>
            <w:tcW w:w="97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座席</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检查</w:t>
            </w:r>
          </w:p>
        </w:tc>
        <w:tc>
          <w:tcPr>
            <w:tcW w:w="7562" w:type="dxa"/>
            <w:shd w:val="clear" w:color="auto" w:fill="FFFFFF"/>
            <w:noWrap w:val="0"/>
            <w:vAlign w:val="center"/>
          </w:tcPr>
          <w:p>
            <w:pPr>
              <w:pStyle w:val="15"/>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检查安全把手有无松动；</w:t>
            </w:r>
          </w:p>
          <w:p>
            <w:pPr>
              <w:pStyle w:val="15"/>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检查玻璃钢座席面有无破损、开裂；</w:t>
            </w:r>
          </w:p>
          <w:p>
            <w:pPr>
              <w:pStyle w:val="15"/>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检查座席处有无其他可能伤及游客的危险突出物；</w:t>
            </w:r>
          </w:p>
          <w:p>
            <w:pPr>
              <w:pStyle w:val="15"/>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检查脚踏防滑面的防滑效果；</w:t>
            </w:r>
          </w:p>
        </w:tc>
      </w:tr>
      <w:tr>
        <w:trPr>
          <w:trHeight w:val="1262" w:hRule="exact"/>
          <w:jc w:val="center"/>
        </w:trPr>
        <w:tc>
          <w:tcPr>
            <w:tcW w:w="6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4</w:t>
            </w:r>
          </w:p>
        </w:tc>
        <w:tc>
          <w:tcPr>
            <w:tcW w:w="97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末端</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驱动</w:t>
            </w:r>
          </w:p>
        </w:tc>
        <w:tc>
          <w:tcPr>
            <w:tcW w:w="7562" w:type="dxa"/>
            <w:shd w:val="clear" w:color="auto" w:fill="FFFFFF"/>
            <w:noWrap w:val="0"/>
            <w:vAlign w:val="center"/>
          </w:tcPr>
          <w:p>
            <w:pPr>
              <w:pStyle w:val="15"/>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检查曲柄螺钉有无松脱迹象，必要时工具确认；</w:t>
            </w:r>
          </w:p>
          <w:p>
            <w:pPr>
              <w:pStyle w:val="15"/>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检查润滑油有无溢出（滴落至座席）；</w:t>
            </w:r>
          </w:p>
          <w:p>
            <w:pPr>
              <w:pStyle w:val="15"/>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检查运行是否平稳、有无异常声响；</w:t>
            </w:r>
          </w:p>
        </w:tc>
      </w:tr>
      <w:tr>
        <w:trPr>
          <w:trHeight w:val="1262" w:hRule="exact"/>
          <w:jc w:val="center"/>
        </w:trPr>
        <w:tc>
          <w:tcPr>
            <w:tcW w:w="64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w:t>
            </w:r>
          </w:p>
        </w:tc>
        <w:tc>
          <w:tcPr>
            <w:tcW w:w="97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扩音器</w:t>
            </w:r>
          </w:p>
        </w:tc>
        <w:tc>
          <w:tcPr>
            <w:tcW w:w="7562" w:type="dxa"/>
            <w:shd w:val="clear" w:color="auto" w:fill="FFFFFF"/>
            <w:noWrap w:val="0"/>
            <w:vAlign w:val="center"/>
          </w:tcPr>
          <w:p>
            <w:pPr>
              <w:pStyle w:val="15"/>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逐个检查手持装置的电池电量是否充足；</w:t>
            </w:r>
          </w:p>
          <w:p>
            <w:pPr>
              <w:pStyle w:val="15"/>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检查功放端音量调节、音效是否正常；</w:t>
            </w:r>
          </w:p>
          <w:p>
            <w:pPr>
              <w:pStyle w:val="15"/>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检查备用的手持扩音器是否完好</w:t>
            </w:r>
            <w:r>
              <w:rPr>
                <w:rFonts w:ascii="Times New Roman" w:hAnsi="Times New Roman" w:cs="Times New Roman"/>
                <w:color w:val="auto"/>
                <w:sz w:val="18"/>
                <w:szCs w:val="18"/>
              </w:rPr>
              <w:t>,</w:t>
            </w:r>
            <w:r>
              <w:rPr>
                <w:rFonts w:ascii="Times New Roman" w:cs="Times New Roman"/>
                <w:color w:val="auto"/>
                <w:sz w:val="18"/>
                <w:szCs w:val="18"/>
              </w:rPr>
              <w:t>能正常工作；</w:t>
            </w:r>
          </w:p>
        </w:tc>
      </w:tr>
    </w:tbl>
    <w:p>
      <w:pPr>
        <w:pStyle w:val="14"/>
        <w:snapToGrid w:val="0"/>
        <w:spacing w:line="240" w:lineRule="auto"/>
        <w:jc w:val="both"/>
        <w:rPr>
          <w:rFonts w:ascii="Times New Roman" w:hAnsi="Times New Roman" w:cs="Times New Roman"/>
          <w:color w:val="auto"/>
          <w:sz w:val="18"/>
          <w:szCs w:val="18"/>
          <w:lang w:eastAsia="zh-CN"/>
        </w:rPr>
        <w:sectPr>
          <w:pgSz w:w="11900" w:h="16840"/>
          <w:pgMar w:top="1134" w:right="1560" w:bottom="1134" w:left="1134" w:header="0" w:footer="3" w:gutter="0"/>
          <w:cols w:space="720" w:num="1"/>
          <w:titlePg/>
          <w:docGrid w:linePitch="360" w:charSpace="0"/>
        </w:sectPr>
      </w:pPr>
    </w:p>
    <w:p>
      <w:pPr>
        <w:pStyle w:val="20"/>
        <w:snapToGrid w:val="0"/>
        <w:rPr>
          <w:color w:val="auto"/>
          <w:sz w:val="18"/>
          <w:szCs w:val="18"/>
          <w:lang w:val="zh-TW" w:eastAsia="zh-CN" w:bidi="zh-TW"/>
        </w:rPr>
      </w:pPr>
    </w:p>
    <w:p>
      <w:pPr>
        <w:pStyle w:val="14"/>
        <w:snapToGrid w:val="0"/>
        <w:spacing w:after="120" w:afterLines="50" w:line="240" w:lineRule="auto"/>
        <w:jc w:val="center"/>
        <w:rPr>
          <w:rFonts w:ascii="Times New Roman" w:hAnsi="Times New Roman" w:cs="Times New Roman"/>
          <w:color w:val="auto"/>
          <w:sz w:val="18"/>
          <w:szCs w:val="18"/>
          <w:lang w:eastAsia="zh-CN"/>
        </w:rPr>
      </w:pPr>
      <w:r>
        <w:rPr>
          <w:rFonts w:ascii="Times New Roman" w:hAnsi="黑体" w:eastAsia="黑体" w:cs="Times New Roman"/>
          <w:b/>
          <w:color w:val="auto"/>
          <w:sz w:val="21"/>
          <w:szCs w:val="21"/>
          <w:lang w:val="en-US" w:eastAsia="zh-CN" w:bidi="en-US"/>
        </w:rPr>
        <w:t>表</w:t>
      </w:r>
      <w:r>
        <w:rPr>
          <w:rFonts w:ascii="Times New Roman" w:hAnsi="Times New Roman" w:eastAsia="黑体" w:cs="Times New Roman"/>
          <w:b/>
          <w:color w:val="auto"/>
          <w:sz w:val="21"/>
          <w:szCs w:val="21"/>
          <w:lang w:val="en-US" w:eastAsia="zh-CN" w:bidi="en-US"/>
        </w:rPr>
        <w:t xml:space="preserve">B.14  </w:t>
      </w:r>
      <w:r>
        <w:rPr>
          <w:rFonts w:ascii="Times New Roman" w:hAnsi="黑体" w:eastAsia="黑体" w:cs="Times New Roman"/>
          <w:b/>
          <w:color w:val="auto"/>
          <w:sz w:val="21"/>
          <w:szCs w:val="21"/>
        </w:rPr>
        <w:t>特种设备</w:t>
      </w:r>
      <w:r>
        <w:rPr>
          <w:rFonts w:ascii="Times New Roman" w:hAnsi="黑体" w:eastAsia="黑体" w:cs="Times New Roman"/>
          <w:b/>
          <w:color w:val="auto"/>
          <w:sz w:val="21"/>
          <w:szCs w:val="21"/>
          <w:lang w:eastAsia="zh-CN"/>
        </w:rPr>
        <w:t>隐患排查清单</w:t>
      </w:r>
      <w:r>
        <w:rPr>
          <w:rFonts w:ascii="Times New Roman" w:hAnsi="Times New Roman" w:eastAsia="黑体" w:cs="Times New Roman"/>
          <w:b/>
          <w:color w:val="auto"/>
          <w:sz w:val="21"/>
          <w:szCs w:val="21"/>
          <w:lang w:eastAsia="zh-CN"/>
        </w:rPr>
        <w:t>——</w:t>
      </w:r>
      <w:r>
        <w:rPr>
          <w:rFonts w:ascii="Times New Roman" w:hAnsi="黑体" w:eastAsia="黑体" w:cs="Times New Roman"/>
          <w:b/>
          <w:color w:val="auto"/>
          <w:sz w:val="21"/>
          <w:szCs w:val="21"/>
          <w:lang w:eastAsia="zh-CN"/>
        </w:rPr>
        <w:t>场（厂）内专用机动车辆专项要求</w:t>
      </w:r>
    </w:p>
    <w:p>
      <w:pPr>
        <w:pStyle w:val="14"/>
        <w:snapToGrid w:val="0"/>
        <w:spacing w:line="240" w:lineRule="auto"/>
        <w:jc w:val="center"/>
        <w:rPr>
          <w:rFonts w:ascii="Times New Roman" w:hAnsi="Times New Roman" w:cs="Times New Roman"/>
          <w:color w:val="auto"/>
          <w:sz w:val="18"/>
          <w:szCs w:val="18"/>
          <w:lang w:eastAsia="zh-CN"/>
        </w:rPr>
      </w:pPr>
    </w:p>
    <w:tbl>
      <w:tblPr>
        <w:tblStyle w:val="8"/>
        <w:tblpPr/>
        <w:tblOverlap w:val="never"/>
        <w:tblW w:w="149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04"/>
        <w:gridCol w:w="659"/>
        <w:gridCol w:w="738"/>
        <w:gridCol w:w="750"/>
        <w:gridCol w:w="1014"/>
        <w:gridCol w:w="993"/>
        <w:gridCol w:w="9805"/>
      </w:tblGrid>
      <w:tr>
        <w:trPr>
          <w:trHeight w:val="251" w:hRule="exact"/>
          <w:tblHeader/>
          <w:jc w:val="center"/>
        </w:trPr>
        <w:tc>
          <w:tcPr>
            <w:tcW w:w="1004" w:type="dxa"/>
            <w:vMerge w:val="restart"/>
            <w:shd w:val="clear" w:color="auto" w:fill="FFFFFF"/>
            <w:noWrap w:val="0"/>
            <w:vAlign w:val="center"/>
          </w:tcPr>
          <w:p>
            <w:pPr>
              <w:pStyle w:val="15"/>
              <w:snapToGrid w:val="0"/>
              <w:spacing w:line="240" w:lineRule="auto"/>
              <w:jc w:val="center"/>
              <w:rPr>
                <w:rFonts w:hint="eastAsia" w:ascii="Times New Roman" w:hAnsi="Times New Roman" w:eastAsia="黑体" w:cs="Times New Roman"/>
                <w:b/>
                <w:color w:val="auto"/>
                <w:sz w:val="18"/>
                <w:szCs w:val="18"/>
                <w:lang w:eastAsia="zh-CN"/>
              </w:rPr>
            </w:pPr>
            <w:r>
              <w:rPr>
                <w:rFonts w:hint="eastAsia" w:ascii="Times New Roman" w:hAnsi="黑体" w:eastAsia="黑体" w:cs="Times New Roman"/>
                <w:b/>
                <w:color w:val="auto"/>
                <w:sz w:val="18"/>
                <w:szCs w:val="18"/>
                <w:lang w:eastAsia="zh-CN"/>
              </w:rPr>
              <w:t>排查内容</w:t>
            </w:r>
          </w:p>
        </w:tc>
        <w:tc>
          <w:tcPr>
            <w:tcW w:w="659"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实施</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单位</w:t>
            </w:r>
          </w:p>
        </w:tc>
        <w:tc>
          <w:tcPr>
            <w:tcW w:w="738"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排查人</w:t>
            </w:r>
          </w:p>
        </w:tc>
        <w:tc>
          <w:tcPr>
            <w:tcW w:w="750"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rPr>
              <w:t>排查</w:t>
            </w:r>
          </w:p>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时间</w:t>
            </w:r>
          </w:p>
        </w:tc>
        <w:tc>
          <w:tcPr>
            <w:tcW w:w="2007" w:type="dxa"/>
            <w:gridSpan w:val="2"/>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排查依据</w:t>
            </w:r>
          </w:p>
        </w:tc>
        <w:tc>
          <w:tcPr>
            <w:tcW w:w="9805" w:type="dxa"/>
            <w:vMerge w:val="restart"/>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排查要求</w:t>
            </w:r>
          </w:p>
        </w:tc>
      </w:tr>
      <w:tr>
        <w:trPr>
          <w:trHeight w:val="297" w:hRule="exact"/>
          <w:tblHeader/>
          <w:jc w:val="center"/>
        </w:trPr>
        <w:tc>
          <w:tcPr>
            <w:tcW w:w="1004" w:type="dxa"/>
            <w:vMerge w:val="continue"/>
            <w:shd w:val="clear" w:color="auto" w:fill="FFFFFF"/>
            <w:noWrap w:val="0"/>
            <w:vAlign w:val="center"/>
          </w:tcPr>
          <w:p>
            <w:pPr>
              <w:snapToGrid w:val="0"/>
              <w:jc w:val="center"/>
              <w:rPr>
                <w:color w:val="auto"/>
                <w:sz w:val="18"/>
                <w:szCs w:val="18"/>
              </w:rPr>
            </w:pPr>
          </w:p>
        </w:tc>
        <w:tc>
          <w:tcPr>
            <w:tcW w:w="659" w:type="dxa"/>
            <w:vMerge w:val="continue"/>
            <w:shd w:val="clear" w:color="auto" w:fill="FFFFFF"/>
            <w:noWrap w:val="0"/>
            <w:vAlign w:val="center"/>
          </w:tcPr>
          <w:p>
            <w:pPr>
              <w:snapToGrid w:val="0"/>
              <w:jc w:val="center"/>
              <w:rPr>
                <w:color w:val="auto"/>
                <w:sz w:val="18"/>
                <w:szCs w:val="18"/>
              </w:rPr>
            </w:pPr>
          </w:p>
        </w:tc>
        <w:tc>
          <w:tcPr>
            <w:tcW w:w="738" w:type="dxa"/>
            <w:vMerge w:val="continue"/>
            <w:shd w:val="clear" w:color="auto" w:fill="FFFFFF"/>
            <w:noWrap w:val="0"/>
            <w:vAlign w:val="center"/>
          </w:tcPr>
          <w:p>
            <w:pPr>
              <w:snapToGrid w:val="0"/>
              <w:jc w:val="center"/>
              <w:rPr>
                <w:color w:val="auto"/>
                <w:sz w:val="18"/>
                <w:szCs w:val="18"/>
              </w:rPr>
            </w:pPr>
          </w:p>
        </w:tc>
        <w:tc>
          <w:tcPr>
            <w:tcW w:w="750" w:type="dxa"/>
            <w:vMerge w:val="continue"/>
            <w:shd w:val="clear" w:color="auto" w:fill="FFFFFF"/>
            <w:noWrap w:val="0"/>
            <w:vAlign w:val="center"/>
          </w:tcPr>
          <w:p>
            <w:pPr>
              <w:snapToGrid w:val="0"/>
              <w:jc w:val="center"/>
              <w:rPr>
                <w:color w:val="auto"/>
                <w:sz w:val="18"/>
                <w:szCs w:val="18"/>
              </w:rPr>
            </w:pPr>
          </w:p>
        </w:tc>
        <w:tc>
          <w:tcPr>
            <w:tcW w:w="1014"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lang w:eastAsia="zh-CN"/>
              </w:rPr>
            </w:pPr>
            <w:r>
              <w:rPr>
                <w:rFonts w:ascii="Times New Roman" w:hAnsi="黑体" w:eastAsia="黑体" w:cs="Times New Roman"/>
                <w:b/>
                <w:color w:val="auto"/>
                <w:sz w:val="18"/>
                <w:szCs w:val="18"/>
                <w:lang w:eastAsia="zh-CN"/>
              </w:rPr>
              <w:t>法规</w:t>
            </w:r>
            <w:r>
              <w:rPr>
                <w:rFonts w:ascii="Times New Roman" w:hAnsi="黑体" w:eastAsia="黑体" w:cs="Times New Roman"/>
                <w:b/>
                <w:color w:val="auto"/>
                <w:sz w:val="18"/>
                <w:szCs w:val="18"/>
              </w:rPr>
              <w:t>标准</w:t>
            </w:r>
          </w:p>
        </w:tc>
        <w:tc>
          <w:tcPr>
            <w:tcW w:w="993" w:type="dxa"/>
            <w:shd w:val="clear" w:color="auto" w:fill="FFFFFF"/>
            <w:noWrap w:val="0"/>
            <w:vAlign w:val="center"/>
          </w:tcPr>
          <w:p>
            <w:pPr>
              <w:pStyle w:val="15"/>
              <w:snapToGrid w:val="0"/>
              <w:spacing w:line="240" w:lineRule="auto"/>
              <w:jc w:val="center"/>
              <w:rPr>
                <w:rFonts w:ascii="Times New Roman" w:hAnsi="Times New Roman" w:eastAsia="黑体" w:cs="Times New Roman"/>
                <w:b/>
                <w:color w:val="auto"/>
                <w:sz w:val="18"/>
                <w:szCs w:val="18"/>
              </w:rPr>
            </w:pPr>
            <w:r>
              <w:rPr>
                <w:rFonts w:ascii="Times New Roman" w:hAnsi="黑体" w:eastAsia="黑体" w:cs="Times New Roman"/>
                <w:b/>
                <w:color w:val="auto"/>
                <w:sz w:val="18"/>
                <w:szCs w:val="18"/>
              </w:rPr>
              <w:t>适用条款</w:t>
            </w:r>
          </w:p>
        </w:tc>
        <w:tc>
          <w:tcPr>
            <w:tcW w:w="9805" w:type="dxa"/>
            <w:vMerge w:val="continue"/>
            <w:shd w:val="clear" w:color="auto" w:fill="FFFFFF"/>
            <w:noWrap w:val="0"/>
            <w:vAlign w:val="center"/>
          </w:tcPr>
          <w:p>
            <w:pPr>
              <w:snapToGrid w:val="0"/>
              <w:rPr>
                <w:color w:val="auto"/>
                <w:sz w:val="18"/>
                <w:szCs w:val="18"/>
              </w:rPr>
            </w:pPr>
          </w:p>
        </w:tc>
      </w:tr>
      <w:tr>
        <w:trPr>
          <w:trHeight w:val="3627"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使用单位</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要求</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少一次</w:t>
            </w:r>
          </w:p>
        </w:tc>
        <w:tc>
          <w:tcPr>
            <w:tcW w:w="1014" w:type="dxa"/>
            <w:vMerge w:val="restart"/>
            <w:shd w:val="clear" w:color="auto" w:fill="FFFFFF"/>
            <w:noWrap w:val="0"/>
            <w:vAlign w:val="center"/>
          </w:tcPr>
          <w:p>
            <w:pPr>
              <w:pStyle w:val="15"/>
              <w:snapToGrid w:val="0"/>
              <w:rPr>
                <w:rFonts w:ascii="Times New Roman" w:hAnsi="Times New Roman" w:cs="Times New Roman"/>
                <w:color w:val="auto"/>
                <w:sz w:val="18"/>
                <w:szCs w:val="18"/>
              </w:rPr>
            </w:pPr>
            <w:r>
              <w:rPr>
                <w:rFonts w:ascii="Times New Roman" w:cs="Times New Roman"/>
                <w:color w:val="auto"/>
                <w:sz w:val="18"/>
                <w:szCs w:val="18"/>
              </w:rPr>
              <w:t>场</w:t>
            </w:r>
            <w:r>
              <w:rPr>
                <w:rFonts w:ascii="Times New Roman" w:hAnsi="Times New Roman" w:cs="Times New Roman"/>
                <w:color w:val="auto"/>
                <w:sz w:val="18"/>
                <w:szCs w:val="18"/>
              </w:rPr>
              <w:t>(</w:t>
            </w:r>
            <w:r>
              <w:rPr>
                <w:rFonts w:ascii="Times New Roman" w:cs="Times New Roman"/>
                <w:color w:val="auto"/>
                <w:sz w:val="18"/>
                <w:szCs w:val="18"/>
              </w:rPr>
              <w:t>厂</w:t>
            </w:r>
            <w:r>
              <w:rPr>
                <w:rFonts w:ascii="Times New Roman" w:hAnsi="Times New Roman" w:cs="Times New Roman"/>
                <w:color w:val="auto"/>
                <w:sz w:val="18"/>
                <w:szCs w:val="18"/>
              </w:rPr>
              <w:t>)</w:t>
            </w:r>
            <w:r>
              <w:rPr>
                <w:rFonts w:ascii="Times New Roman" w:cs="Times New Roman"/>
                <w:color w:val="auto"/>
                <w:sz w:val="18"/>
                <w:szCs w:val="18"/>
              </w:rPr>
              <w:t>内专用机动车辆安全技术监察规程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3.1.1</w:t>
            </w:r>
          </w:p>
        </w:tc>
        <w:tc>
          <w:tcPr>
            <w:tcW w:w="9805" w:type="dxa"/>
            <w:shd w:val="clear" w:color="auto" w:fill="FFFFFF"/>
            <w:noWrap w:val="0"/>
            <w:vAlign w:val="center"/>
          </w:tcPr>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取得营业执照；</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对其区域内使用场车的安全负责；</w:t>
            </w:r>
          </w:p>
          <w:p>
            <w:pPr>
              <w:pStyle w:val="15"/>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根据场（厂）内专用机动车辆的用途、使用环境，选择适应使用条件要求的场（厂）内专用机动车辆，并且对所购买场（厂）内专用机动车辆的选型负责；</w:t>
            </w:r>
          </w:p>
          <w:p>
            <w:pPr>
              <w:pStyle w:val="15"/>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购置观光车辆时，保证观光车辆的设计爬坡度能够满足使用单位行驶线路中的最大坡度的要求，并且在销售合同中明确；</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（5）</w:t>
            </w:r>
            <w:r>
              <w:rPr>
                <w:rFonts w:ascii="Times New Roman" w:cs="Times New Roman"/>
                <w:color w:val="auto"/>
                <w:sz w:val="18"/>
                <w:szCs w:val="18"/>
              </w:rPr>
              <w:t>场（厂）内专用机动车辆首次投入使用前，向产权单位所在地的特种设备检验机构申请首次检验；</w:t>
            </w:r>
          </w:p>
          <w:p>
            <w:pPr>
              <w:pStyle w:val="15"/>
              <w:tabs>
                <w:tab w:val="left" w:pos="331"/>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（6）</w:t>
            </w:r>
            <w:r>
              <w:rPr>
                <w:rFonts w:ascii="Times New Roman" w:cs="Times New Roman"/>
                <w:color w:val="auto"/>
                <w:sz w:val="18"/>
                <w:szCs w:val="18"/>
              </w:rPr>
              <w:t>检验有效期届满的</w:t>
            </w:r>
            <w:r>
              <w:rPr>
                <w:rFonts w:ascii="Times New Roman" w:hAnsi="Times New Roman" w:eastAsia="Times New Roman" w:cs="Times New Roman"/>
                <w:color w:val="auto"/>
                <w:sz w:val="18"/>
                <w:szCs w:val="18"/>
              </w:rPr>
              <w:t>1</w:t>
            </w:r>
            <w:r>
              <w:rPr>
                <w:rFonts w:ascii="Times New Roman" w:cs="Times New Roman"/>
                <w:color w:val="auto"/>
                <w:sz w:val="18"/>
                <w:szCs w:val="18"/>
              </w:rPr>
              <w:t>个月以前，向特种设备检验机构提出定期检验申请，接受检验，并且做好定期检验相关的配合工作；</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流动作业的场（厂）内专用机动车辆使用期间，在使用所在地或者使用登记所在地进行定期检验；</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制定安全操作规程，至少包括系安全带、转弯减速、下坡减速和超高限速等要求；</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（9）</w:t>
            </w:r>
            <w:r>
              <w:rPr>
                <w:rFonts w:ascii="Times New Roman" w:cs="Times New Roman"/>
                <w:color w:val="auto"/>
                <w:sz w:val="18"/>
                <w:szCs w:val="18"/>
              </w:rPr>
              <w:t>场（厂）内专用机动车辆驾驶人员取得相应的《特种设备作业人员证》，持证上岗；</w:t>
            </w:r>
          </w:p>
          <w:p>
            <w:pPr>
              <w:pStyle w:val="15"/>
              <w:tabs>
                <w:tab w:val="left" w:pos="41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cs="Times New Roman"/>
                <w:color w:val="auto"/>
                <w:sz w:val="18"/>
                <w:szCs w:val="18"/>
              </w:rPr>
              <w:t>按照场（厂）内专用机动车辆安全技术监察规程要求，进行场（厂）内专用机动车辆的日常维护保养、自行检查和全面检查；</w:t>
            </w:r>
          </w:p>
          <w:p>
            <w:pPr>
              <w:pStyle w:val="15"/>
              <w:tabs>
                <w:tab w:val="left" w:pos="398"/>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cs="Times New Roman"/>
                <w:color w:val="auto"/>
                <w:sz w:val="18"/>
                <w:szCs w:val="18"/>
              </w:rPr>
              <w:t>叉车使用中，如果将货叉更换为其他属具，该设备的使用安全由使用单位负责；</w:t>
            </w:r>
          </w:p>
          <w:p>
            <w:pPr>
              <w:pStyle w:val="15"/>
              <w:tabs>
                <w:tab w:val="left" w:pos="403"/>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（12）</w:t>
            </w:r>
            <w:r>
              <w:rPr>
                <w:rFonts w:ascii="Times New Roman" w:cs="Times New Roman"/>
                <w:color w:val="auto"/>
                <w:sz w:val="18"/>
                <w:szCs w:val="18"/>
              </w:rPr>
              <w:t>在观光车辆上配备灭火器；</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13）</w:t>
            </w:r>
            <w:r>
              <w:rPr>
                <w:rFonts w:ascii="Times New Roman" w:cs="Times New Roman"/>
                <w:color w:val="auto"/>
                <w:sz w:val="18"/>
                <w:szCs w:val="18"/>
              </w:rPr>
              <w:t>履行法律、法规规定的其他义务。</w:t>
            </w:r>
          </w:p>
        </w:tc>
      </w:tr>
      <w:tr>
        <w:trPr>
          <w:trHeight w:val="1211"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作业环境</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审查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val="zh-CN" w:eastAsia="zh-CN" w:bidi="zh-CN"/>
              </w:rPr>
              <w:t>少一次</w:t>
            </w:r>
          </w:p>
        </w:tc>
        <w:tc>
          <w:tcPr>
            <w:tcW w:w="1014" w:type="dxa"/>
            <w:vMerge w:val="continue"/>
            <w:shd w:val="clear" w:color="auto" w:fill="FFFFFF"/>
            <w:noWrap w:val="0"/>
            <w:vAlign w:val="center"/>
          </w:tcPr>
          <w:p>
            <w:pPr>
              <w:pStyle w:val="15"/>
              <w:snapToGrid w:val="0"/>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3.1.2</w:t>
            </w:r>
          </w:p>
        </w:tc>
        <w:tc>
          <w:tcPr>
            <w:tcW w:w="9805" w:type="dxa"/>
            <w:shd w:val="clear" w:color="auto" w:fill="FFFFFF"/>
            <w:noWrap w:val="0"/>
            <w:vAlign w:val="center"/>
          </w:tcPr>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场车的使用环境应当根据本单位场车工作区域的路况，规范本单位场车的作业环境；</w:t>
            </w:r>
          </w:p>
          <w:p>
            <w:pPr>
              <w:pStyle w:val="15"/>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观光车行驶的线路，最大坡度不得大于</w:t>
            </w:r>
            <w:r>
              <w:rPr>
                <w:rFonts w:ascii="Times New Roman" w:hAnsi="Times New Roman" w:eastAsia="Times New Roman" w:cs="Times New Roman"/>
                <w:color w:val="auto"/>
                <w:sz w:val="18"/>
                <w:szCs w:val="18"/>
              </w:rPr>
              <w:t>10%</w:t>
            </w:r>
            <w:r>
              <w:rPr>
                <w:rFonts w:ascii="Times New Roman" w:cs="Times New Roman"/>
                <w:color w:val="auto"/>
                <w:sz w:val="18"/>
                <w:szCs w:val="18"/>
              </w:rPr>
              <w:t>（坡长小于</w:t>
            </w:r>
            <w:r>
              <w:rPr>
                <w:rFonts w:ascii="Times New Roman" w:hAnsi="Times New Roman" w:eastAsia="Times New Roman" w:cs="Times New Roman"/>
                <w:color w:val="auto"/>
                <w:sz w:val="18"/>
                <w:szCs w:val="18"/>
              </w:rPr>
              <w:t xml:space="preserve">20 </w:t>
            </w:r>
            <w:r>
              <w:rPr>
                <w:rFonts w:ascii="Times New Roman" w:hAnsi="Times New Roman" w:eastAsia="Times New Roman" w:cs="Times New Roman"/>
                <w:color w:val="auto"/>
                <w:sz w:val="18"/>
                <w:szCs w:val="18"/>
                <w:lang w:val="en-US" w:eastAsia="zh-CN" w:bidi="en-US"/>
              </w:rPr>
              <w:t>m</w:t>
            </w:r>
            <w:r>
              <w:rPr>
                <w:rFonts w:ascii="Times New Roman" w:cs="Times New Roman"/>
                <w:color w:val="auto"/>
                <w:sz w:val="18"/>
                <w:szCs w:val="18"/>
              </w:rPr>
              <w:t>的短坡除外），观光列车的行驶线路中，最大坡度不得大于</w:t>
            </w:r>
            <w:r>
              <w:rPr>
                <w:rFonts w:ascii="Times New Roman" w:hAnsi="Times New Roman" w:eastAsia="Times New Roman" w:cs="Times New Roman"/>
                <w:color w:val="auto"/>
                <w:sz w:val="18"/>
                <w:szCs w:val="18"/>
              </w:rPr>
              <w:t xml:space="preserve">4% </w:t>
            </w:r>
            <w:r>
              <w:rPr>
                <w:rFonts w:ascii="Times New Roman" w:cs="Times New Roman"/>
                <w:color w:val="auto"/>
                <w:sz w:val="18"/>
                <w:szCs w:val="18"/>
              </w:rPr>
              <w:t>（坡长小于</w:t>
            </w:r>
            <w:r>
              <w:rPr>
                <w:rFonts w:ascii="Times New Roman" w:hAnsi="Times New Roman" w:eastAsia="Times New Roman" w:cs="Times New Roman"/>
                <w:color w:val="auto"/>
                <w:sz w:val="18"/>
                <w:szCs w:val="18"/>
              </w:rPr>
              <w:t xml:space="preserve">20 </w:t>
            </w:r>
            <w:r>
              <w:rPr>
                <w:rFonts w:ascii="Times New Roman" w:hAnsi="Times New Roman" w:eastAsia="Times New Roman" w:cs="Times New Roman"/>
                <w:color w:val="auto"/>
                <w:sz w:val="18"/>
                <w:szCs w:val="18"/>
                <w:lang w:val="en-US" w:eastAsia="zh-CN" w:bidi="en-US"/>
              </w:rPr>
              <w:t>m</w:t>
            </w:r>
            <w:r>
              <w:rPr>
                <w:rFonts w:ascii="Times New Roman" w:cs="Times New Roman"/>
                <w:color w:val="auto"/>
                <w:sz w:val="18"/>
                <w:szCs w:val="18"/>
              </w:rPr>
              <w:t>的短坡除外）；</w:t>
            </w:r>
          </w:p>
          <w:p>
            <w:pPr>
              <w:pStyle w:val="15"/>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场车如果在《道路交通安全法》规定的道路上行驶，应当遵守公安交通管理部门的相关规定；</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因气候变化原因，使用单位可以采取遮风挡雨等措施，但是不得改变观光车辆非封闭的要求。</w:t>
            </w:r>
          </w:p>
        </w:tc>
      </w:tr>
      <w:tr>
        <w:trPr>
          <w:trHeight w:val="571" w:hRule="atLeas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观光车辆的行使线路图</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val="zh-CN" w:eastAsia="zh-CN" w:bidi="zh-CN"/>
              </w:rPr>
              <w:t>少一次</w:t>
            </w:r>
          </w:p>
        </w:tc>
        <w:tc>
          <w:tcPr>
            <w:tcW w:w="1014" w:type="dxa"/>
            <w:vMerge w:val="continue"/>
            <w:shd w:val="clear" w:color="auto" w:fill="FFFFFF"/>
            <w:noWrap w:val="0"/>
            <w:vAlign w:val="center"/>
          </w:tcPr>
          <w:p>
            <w:pPr>
              <w:pStyle w:val="15"/>
              <w:snapToGrid w:val="0"/>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3.1.3</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对观光车辆行驶线路的安全负责。使用单位应当制定车辆运营时的行驶线路图，并且按照线路图在行驶线路上设置醒目的行驶线路标志，明确行驶速度等安全要求。观光车辆的行驶线路图，应当在乘客固定的上下车位置明确标识。</w:t>
            </w:r>
          </w:p>
        </w:tc>
      </w:tr>
      <w:tr>
        <w:trPr>
          <w:trHeight w:val="2188"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日常维护保养和检查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每年至</w:t>
            </w:r>
          </w:p>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少一次</w:t>
            </w:r>
          </w:p>
        </w:tc>
        <w:tc>
          <w:tcPr>
            <w:tcW w:w="1014"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3.2</w:t>
            </w:r>
          </w:p>
        </w:tc>
        <w:tc>
          <w:tcPr>
            <w:tcW w:w="9805" w:type="dxa"/>
            <w:shd w:val="clear" w:color="auto" w:fill="FFFFFF"/>
            <w:noWrap w:val="0"/>
            <w:vAlign w:val="center"/>
          </w:tcPr>
          <w:p>
            <w:pPr>
              <w:pStyle w:val="15"/>
              <w:numPr>
                <w:ilvl w:val="0"/>
                <w:numId w:val="57"/>
              </w:numPr>
              <w:tabs>
                <w:tab w:val="left" w:pos="322"/>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使用单位应当对在用场车至少每月进行一次日常维护保养和自行检查，每年进行一次全面检查，保持场车的正常使用状态；日常维护保养和自行检查、全面检查应当按照有关安全技术规范和产品使用维护保养说明的要求进行，发现异常情况，应当及时处理，并且记录，记录存入安全技术档案；日常维护保养、自行检查和全面检查记录至少保存</w:t>
            </w:r>
            <w:r>
              <w:rPr>
                <w:rFonts w:ascii="Times New Roman" w:hAnsi="Times New Roman" w:eastAsia="Times New Roman" w:cs="Times New Roman"/>
                <w:color w:val="auto"/>
                <w:sz w:val="18"/>
                <w:szCs w:val="18"/>
              </w:rPr>
              <w:t>5</w:t>
            </w:r>
            <w:r>
              <w:rPr>
                <w:rFonts w:ascii="Times New Roman" w:cs="Times New Roman"/>
                <w:color w:val="auto"/>
                <w:sz w:val="18"/>
                <w:szCs w:val="18"/>
              </w:rPr>
              <w:t>年；</w:t>
            </w:r>
          </w:p>
          <w:p>
            <w:pPr>
              <w:pStyle w:val="15"/>
              <w:numPr>
                <w:ilvl w:val="0"/>
                <w:numId w:val="57"/>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场车在每日投入使用前，使用单位应当按照使用维护保养说明进行试运行检查，并且记录；在使用过程中，使用单位应当加强对车的巡检，并且记录；</w:t>
            </w:r>
          </w:p>
          <w:p>
            <w:pPr>
              <w:pStyle w:val="15"/>
              <w:numPr>
                <w:ilvl w:val="0"/>
                <w:numId w:val="57"/>
              </w:numPr>
              <w:tabs>
                <w:tab w:val="left" w:pos="331"/>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场车出现故障或者发生异常情况，使用单位应当停止使用，对其进行全面检查，消除事故隐患，并且记录，记录存入安全技术档案；</w:t>
            </w:r>
          </w:p>
          <w:p>
            <w:pPr>
              <w:pStyle w:val="15"/>
              <w:numPr>
                <w:ilvl w:val="0"/>
                <w:numId w:val="57"/>
              </w:numPr>
              <w:tabs>
                <w:tab w:val="left" w:pos="326"/>
              </w:tabs>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场车的日常维护保养、自行检查由使用单位的场车作业人员实施，全面检查由使用单位的场车安全管理人员负责组织实施，或者委托其他专业机构实施</w:t>
            </w:r>
            <w:r>
              <w:rPr>
                <w:rFonts w:ascii="Times New Roman" w:hAnsi="Times New Roman" w:cs="Times New Roman"/>
                <w:color w:val="auto"/>
                <w:sz w:val="18"/>
                <w:szCs w:val="18"/>
              </w:rPr>
              <w:t>;</w:t>
            </w:r>
            <w:r>
              <w:rPr>
                <w:rFonts w:ascii="Times New Roman" w:cs="Times New Roman"/>
                <w:color w:val="auto"/>
                <w:sz w:val="18"/>
                <w:szCs w:val="18"/>
              </w:rPr>
              <w:t>如果委托其他专业机构进行，应当签订相应合同，明确责任。</w:t>
            </w:r>
          </w:p>
        </w:tc>
      </w:tr>
      <w:tr>
        <w:trPr>
          <w:trHeight w:val="561"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rPr>
              <w:t xml:space="preserve"> </w:t>
            </w:r>
            <w:r>
              <w:rPr>
                <w:rFonts w:ascii="Times New Roman" w:cs="Times New Roman"/>
                <w:color w:val="auto"/>
                <w:sz w:val="18"/>
                <w:szCs w:val="18"/>
              </w:rPr>
              <w:t>日常检查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ind w:firstLine="180" w:firstLineChars="100"/>
              <w:rPr>
                <w:rFonts w:ascii="Times New Roman" w:hAnsi="Times New Roman" w:cs="Times New Roman"/>
                <w:color w:val="auto"/>
                <w:sz w:val="18"/>
                <w:szCs w:val="18"/>
                <w:lang w:eastAsia="zh-CN"/>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rPr>
              <w:t>每日（班）</w:t>
            </w:r>
          </w:p>
        </w:tc>
        <w:tc>
          <w:tcPr>
            <w:tcW w:w="1014" w:type="dxa"/>
            <w:vMerge w:val="continue"/>
            <w:shd w:val="clear" w:color="auto" w:fill="FFFFFF"/>
            <w:noWrap w:val="0"/>
            <w:vAlign w:val="center"/>
          </w:tcPr>
          <w:p>
            <w:pPr>
              <w:pStyle w:val="15"/>
              <w:snapToGrid w:val="0"/>
              <w:spacing w:line="240" w:lineRule="auto"/>
              <w:rPr>
                <w:rFonts w:ascii="Times New Roman" w:hAnsi="Times New Roman" w:eastAsia="Times New Roman" w:cs="Times New Roman"/>
                <w:color w:val="auto"/>
                <w:sz w:val="18"/>
                <w:szCs w:val="18"/>
                <w:lang w:val="en-US" w:eastAsia="zh-CN" w:bidi="en-US"/>
              </w:rPr>
            </w:pP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3.2.1</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rPr>
              <w:t>按照使用维护保养说明的要求进行。</w:t>
            </w:r>
          </w:p>
        </w:tc>
      </w:tr>
      <w:tr>
        <w:trPr>
          <w:trHeight w:val="744" w:hRule="exact"/>
          <w:jc w:val="center"/>
        </w:trPr>
        <w:tc>
          <w:tcPr>
            <w:tcW w:w="1004" w:type="dxa"/>
            <w:shd w:val="clear" w:color="auto" w:fill="FFFFFF"/>
            <w:noWrap w:val="0"/>
            <w:vAlign w:val="center"/>
          </w:tcPr>
          <w:p>
            <w:pPr>
              <w:pStyle w:val="15"/>
              <w:snapToGrid w:val="0"/>
              <w:spacing w:line="240" w:lineRule="auto"/>
              <w:ind w:firstLine="180" w:firstLineChars="100"/>
              <w:rPr>
                <w:rFonts w:ascii="Times New Roman" w:hAnsi="Times New Roman" w:cs="Times New Roman"/>
                <w:color w:val="auto"/>
                <w:sz w:val="18"/>
                <w:szCs w:val="18"/>
              </w:rPr>
            </w:pPr>
            <w:r>
              <w:rPr>
                <w:rFonts w:ascii="Times New Roman" w:cs="Times New Roman"/>
                <w:color w:val="auto"/>
                <w:sz w:val="18"/>
                <w:szCs w:val="18"/>
              </w:rPr>
              <w:t>自行检查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ind w:firstLine="180" w:firstLineChars="100"/>
              <w:rPr>
                <w:rFonts w:ascii="Times New Roman" w:hAnsi="Times New Roman" w:cs="Times New Roman"/>
                <w:color w:val="auto"/>
                <w:sz w:val="18"/>
                <w:szCs w:val="18"/>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每月一次</w:t>
            </w:r>
          </w:p>
        </w:tc>
        <w:tc>
          <w:tcPr>
            <w:tcW w:w="1014" w:type="dxa"/>
            <w:vMerge w:val="restart"/>
            <w:shd w:val="clear" w:color="auto" w:fill="FFFFFF"/>
            <w:noWrap w:val="0"/>
            <w:vAlign w:val="center"/>
          </w:tcPr>
          <w:p>
            <w:pPr>
              <w:pStyle w:val="15"/>
              <w:snapToGrid w:val="0"/>
              <w:rPr>
                <w:rFonts w:ascii="Times New Roman" w:hAnsi="Times New Roman" w:cs="Times New Roman"/>
                <w:color w:val="auto"/>
                <w:sz w:val="18"/>
                <w:szCs w:val="18"/>
              </w:rPr>
            </w:pPr>
            <w:r>
              <w:rPr>
                <w:rFonts w:ascii="Times New Roman" w:cs="Times New Roman"/>
                <w:color w:val="auto"/>
                <w:sz w:val="18"/>
                <w:szCs w:val="18"/>
              </w:rPr>
              <w:t>场</w:t>
            </w:r>
            <w:r>
              <w:rPr>
                <w:rFonts w:ascii="Times New Roman" w:hAnsi="Times New Roman" w:cs="Times New Roman"/>
                <w:color w:val="auto"/>
                <w:sz w:val="18"/>
                <w:szCs w:val="18"/>
              </w:rPr>
              <w:t>(</w:t>
            </w:r>
            <w:r>
              <w:rPr>
                <w:rFonts w:ascii="Times New Roman" w:cs="Times New Roman"/>
                <w:color w:val="auto"/>
                <w:sz w:val="18"/>
                <w:szCs w:val="18"/>
              </w:rPr>
              <w:t>厂</w:t>
            </w:r>
            <w:r>
              <w:rPr>
                <w:rFonts w:ascii="Times New Roman" w:hAnsi="Times New Roman" w:cs="Times New Roman"/>
                <w:color w:val="auto"/>
                <w:sz w:val="18"/>
                <w:szCs w:val="18"/>
              </w:rPr>
              <w:t>)</w:t>
            </w:r>
            <w:r>
              <w:rPr>
                <w:rFonts w:ascii="Times New Roman" w:cs="Times New Roman"/>
                <w:color w:val="auto"/>
                <w:sz w:val="18"/>
                <w:szCs w:val="18"/>
              </w:rPr>
              <w:t>内专用机动车辆安全技术监察规程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p>
        </w:tc>
        <w:tc>
          <w:tcPr>
            <w:tcW w:w="993"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在用场（厂）内专用机动车辆的自行检查，至少包括整车工作性能、动力系统、转向系统、起升系统、液压系统、制动功能、安全保护和防护装置、防止货叉脱出的限位装置（如定位锁）、载荷搬运装置、车轮</w:t>
            </w:r>
            <w:r>
              <w:rPr>
                <w:rFonts w:ascii="Times New Roman" w:hAnsi="Times New Roman" w:cs="Times New Roman"/>
                <w:color w:val="auto"/>
                <w:sz w:val="18"/>
                <w:szCs w:val="18"/>
              </w:rPr>
              <w:t xml:space="preserve"> </w:t>
            </w:r>
            <w:r>
              <w:rPr>
                <w:rFonts w:ascii="Times New Roman" w:cs="Times New Roman"/>
                <w:color w:val="auto"/>
                <w:sz w:val="18"/>
                <w:szCs w:val="18"/>
              </w:rPr>
              <w:t>紧固件、充气轮胎的气压、警示装置、灯光、仪表显示等以及</w:t>
            </w:r>
            <w:r>
              <w:rPr>
                <w:rFonts w:ascii="Times New Roman" w:hAnsi="Times New Roman" w:eastAsia="Times New Roman" w:cs="Times New Roman"/>
                <w:color w:val="auto"/>
                <w:sz w:val="18"/>
                <w:szCs w:val="18"/>
                <w:lang w:val="en-US" w:eastAsia="zh-CN" w:bidi="en-US"/>
              </w:rPr>
              <w:t>TSG N0001-2017</w:t>
            </w:r>
            <w:r>
              <w:rPr>
                <w:rFonts w:asci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B</w:t>
            </w:r>
            <w:r>
              <w:rPr>
                <w:rFonts w:ascii="Times New Roman" w:cs="Times New Roman"/>
                <w:color w:val="auto"/>
                <w:sz w:val="18"/>
                <w:szCs w:val="18"/>
                <w:lang w:val="en-US" w:eastAsia="zh-CN" w:bidi="en-US"/>
              </w:rPr>
              <w:t>、</w:t>
            </w:r>
            <w:r>
              <w:rPr>
                <w:rFonts w:asci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C</w:t>
            </w:r>
            <w:r>
              <w:rPr>
                <w:rFonts w:ascii="Times New Roman" w:cs="Times New Roman"/>
                <w:color w:val="auto"/>
                <w:sz w:val="18"/>
                <w:szCs w:val="18"/>
              </w:rPr>
              <w:t>中定</w:t>
            </w:r>
            <w:r>
              <w:rPr>
                <w:rFonts w:ascii="Times New Roman" w:hAnsi="Times New Roman" w:cs="Times New Roman"/>
                <w:color w:val="auto"/>
                <w:sz w:val="18"/>
                <w:szCs w:val="18"/>
              </w:rPr>
              <w:t xml:space="preserve"> </w:t>
            </w:r>
            <w:r>
              <w:rPr>
                <w:rFonts w:ascii="Times New Roman" w:cs="Times New Roman"/>
                <w:color w:val="auto"/>
                <w:sz w:val="18"/>
                <w:szCs w:val="18"/>
              </w:rPr>
              <w:t>期（首次）检验的项目。</w:t>
            </w:r>
          </w:p>
        </w:tc>
      </w:tr>
      <w:tr>
        <w:trPr>
          <w:trHeight w:val="572"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日常维护保养</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ind w:firstLine="180" w:firstLineChars="100"/>
              <w:rPr>
                <w:rFonts w:ascii="Times New Roman" w:hAnsi="Times New Roman" w:cs="Times New Roman"/>
                <w:color w:val="auto"/>
                <w:sz w:val="18"/>
                <w:szCs w:val="18"/>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每月一次</w:t>
            </w:r>
          </w:p>
        </w:tc>
        <w:tc>
          <w:tcPr>
            <w:tcW w:w="1014"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在用场（厂）内专用机动车辆的日常维护保养，至少包括主要受力结构件、安全保护装置、工作机构、操纵机构、电气（液压、气动）控制系统等的清洁、润滑、检查、调整、更换易损件和失效的零部件。</w:t>
            </w:r>
          </w:p>
        </w:tc>
      </w:tr>
      <w:tr>
        <w:trPr>
          <w:trHeight w:val="991"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全面检查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w:t>
            </w:r>
            <w:r>
              <w:rPr>
                <w:rFonts w:ascii="Times New Roman" w:hAnsi="Times New Roman" w:cs="Times New Roman"/>
                <w:color w:val="auto"/>
                <w:sz w:val="18"/>
                <w:szCs w:val="18"/>
              </w:rPr>
              <w:t xml:space="preserve"> </w:t>
            </w:r>
            <w:r>
              <w:rPr>
                <w:rFonts w:ascii="Times New Roman" w:cs="Times New Roman"/>
                <w:color w:val="auto"/>
                <w:sz w:val="18"/>
                <w:szCs w:val="18"/>
              </w:rPr>
              <w:t>备管理</w:t>
            </w:r>
            <w:r>
              <w:rPr>
                <w:rFonts w:ascii="Times New Roman" w:hAnsi="Times New Roman" w:cs="Times New Roman"/>
                <w:color w:val="auto"/>
                <w:sz w:val="18"/>
                <w:szCs w:val="18"/>
              </w:rPr>
              <w:t xml:space="preserve"> </w:t>
            </w:r>
            <w:r>
              <w:rPr>
                <w:rFonts w:ascii="Times New Roman" w:cs="Times New Roman"/>
                <w:color w:val="auto"/>
                <w:sz w:val="18"/>
                <w:szCs w:val="18"/>
              </w:rPr>
              <w:t>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每年一次</w:t>
            </w:r>
          </w:p>
        </w:tc>
        <w:tc>
          <w:tcPr>
            <w:tcW w:w="1014"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在用场（厂）内专用机动车辆的全面检查，除包括前项要求的自行检查的内容外，还应当包括主要受力结构件的变形、裂纹、腐蚀，以及其焊缝、節钉、螺栓等的连接，主要零部件的变形、裂纹、磨损，指示装置的可靠性和精度，电气和控制系统功能的检查，必要时还需要进行相关的载荷试验。</w:t>
            </w:r>
          </w:p>
        </w:tc>
      </w:tr>
      <w:tr>
        <w:trPr>
          <w:trHeight w:val="991"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定期（含首次</w:t>
            </w:r>
            <w:r>
              <w:rPr>
                <w:rFonts w:ascii="Times New Roman" w:hAnsi="Times New Roman" w:cs="Times New Roman"/>
                <w:color w:val="auto"/>
                <w:sz w:val="18"/>
                <w:szCs w:val="18"/>
                <w:lang w:val="en-US" w:eastAsia="zh-CN"/>
              </w:rPr>
              <w:t>)</w:t>
            </w:r>
            <w:r>
              <w:rPr>
                <w:rFonts w:ascii="Times New Roman" w:cs="Times New Roman"/>
                <w:color w:val="auto"/>
                <w:sz w:val="18"/>
                <w:szCs w:val="18"/>
              </w:rPr>
              <w:t>检验</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检验</w:t>
            </w:r>
          </w:p>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lang w:eastAsia="zh-CN"/>
              </w:rPr>
              <w:t>机构</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有资质</w:t>
            </w:r>
            <w:r>
              <w:rPr>
                <w:rFonts w:ascii="Times New Roman" w:hAnsi="Times New Roman" w:cs="Times New Roman"/>
                <w:color w:val="auto"/>
                <w:sz w:val="18"/>
                <w:szCs w:val="18"/>
              </w:rPr>
              <w:t xml:space="preserve"> </w:t>
            </w:r>
            <w:r>
              <w:rPr>
                <w:rFonts w:ascii="Times New Roman" w:cs="Times New Roman"/>
                <w:color w:val="auto"/>
                <w:sz w:val="18"/>
                <w:szCs w:val="18"/>
              </w:rPr>
              <w:t>检验人员</w:t>
            </w:r>
          </w:p>
        </w:tc>
        <w:tc>
          <w:tcPr>
            <w:tcW w:w="750" w:type="dxa"/>
            <w:shd w:val="clear" w:color="auto" w:fill="FFFFFF"/>
            <w:noWrap w:val="0"/>
            <w:vAlign w:val="center"/>
          </w:tcPr>
          <w:p>
            <w:pPr>
              <w:pStyle w:val="15"/>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每年一次</w:t>
            </w:r>
          </w:p>
        </w:tc>
        <w:tc>
          <w:tcPr>
            <w:tcW w:w="1014" w:type="dxa"/>
            <w:vMerge w:val="continue"/>
            <w:shd w:val="clear" w:color="auto" w:fill="FFFFFF"/>
            <w:noWrap w:val="0"/>
            <w:vAlign w:val="center"/>
          </w:tcPr>
          <w:p>
            <w:pPr>
              <w:pStyle w:val="15"/>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4.4</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首次检验，是指在场车使用单位进行自行检查合格的基础上，由特种设备检验机构在场车首次投入使用前或者改造后进行的检验。</w:t>
            </w:r>
          </w:p>
          <w:p>
            <w:pPr>
              <w:pStyle w:val="15"/>
              <w:snapToGrid w:val="0"/>
              <w:spacing w:line="240" w:lineRule="auto"/>
              <w:jc w:val="both"/>
              <w:rPr>
                <w:rFonts w:ascii="Times New Roman" w:hAnsi="Times New Roman" w:cs="Times New Roman"/>
                <w:color w:val="auto"/>
                <w:sz w:val="18"/>
                <w:szCs w:val="18"/>
              </w:rPr>
            </w:pPr>
            <w:r>
              <w:rPr>
                <w:rFonts w:ascii="Times New Roman" w:cs="Times New Roman"/>
                <w:color w:val="auto"/>
                <w:sz w:val="18"/>
                <w:szCs w:val="18"/>
              </w:rPr>
              <w:t>定期检验，是指在场车使用单位进行经常性维护保养和自行检查合格的基础上，特种设备检验机构对纳入使用登记的在用场车按照规定周期（每年</w:t>
            </w:r>
            <w:r>
              <w:rPr>
                <w:rFonts w:ascii="Times New Roman" w:hAnsi="Times New Roman" w:eastAsia="Times New Roman" w:cs="Times New Roman"/>
                <w:color w:val="auto"/>
                <w:sz w:val="18"/>
                <w:szCs w:val="18"/>
              </w:rPr>
              <w:t>1</w:t>
            </w:r>
            <w:r>
              <w:rPr>
                <w:rFonts w:ascii="Times New Roman" w:cs="Times New Roman"/>
                <w:color w:val="auto"/>
                <w:sz w:val="18"/>
                <w:szCs w:val="18"/>
              </w:rPr>
              <w:t>次）进行的检验。</w:t>
            </w:r>
          </w:p>
        </w:tc>
      </w:tr>
      <w:tr>
        <w:trPr>
          <w:trHeight w:val="553" w:hRule="exact"/>
          <w:jc w:val="center"/>
        </w:trPr>
        <w:tc>
          <w:tcPr>
            <w:tcW w:w="1004"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日常巡查</w:t>
            </w:r>
          </w:p>
        </w:tc>
        <w:tc>
          <w:tcPr>
            <w:tcW w:w="659"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使用</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单位</w:t>
            </w:r>
          </w:p>
        </w:tc>
        <w:tc>
          <w:tcPr>
            <w:tcW w:w="738"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作业</w:t>
            </w:r>
          </w:p>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人员</w:t>
            </w:r>
          </w:p>
        </w:tc>
        <w:tc>
          <w:tcPr>
            <w:tcW w:w="750"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lang w:eastAsia="zh-CN"/>
              </w:rPr>
              <w:t>每日一次</w:t>
            </w:r>
          </w:p>
        </w:tc>
        <w:tc>
          <w:tcPr>
            <w:tcW w:w="1014" w:type="dxa"/>
            <w:shd w:val="clear" w:color="auto" w:fill="FFFFFF"/>
            <w:noWrap w:val="0"/>
            <w:vAlign w:val="center"/>
          </w:tcPr>
          <w:p>
            <w:pPr>
              <w:pStyle w:val="15"/>
              <w:snapToGrid w:val="0"/>
              <w:spacing w:line="240" w:lineRule="auto"/>
              <w:jc w:val="center"/>
              <w:rPr>
                <w:rFonts w:ascii="Times New Roman" w:hAnsi="Times New Roman" w:eastAsia="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w:t>
            </w:r>
          </w:p>
        </w:tc>
        <w:tc>
          <w:tcPr>
            <w:tcW w:w="993" w:type="dxa"/>
            <w:shd w:val="clear" w:color="auto" w:fill="FFFFFF"/>
            <w:noWrap w:val="0"/>
            <w:vAlign w:val="center"/>
          </w:tcPr>
          <w:p>
            <w:pPr>
              <w:pStyle w:val="15"/>
              <w:snapToGrid w:val="0"/>
              <w:spacing w:line="240" w:lineRule="auto"/>
              <w:jc w:val="center"/>
              <w:rPr>
                <w:rFonts w:ascii="Times New Roman" w:hAnsi="Times New Roman" w:cs="Times New Roman"/>
                <w:color w:val="auto"/>
                <w:sz w:val="18"/>
                <w:szCs w:val="18"/>
                <w:lang w:val="en-US" w:eastAsia="zh-CN"/>
              </w:rPr>
            </w:pPr>
            <w:r>
              <w:rPr>
                <w:rFonts w:ascii="Times New Roman" w:cs="Times New Roman"/>
                <w:color w:val="auto"/>
                <w:sz w:val="18"/>
                <w:szCs w:val="18"/>
                <w:lang w:val="en-US" w:eastAsia="zh-CN"/>
              </w:rPr>
              <w:t>附录</w:t>
            </w:r>
            <w:r>
              <w:rPr>
                <w:rFonts w:ascii="Times New Roman" w:hAnsi="Times New Roman" w:cs="Times New Roman"/>
                <w:color w:val="auto"/>
                <w:sz w:val="18"/>
                <w:szCs w:val="18"/>
                <w:lang w:val="en-US" w:eastAsia="zh-CN"/>
              </w:rPr>
              <w:t>A</w:t>
            </w:r>
          </w:p>
        </w:tc>
        <w:tc>
          <w:tcPr>
            <w:tcW w:w="9805" w:type="dxa"/>
            <w:shd w:val="clear" w:color="auto" w:fill="FFFFFF"/>
            <w:noWrap w:val="0"/>
            <w:vAlign w:val="center"/>
          </w:tcPr>
          <w:p>
            <w:pPr>
              <w:pStyle w:val="15"/>
              <w:snapToGrid w:val="0"/>
              <w:spacing w:line="240" w:lineRule="auto"/>
              <w:jc w:val="both"/>
              <w:rPr>
                <w:rFonts w:ascii="Times New Roman" w:hAnsi="Times New Roman" w:cs="Times New Roman"/>
                <w:color w:val="auto"/>
                <w:sz w:val="18"/>
                <w:szCs w:val="18"/>
                <w:lang w:eastAsia="zh-CN"/>
              </w:rPr>
            </w:pPr>
            <w:r>
              <w:rPr>
                <w:rFonts w:ascii="Times New Roman" w:cs="Times New Roman"/>
                <w:color w:val="auto"/>
                <w:sz w:val="18"/>
                <w:szCs w:val="18"/>
                <w:lang w:eastAsia="zh-CN"/>
              </w:rPr>
              <w:t>见附表</w:t>
            </w:r>
          </w:p>
        </w:tc>
      </w:tr>
    </w:tbl>
    <w:p>
      <w:pPr>
        <w:pStyle w:val="14"/>
        <w:snapToGrid w:val="0"/>
        <w:spacing w:line="240" w:lineRule="auto"/>
        <w:jc w:val="center"/>
        <w:rPr>
          <w:rFonts w:ascii="Times New Roman" w:hAnsi="Times New Roman" w:cs="Times New Roman"/>
          <w:color w:val="auto"/>
          <w:sz w:val="18"/>
          <w:szCs w:val="18"/>
          <w:lang w:eastAsia="zh-CN"/>
        </w:rPr>
        <w:sectPr>
          <w:headerReference r:id="rId44" w:type="first"/>
          <w:footerReference r:id="rId47" w:type="first"/>
          <w:headerReference r:id="rId42" w:type="default"/>
          <w:footerReference r:id="rId45" w:type="default"/>
          <w:headerReference r:id="rId43" w:type="even"/>
          <w:footerReference r:id="rId46" w:type="even"/>
          <w:pgSz w:w="16840" w:h="11900" w:orient="landscape"/>
          <w:pgMar w:top="1134" w:right="1134" w:bottom="1134" w:left="1134" w:header="0" w:footer="3" w:gutter="0"/>
          <w:cols w:space="720" w:num="1"/>
          <w:titlePg/>
          <w:docGrid w:linePitch="360" w:charSpace="0"/>
        </w:sectPr>
      </w:pPr>
    </w:p>
    <w:p>
      <w:pPr>
        <w:pStyle w:val="14"/>
        <w:snapToGrid w:val="0"/>
        <w:spacing w:line="240" w:lineRule="auto"/>
        <w:jc w:val="center"/>
        <w:rPr>
          <w:rFonts w:ascii="Times New Roman" w:hAnsi="Times New Roman" w:eastAsia="黑体" w:cs="Times New Roman"/>
          <w:b/>
          <w:color w:val="auto"/>
          <w:kern w:val="2"/>
          <w:sz w:val="21"/>
          <w:szCs w:val="21"/>
          <w:lang w:val="en-US" w:eastAsia="zh-CN" w:bidi="ar-SA"/>
        </w:rPr>
      </w:pPr>
      <w:r>
        <w:rPr>
          <w:rFonts w:ascii="Times New Roman" w:hAnsi="黑体" w:eastAsia="黑体" w:cs="Times New Roman"/>
          <w:b/>
          <w:color w:val="auto"/>
          <w:kern w:val="2"/>
          <w:sz w:val="21"/>
          <w:szCs w:val="21"/>
          <w:lang w:val="en-US" w:eastAsia="zh-CN" w:bidi="ar-SA"/>
        </w:rPr>
        <w:t>附表</w:t>
      </w:r>
      <w:r>
        <w:rPr>
          <w:rFonts w:ascii="Times New Roman" w:hAnsi="Times New Roman" w:eastAsia="黑体" w:cs="Times New Roman"/>
          <w:b/>
          <w:color w:val="auto"/>
          <w:kern w:val="2"/>
          <w:sz w:val="21"/>
          <w:szCs w:val="21"/>
          <w:lang w:val="en-US" w:eastAsia="zh-CN" w:bidi="ar-SA"/>
        </w:rPr>
        <w:t xml:space="preserve">1  </w:t>
      </w:r>
      <w:r>
        <w:rPr>
          <w:rFonts w:ascii="Times New Roman" w:hAnsi="黑体" w:eastAsia="黑体" w:cs="Times New Roman"/>
          <w:b/>
          <w:color w:val="auto"/>
          <w:kern w:val="2"/>
          <w:sz w:val="21"/>
          <w:szCs w:val="21"/>
          <w:lang w:val="en-US" w:eastAsia="zh-CN" w:bidi="ar-SA"/>
        </w:rPr>
        <w:t>场（厂）内专用机动车辆日常巡查内容</w:t>
      </w:r>
    </w:p>
    <w:tbl>
      <w:tblPr>
        <w:tblStyle w:val="8"/>
        <w:tblW w:w="0" w:type="auto"/>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82"/>
        <w:gridCol w:w="709"/>
        <w:gridCol w:w="8354"/>
      </w:tblGrid>
      <w:tr>
        <w:trPr>
          <w:trHeight w:val="330" w:hRule="exact"/>
        </w:trPr>
        <w:tc>
          <w:tcPr>
            <w:tcW w:w="582" w:type="dxa"/>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序号</w:t>
            </w:r>
          </w:p>
        </w:tc>
        <w:tc>
          <w:tcPr>
            <w:tcW w:w="9063" w:type="dxa"/>
            <w:gridSpan w:val="2"/>
            <w:shd w:val="clear" w:color="auto" w:fill="FFFFFF"/>
            <w:noWrap w:val="0"/>
            <w:vAlign w:val="center"/>
          </w:tcPr>
          <w:p>
            <w:pPr>
              <w:pStyle w:val="5"/>
              <w:adjustRightInd w:val="0"/>
              <w:snapToGrid w:val="0"/>
              <w:jc w:val="center"/>
              <w:rPr>
                <w:rFonts w:ascii="Times New Roman" w:hAnsi="Times New Roman" w:eastAsia="黑体"/>
                <w:b/>
                <w:color w:val="auto"/>
                <w:kern w:val="0"/>
                <w:sz w:val="18"/>
                <w:lang w:val="en-US" w:eastAsia="zh-CN"/>
              </w:rPr>
            </w:pPr>
            <w:r>
              <w:rPr>
                <w:rFonts w:ascii="Times New Roman" w:hAnsi="Times New Roman" w:eastAsia="黑体"/>
                <w:b/>
                <w:color w:val="auto"/>
                <w:kern w:val="0"/>
                <w:sz w:val="18"/>
                <w:lang w:val="en-US" w:eastAsia="zh-CN"/>
              </w:rPr>
              <w:t>巡查项目</w:t>
            </w:r>
          </w:p>
        </w:tc>
      </w:tr>
      <w:tr>
        <w:trPr>
          <w:trHeight w:val="973"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技术</w:t>
            </w:r>
          </w:p>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资料</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上周期检验报告、使用记录（包括至少每月进行一次日常维护保养和自行检查记录、每年一次全面检查记录、使用前记录、故障记录等）和自检报告保存完好，悬挂好国家统一制定的牌照。</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修理设备还需保存修理单位的许可证、修理单位出具的自检报告等。制定安全操作规程，包括系安全带、转弯减速、下坡减速和超高限速等要求</w:t>
            </w:r>
          </w:p>
        </w:tc>
      </w:tr>
      <w:tr>
        <w:trPr>
          <w:trHeight w:val="318"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2</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结构</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叉车结构型式没有发生变化</w:t>
            </w:r>
          </w:p>
        </w:tc>
      </w:tr>
      <w:tr>
        <w:trPr>
          <w:trHeight w:val="498"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3</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参数</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主要参数未发生变化：能起升额定起重量，且主要受力结构无明显变形、裂纹、腐蚀，及焊缝、铆钉、螺栓连接完好等</w:t>
            </w:r>
          </w:p>
        </w:tc>
      </w:tr>
      <w:tr>
        <w:trPr>
          <w:trHeight w:val="634"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4</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整车外观检查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发动机、车架易见部位应具有永久清晰字样的编号。叉车应车容整洁，各零部件完好，连接紧固，无缺损。</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气压、机油压力、水温、燃油量、电压等仪表完好</w:t>
            </w:r>
          </w:p>
        </w:tc>
      </w:tr>
      <w:tr>
        <w:trPr>
          <w:trHeight w:val="990"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5</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铭牌</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铭牌置于场车的显著位置。</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铭牌信息齐全。同时注明“本车仅限在工厂厂区、旅游景区、游乐场所使用”。</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改造后的铭牌，相关变化的信息应齐全。</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安全警示标志及说明，应当置于叉车的显著位置</w:t>
            </w:r>
          </w:p>
        </w:tc>
      </w:tr>
      <w:tr>
        <w:trPr>
          <w:trHeight w:val="564"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6</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动力系统检查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发动机安装牢固可靠；性能良好，运转平稳，没有异响，正常起动、熄火；</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防止罩壳意外关闭的装置完好；内燃叉车应当选用国三标准发动机；蓄电池安全距离符合要求</w:t>
            </w:r>
          </w:p>
        </w:tc>
      </w:tr>
      <w:tr>
        <w:trPr>
          <w:trHeight w:val="732"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7</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传动系统检查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运转平稳，无松旷，行驶中无抖动、无异响，变速箱不应有脱档、串档现象。</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静压传动叉车，只有处于制动状态时才能启动发动机。</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内燃叉车，应当配备在传动装置处于接合状态时，能防止发动机启动的装置</w:t>
            </w:r>
          </w:p>
        </w:tc>
      </w:tr>
      <w:tr>
        <w:trPr>
          <w:trHeight w:val="738"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8</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行驶系统检查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车架和前后桥不得有变形、裂纹，连接应紧固；</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同一桥上的车轮装用同型号、同花纹的轮胎，充气轮胎气压满足要求；</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轮網应完整无损，螺栓、螺母应齐全紧固</w:t>
            </w:r>
          </w:p>
        </w:tc>
      </w:tr>
      <w:tr>
        <w:trPr>
          <w:trHeight w:val="702"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9</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转向与操纵系统检查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转向机构无缺油、漏油，固定托架牢固，转向垂臂、横向拉杆等转向零件无变形、裂纹;球形节、转向主销与衬套配合松紧适度，润滑良好</w:t>
            </w:r>
          </w:p>
        </w:tc>
      </w:tr>
      <w:tr>
        <w:trPr>
          <w:trHeight w:val="568"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10</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液压系统检查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系统有良好的密封性能，系统无明显漏油现象等</w:t>
            </w:r>
          </w:p>
        </w:tc>
      </w:tr>
      <w:tr>
        <w:trPr>
          <w:trHeight w:val="542"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11</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制动系统检查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具有可靠的行车、驻车制动系统，并且设置相应的制动装置。行车制动与驻车制动的控制装置相互独立（适用于座驾式叉车）。 液压式制动器，在踩下制动踏板并停留1 min，踏板没有下行现象</w:t>
            </w:r>
          </w:p>
        </w:tc>
      </w:tr>
      <w:tr>
        <w:trPr>
          <w:trHeight w:val="1003"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12</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电气和控制系统检查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叉车的启动设置开关装置，需要由钥匙、密码或者磁卡等才能启动。平衡重式叉车设置前照灯、制动灯、转向灯等照明和信号装置。 所有灯光开关安装牢固，开启、关闭自如。</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蓄电池叉车的控制系统具有欠电压、过电流、过热和过电压保护功能。蓄电池叉车设置非自动复位且能切断总控制电源的紧急断电开关</w:t>
            </w:r>
          </w:p>
        </w:tc>
      </w:tr>
      <w:tr>
        <w:trPr>
          <w:trHeight w:val="951"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13</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工作装置检查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叉车设置防止货叉意外侧向滑移和脱落的装置。 货叉没有裂纹，如发现货叉表面有裂纹，停止使用。</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货叉两叉尖高度差不超过水平段长度的3%。</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货叉水平段和垂直段的厚度没有小于原值的90%及以下。</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操纵手柄（杆）无变形，轻便灵活，工作可靠</w:t>
            </w:r>
          </w:p>
        </w:tc>
      </w:tr>
      <w:tr>
        <w:trPr>
          <w:trHeight w:val="1907"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14</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安全保护与防护装置检查</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叉车设置后视镜。</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座驾式叉车的驾驶人员位置上配备安全带等防护约束装置。</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设置下降限速装置、门架前倾自锁装置，如采用软管连接，有防止爆管装置。</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起升装置设置防止越程装置和限位器，设置车轮有防护装置。</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，如设置挡货架，挡货架上开口的两个尺寸中应有一个尺寸不大于150 mm</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起升高度大于1800mm的乘驾式叉车，设置护顶架；护顶架无裂纹，没有发生永久性的变形现象</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设置能够发出清晰声响的警示装置（如喇叭）。</w:t>
            </w:r>
          </w:p>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对步驾式叉车，舵柄配备一种防护装置</w:t>
            </w:r>
          </w:p>
        </w:tc>
      </w:tr>
      <w:tr>
        <w:trPr>
          <w:trHeight w:val="568"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15</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转向性能试验</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动力转向的叉车，作用在方向盘上的手操作力在6 N</w:t>
            </w:r>
            <w:r>
              <w:rPr>
                <w:rFonts w:ascii="Times New Roman" w:hAnsi="微软雅黑" w:eastAsia="微软雅黑"/>
                <w:color w:val="auto"/>
                <w:kern w:val="0"/>
                <w:sz w:val="18"/>
                <w:lang w:val="en-US" w:eastAsia="zh-CN"/>
              </w:rPr>
              <w:t>〜</w:t>
            </w:r>
            <w:r>
              <w:rPr>
                <w:rFonts w:ascii="Times New Roman" w:hAnsi="Times New Roman"/>
                <w:color w:val="auto"/>
                <w:kern w:val="0"/>
                <w:sz w:val="18"/>
                <w:lang w:val="en-US" w:eastAsia="zh-CN"/>
              </w:rPr>
              <w:t>20 N；左右转向作用力相差符合要求。转向系统转动灵活、操纵方便、无卡滞，具有良好的直线行驶性能，在任意转向操作时不与其他部件有干涉</w:t>
            </w:r>
          </w:p>
        </w:tc>
      </w:tr>
      <w:tr>
        <w:trPr>
          <w:trHeight w:val="612"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16</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制动性能试验</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行车制动器和驻车制动器的性能、作用力等符合相关要求。行车制动器在第一次采取制动措施时就达到最大的制动效能</w:t>
            </w:r>
          </w:p>
        </w:tc>
      </w:tr>
      <w:tr>
        <w:trPr>
          <w:trHeight w:val="421" w:hRule="exact"/>
        </w:trPr>
        <w:tc>
          <w:tcPr>
            <w:tcW w:w="582"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17</w:t>
            </w:r>
          </w:p>
        </w:tc>
        <w:tc>
          <w:tcPr>
            <w:tcW w:w="709" w:type="dxa"/>
            <w:shd w:val="clear" w:color="auto" w:fill="FFFFFF"/>
            <w:noWrap w:val="0"/>
            <w:vAlign w:val="center"/>
          </w:tcPr>
          <w:p>
            <w:pPr>
              <w:pStyle w:val="5"/>
              <w:adjustRightInd w:val="0"/>
              <w:snapToGrid w:val="0"/>
              <w:jc w:val="center"/>
              <w:rPr>
                <w:rFonts w:ascii="Times New Roman" w:hAnsi="Times New Roman"/>
                <w:color w:val="auto"/>
                <w:kern w:val="0"/>
                <w:sz w:val="18"/>
                <w:lang w:val="en-US" w:eastAsia="zh-CN"/>
              </w:rPr>
            </w:pPr>
            <w:r>
              <w:rPr>
                <w:rFonts w:ascii="Times New Roman" w:hAnsi="Times New Roman"/>
                <w:color w:val="auto"/>
                <w:kern w:val="0"/>
                <w:sz w:val="18"/>
                <w:lang w:val="en-US" w:eastAsia="zh-CN"/>
              </w:rPr>
              <w:t>其他</w:t>
            </w:r>
          </w:p>
        </w:tc>
        <w:tc>
          <w:tcPr>
            <w:tcW w:w="8354" w:type="dxa"/>
            <w:shd w:val="clear" w:color="auto" w:fill="FFFFFF"/>
            <w:noWrap w:val="0"/>
            <w:vAlign w:val="center"/>
          </w:tcPr>
          <w:p>
            <w:pPr>
              <w:pStyle w:val="5"/>
              <w:adjustRightInd w:val="0"/>
              <w:snapToGrid w:val="0"/>
              <w:rPr>
                <w:rFonts w:ascii="Times New Roman" w:hAnsi="Times New Roman"/>
                <w:color w:val="auto"/>
                <w:kern w:val="0"/>
                <w:sz w:val="18"/>
                <w:lang w:val="en-US" w:eastAsia="zh-CN"/>
              </w:rPr>
            </w:pPr>
            <w:r>
              <w:rPr>
                <w:rFonts w:ascii="Times New Roman" w:hAnsi="Times New Roman"/>
                <w:color w:val="auto"/>
                <w:kern w:val="0"/>
                <w:sz w:val="18"/>
                <w:lang w:val="en-US" w:eastAsia="zh-CN"/>
              </w:rPr>
              <w:t>主要零部件无明显变形、裂纹、腐蚀，指示装置可靠等</w:t>
            </w:r>
          </w:p>
        </w:tc>
      </w:tr>
    </w:tbl>
    <w:p>
      <w:pPr>
        <w:pStyle w:val="6"/>
        <w:rPr>
          <w:rFonts w:hint="default" w:ascii="仿宋_GB2312" w:hAnsi="宋体" w:eastAsia="仿宋_GB2312" w:cs="仿宋_GB2312"/>
          <w:color w:val="000000"/>
          <w:kern w:val="0"/>
          <w:sz w:val="18"/>
          <w:szCs w:val="18"/>
          <w:lang w:val="en-US" w:eastAsia="zh-CN" w:bidi="ar"/>
        </w:rPr>
      </w:pPr>
    </w:p>
    <w:sectPr>
      <w:footerReference r:id="rId48" w:type="default"/>
      <w:footerReference r:id="rId49" w:type="even"/>
      <w:pgSz w:w="11906" w:h="16838"/>
      <w:pgMar w:top="1588"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275798"/>
      <w:docPartObj>
        <w:docPartGallery w:val="autotext"/>
      </w:docPartObj>
    </w:sdtPr>
    <w:sdtEndPr>
      <w:rPr>
        <w:rFonts w:hint="eastAsia" w:ascii="仿宋_GB2312" w:eastAsia="仿宋_GB2312"/>
        <w:sz w:val="28"/>
        <w:szCs w:val="28"/>
      </w:rPr>
    </w:sdtEndPr>
    <w:sdtContent>
      <w:p>
        <w:pPr>
          <w:pStyle w:val="6"/>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p>
    </w:sdtContent>
  </w:sdt>
  <w:p>
    <w:pPr>
      <w:pStyle w:val="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799976"/>
      <w:docPartObj>
        <w:docPartGallery w:val="autotext"/>
      </w:docPartObj>
    </w:sdtPr>
    <w:sdtEndPr>
      <w:rPr>
        <w:rFonts w:hint="eastAsia" w:ascii="仿宋_GB2312" w:eastAsia="仿宋_GB2312"/>
        <w:sz w:val="28"/>
        <w:szCs w:val="28"/>
      </w:rPr>
    </w:sdtEndPr>
    <w:sdtContent>
      <w:p>
        <w:pPr>
          <w:pStyle w:val="6"/>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471A0"/>
    <w:multiLevelType w:val="singleLevel"/>
    <w:tmpl w:val="C1F471A0"/>
    <w:lvl w:ilvl="0" w:tentative="0">
      <w:start w:val="2"/>
      <w:numFmt w:val="decimal"/>
      <w:lvlText w:val="%1."/>
      <w:lvlJc w:val="left"/>
      <w:pPr>
        <w:tabs>
          <w:tab w:val="left" w:pos="312"/>
        </w:tabs>
      </w:pPr>
    </w:lvl>
  </w:abstractNum>
  <w:abstractNum w:abstractNumId="1">
    <w:nsid w:val="035B7BCB"/>
    <w:multiLevelType w:val="multilevel"/>
    <w:tmpl w:val="035B7BCB"/>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5A23A85"/>
    <w:multiLevelType w:val="multilevel"/>
    <w:tmpl w:val="05A23A85"/>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5AE18D9"/>
    <w:multiLevelType w:val="multilevel"/>
    <w:tmpl w:val="05AE18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1D0160"/>
    <w:multiLevelType w:val="multilevel"/>
    <w:tmpl w:val="081D0160"/>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97B6874"/>
    <w:multiLevelType w:val="multilevel"/>
    <w:tmpl w:val="097B68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9B93FD0"/>
    <w:multiLevelType w:val="multilevel"/>
    <w:tmpl w:val="09B93FD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CE8426E"/>
    <w:multiLevelType w:val="multilevel"/>
    <w:tmpl w:val="0CE842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D965C67"/>
    <w:multiLevelType w:val="multilevel"/>
    <w:tmpl w:val="0D965C67"/>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EF036FC"/>
    <w:multiLevelType w:val="multilevel"/>
    <w:tmpl w:val="0EF036FC"/>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07E6B48"/>
    <w:multiLevelType w:val="multilevel"/>
    <w:tmpl w:val="107E6B48"/>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2545FD4"/>
    <w:multiLevelType w:val="multilevel"/>
    <w:tmpl w:val="12545FD4"/>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4577D4E"/>
    <w:multiLevelType w:val="multilevel"/>
    <w:tmpl w:val="14577D4E"/>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48D0F94"/>
    <w:multiLevelType w:val="multilevel"/>
    <w:tmpl w:val="148D0F94"/>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4C27B34"/>
    <w:multiLevelType w:val="multilevel"/>
    <w:tmpl w:val="14C27B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9714685"/>
    <w:multiLevelType w:val="multilevel"/>
    <w:tmpl w:val="1971468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CCB52AD"/>
    <w:multiLevelType w:val="multilevel"/>
    <w:tmpl w:val="1CCB52AD"/>
    <w:lvl w:ilvl="0" w:tentative="0">
      <w:start w:val="5"/>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4FE647B"/>
    <w:multiLevelType w:val="multilevel"/>
    <w:tmpl w:val="24FE64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92948CF"/>
    <w:multiLevelType w:val="multilevel"/>
    <w:tmpl w:val="292948CF"/>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9DE6BE9"/>
    <w:multiLevelType w:val="multilevel"/>
    <w:tmpl w:val="29DE6BE9"/>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E1F0D03"/>
    <w:multiLevelType w:val="multilevel"/>
    <w:tmpl w:val="2E1F0D03"/>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EA766FE"/>
    <w:multiLevelType w:val="multilevel"/>
    <w:tmpl w:val="2EA766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2FBD2200"/>
    <w:multiLevelType w:val="multilevel"/>
    <w:tmpl w:val="2FBD220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3465462"/>
    <w:multiLevelType w:val="multilevel"/>
    <w:tmpl w:val="3346546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34F08CB"/>
    <w:multiLevelType w:val="multilevel"/>
    <w:tmpl w:val="334F08C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354E413B"/>
    <w:multiLevelType w:val="multilevel"/>
    <w:tmpl w:val="354E413B"/>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375E59A0"/>
    <w:multiLevelType w:val="multilevel"/>
    <w:tmpl w:val="375E59A0"/>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38723A1E"/>
    <w:multiLevelType w:val="multilevel"/>
    <w:tmpl w:val="38723A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38AC5820"/>
    <w:multiLevelType w:val="multilevel"/>
    <w:tmpl w:val="38AC58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9C873A4"/>
    <w:multiLevelType w:val="multilevel"/>
    <w:tmpl w:val="39C873A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E3700E9"/>
    <w:multiLevelType w:val="multilevel"/>
    <w:tmpl w:val="3E3700E9"/>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F9B4BFE"/>
    <w:multiLevelType w:val="multilevel"/>
    <w:tmpl w:val="3F9B4BFE"/>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1E37482"/>
    <w:multiLevelType w:val="multilevel"/>
    <w:tmpl w:val="41E37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42DC291C"/>
    <w:multiLevelType w:val="multilevel"/>
    <w:tmpl w:val="42DC29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43462736"/>
    <w:multiLevelType w:val="multilevel"/>
    <w:tmpl w:val="434627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4497A12"/>
    <w:multiLevelType w:val="multilevel"/>
    <w:tmpl w:val="44497A1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D3B065F"/>
    <w:multiLevelType w:val="multilevel"/>
    <w:tmpl w:val="4D3B065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E1A7AE2"/>
    <w:multiLevelType w:val="multilevel"/>
    <w:tmpl w:val="4E1A7AE2"/>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F7A51A1"/>
    <w:multiLevelType w:val="multilevel"/>
    <w:tmpl w:val="4F7A51A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F9D6F5A"/>
    <w:multiLevelType w:val="multilevel"/>
    <w:tmpl w:val="4F9D6F5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55061AB7"/>
    <w:multiLevelType w:val="multilevel"/>
    <w:tmpl w:val="55061AB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56F00368"/>
    <w:multiLevelType w:val="multilevel"/>
    <w:tmpl w:val="56F00368"/>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57D71C68"/>
    <w:multiLevelType w:val="multilevel"/>
    <w:tmpl w:val="57D71C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58B448EE"/>
    <w:multiLevelType w:val="multilevel"/>
    <w:tmpl w:val="58B448E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pStyle w:val="18"/>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C3D69C9"/>
    <w:multiLevelType w:val="multilevel"/>
    <w:tmpl w:val="5C3D69C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67CC3EAD"/>
    <w:multiLevelType w:val="multilevel"/>
    <w:tmpl w:val="67CC3EAD"/>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6A0463A0"/>
    <w:multiLevelType w:val="multilevel"/>
    <w:tmpl w:val="6A0463A0"/>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6B13100E"/>
    <w:multiLevelType w:val="multilevel"/>
    <w:tmpl w:val="6B13100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71B1548C"/>
    <w:multiLevelType w:val="multilevel"/>
    <w:tmpl w:val="71B1548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72A56B6C"/>
    <w:multiLevelType w:val="multilevel"/>
    <w:tmpl w:val="72A56B6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740B2C9E"/>
    <w:multiLevelType w:val="multilevel"/>
    <w:tmpl w:val="740B2C9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74791E94"/>
    <w:multiLevelType w:val="multilevel"/>
    <w:tmpl w:val="74791E9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77332191"/>
    <w:multiLevelType w:val="multilevel"/>
    <w:tmpl w:val="7733219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77972C0E"/>
    <w:multiLevelType w:val="multilevel"/>
    <w:tmpl w:val="77972C0E"/>
    <w:lvl w:ilvl="0" w:tentative="0">
      <w:start w:val="4"/>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7D422252"/>
    <w:multiLevelType w:val="multilevel"/>
    <w:tmpl w:val="7D42225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7EB532BE"/>
    <w:multiLevelType w:val="multilevel"/>
    <w:tmpl w:val="7EB532B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7EBD71FD"/>
    <w:multiLevelType w:val="multilevel"/>
    <w:tmpl w:val="7EBD71FD"/>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3"/>
  </w:num>
  <w:num w:numId="2">
    <w:abstractNumId w:val="0"/>
  </w:num>
  <w:num w:numId="3">
    <w:abstractNumId w:val="6"/>
  </w:num>
  <w:num w:numId="4">
    <w:abstractNumId w:val="33"/>
  </w:num>
  <w:num w:numId="5">
    <w:abstractNumId w:val="55"/>
  </w:num>
  <w:num w:numId="6">
    <w:abstractNumId w:val="44"/>
  </w:num>
  <w:num w:numId="7">
    <w:abstractNumId w:val="35"/>
  </w:num>
  <w:num w:numId="8">
    <w:abstractNumId w:val="24"/>
  </w:num>
  <w:num w:numId="9">
    <w:abstractNumId w:val="27"/>
  </w:num>
  <w:num w:numId="10">
    <w:abstractNumId w:val="3"/>
  </w:num>
  <w:num w:numId="11">
    <w:abstractNumId w:val="1"/>
  </w:num>
  <w:num w:numId="12">
    <w:abstractNumId w:val="2"/>
  </w:num>
  <w:num w:numId="13">
    <w:abstractNumId w:val="19"/>
  </w:num>
  <w:num w:numId="14">
    <w:abstractNumId w:val="31"/>
  </w:num>
  <w:num w:numId="15">
    <w:abstractNumId w:val="9"/>
  </w:num>
  <w:num w:numId="16">
    <w:abstractNumId w:val="11"/>
  </w:num>
  <w:num w:numId="17">
    <w:abstractNumId w:val="7"/>
  </w:num>
  <w:num w:numId="18">
    <w:abstractNumId w:val="21"/>
  </w:num>
  <w:num w:numId="19">
    <w:abstractNumId w:val="49"/>
  </w:num>
  <w:num w:numId="20">
    <w:abstractNumId w:val="26"/>
  </w:num>
  <w:num w:numId="21">
    <w:abstractNumId w:val="53"/>
  </w:num>
  <w:num w:numId="22">
    <w:abstractNumId w:val="36"/>
  </w:num>
  <w:num w:numId="23">
    <w:abstractNumId w:val="42"/>
  </w:num>
  <w:num w:numId="24">
    <w:abstractNumId w:val="40"/>
  </w:num>
  <w:num w:numId="25">
    <w:abstractNumId w:val="30"/>
  </w:num>
  <w:num w:numId="26">
    <w:abstractNumId w:val="20"/>
  </w:num>
  <w:num w:numId="27">
    <w:abstractNumId w:val="12"/>
  </w:num>
  <w:num w:numId="28">
    <w:abstractNumId w:val="8"/>
  </w:num>
  <w:num w:numId="29">
    <w:abstractNumId w:val="4"/>
  </w:num>
  <w:num w:numId="30">
    <w:abstractNumId w:val="10"/>
  </w:num>
  <w:num w:numId="31">
    <w:abstractNumId w:val="45"/>
  </w:num>
  <w:num w:numId="32">
    <w:abstractNumId w:val="41"/>
  </w:num>
  <w:num w:numId="33">
    <w:abstractNumId w:val="18"/>
  </w:num>
  <w:num w:numId="34">
    <w:abstractNumId w:val="39"/>
  </w:num>
  <w:num w:numId="35">
    <w:abstractNumId w:val="56"/>
  </w:num>
  <w:num w:numId="36">
    <w:abstractNumId w:val="54"/>
  </w:num>
  <w:num w:numId="37">
    <w:abstractNumId w:val="25"/>
  </w:num>
  <w:num w:numId="38">
    <w:abstractNumId w:val="17"/>
  </w:num>
  <w:num w:numId="39">
    <w:abstractNumId w:val="37"/>
  </w:num>
  <w:num w:numId="40">
    <w:abstractNumId w:val="52"/>
  </w:num>
  <w:num w:numId="41">
    <w:abstractNumId w:val="13"/>
  </w:num>
  <w:num w:numId="42">
    <w:abstractNumId w:val="32"/>
  </w:num>
  <w:num w:numId="43">
    <w:abstractNumId w:val="23"/>
  </w:num>
  <w:num w:numId="44">
    <w:abstractNumId w:val="50"/>
  </w:num>
  <w:num w:numId="45">
    <w:abstractNumId w:val="48"/>
  </w:num>
  <w:num w:numId="46">
    <w:abstractNumId w:val="46"/>
  </w:num>
  <w:num w:numId="47">
    <w:abstractNumId w:val="5"/>
  </w:num>
  <w:num w:numId="48">
    <w:abstractNumId w:val="38"/>
  </w:num>
  <w:num w:numId="49">
    <w:abstractNumId w:val="16"/>
  </w:num>
  <w:num w:numId="50">
    <w:abstractNumId w:val="34"/>
  </w:num>
  <w:num w:numId="51">
    <w:abstractNumId w:val="14"/>
  </w:num>
  <w:num w:numId="52">
    <w:abstractNumId w:val="15"/>
  </w:num>
  <w:num w:numId="53">
    <w:abstractNumId w:val="28"/>
  </w:num>
  <w:num w:numId="54">
    <w:abstractNumId w:val="22"/>
  </w:num>
  <w:num w:numId="55">
    <w:abstractNumId w:val="29"/>
  </w:num>
  <w:num w:numId="56">
    <w:abstractNumId w:val="47"/>
  </w:num>
  <w:num w:numId="5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0C"/>
    <w:rsid w:val="000A0F68"/>
    <w:rsid w:val="00193B17"/>
    <w:rsid w:val="002C4020"/>
    <w:rsid w:val="002E6725"/>
    <w:rsid w:val="003A1BCF"/>
    <w:rsid w:val="0064750D"/>
    <w:rsid w:val="00670418"/>
    <w:rsid w:val="006A41E6"/>
    <w:rsid w:val="00835639"/>
    <w:rsid w:val="0088310C"/>
    <w:rsid w:val="00922981"/>
    <w:rsid w:val="009751D2"/>
    <w:rsid w:val="00977737"/>
    <w:rsid w:val="00995AA2"/>
    <w:rsid w:val="00BB7EFF"/>
    <w:rsid w:val="00BF421B"/>
    <w:rsid w:val="00C061C8"/>
    <w:rsid w:val="00E46DFE"/>
    <w:rsid w:val="00F476AC"/>
    <w:rsid w:val="00F87457"/>
    <w:rsid w:val="0153453C"/>
    <w:rsid w:val="05916BF6"/>
    <w:rsid w:val="05E800DA"/>
    <w:rsid w:val="068D6F42"/>
    <w:rsid w:val="06A54494"/>
    <w:rsid w:val="06B23287"/>
    <w:rsid w:val="08F76431"/>
    <w:rsid w:val="08FC6B06"/>
    <w:rsid w:val="09B713FD"/>
    <w:rsid w:val="0BA37C7F"/>
    <w:rsid w:val="0CFD28F6"/>
    <w:rsid w:val="0D40472F"/>
    <w:rsid w:val="0EB322F0"/>
    <w:rsid w:val="11B2410A"/>
    <w:rsid w:val="11D04F45"/>
    <w:rsid w:val="11EB481C"/>
    <w:rsid w:val="1227356A"/>
    <w:rsid w:val="141622B9"/>
    <w:rsid w:val="14345D68"/>
    <w:rsid w:val="16F257FF"/>
    <w:rsid w:val="17080EFF"/>
    <w:rsid w:val="176B2584"/>
    <w:rsid w:val="180C2802"/>
    <w:rsid w:val="1860228C"/>
    <w:rsid w:val="19006E95"/>
    <w:rsid w:val="191B2830"/>
    <w:rsid w:val="1ADC1328"/>
    <w:rsid w:val="1C4C383F"/>
    <w:rsid w:val="1D83705D"/>
    <w:rsid w:val="20593321"/>
    <w:rsid w:val="20B76E5B"/>
    <w:rsid w:val="22E54F63"/>
    <w:rsid w:val="256F242D"/>
    <w:rsid w:val="25E85999"/>
    <w:rsid w:val="26ED0963"/>
    <w:rsid w:val="273A264F"/>
    <w:rsid w:val="290803F6"/>
    <w:rsid w:val="2A5A1C1C"/>
    <w:rsid w:val="2AC608F6"/>
    <w:rsid w:val="2AE852D6"/>
    <w:rsid w:val="2BF0388E"/>
    <w:rsid w:val="2BFC7C0B"/>
    <w:rsid w:val="2C2D4DBA"/>
    <w:rsid w:val="2D4A1193"/>
    <w:rsid w:val="2D660FBA"/>
    <w:rsid w:val="2EED4D32"/>
    <w:rsid w:val="2F103680"/>
    <w:rsid w:val="2FD57175"/>
    <w:rsid w:val="3072568A"/>
    <w:rsid w:val="31795353"/>
    <w:rsid w:val="3204595D"/>
    <w:rsid w:val="340D4A19"/>
    <w:rsid w:val="355E38C6"/>
    <w:rsid w:val="38501F6F"/>
    <w:rsid w:val="396F1CA8"/>
    <w:rsid w:val="39822D72"/>
    <w:rsid w:val="3A6979C9"/>
    <w:rsid w:val="3B0906BF"/>
    <w:rsid w:val="3E3A2CBE"/>
    <w:rsid w:val="3F681079"/>
    <w:rsid w:val="402D346B"/>
    <w:rsid w:val="40523B31"/>
    <w:rsid w:val="40615A45"/>
    <w:rsid w:val="429057C0"/>
    <w:rsid w:val="436A2585"/>
    <w:rsid w:val="43F4670C"/>
    <w:rsid w:val="4627005C"/>
    <w:rsid w:val="484A0B0A"/>
    <w:rsid w:val="48645994"/>
    <w:rsid w:val="49E34370"/>
    <w:rsid w:val="4B131971"/>
    <w:rsid w:val="4CDC4BC9"/>
    <w:rsid w:val="4EAF0281"/>
    <w:rsid w:val="505B020B"/>
    <w:rsid w:val="50E36A10"/>
    <w:rsid w:val="50EC6DF1"/>
    <w:rsid w:val="510F580A"/>
    <w:rsid w:val="5185154F"/>
    <w:rsid w:val="51E5373B"/>
    <w:rsid w:val="52AC78E2"/>
    <w:rsid w:val="530A09B9"/>
    <w:rsid w:val="53691773"/>
    <w:rsid w:val="536D6CA2"/>
    <w:rsid w:val="549C1F28"/>
    <w:rsid w:val="54D57E0A"/>
    <w:rsid w:val="56680067"/>
    <w:rsid w:val="57717EB7"/>
    <w:rsid w:val="578A40C5"/>
    <w:rsid w:val="59625476"/>
    <w:rsid w:val="5AC5052A"/>
    <w:rsid w:val="5B434876"/>
    <w:rsid w:val="5C6D112F"/>
    <w:rsid w:val="5DC0698B"/>
    <w:rsid w:val="5F557093"/>
    <w:rsid w:val="5F5D0D10"/>
    <w:rsid w:val="61043813"/>
    <w:rsid w:val="61E36FE3"/>
    <w:rsid w:val="62790F68"/>
    <w:rsid w:val="62ED4BA0"/>
    <w:rsid w:val="649C50E5"/>
    <w:rsid w:val="64D811FE"/>
    <w:rsid w:val="69AE046D"/>
    <w:rsid w:val="69FA5472"/>
    <w:rsid w:val="6AA52398"/>
    <w:rsid w:val="6BC47379"/>
    <w:rsid w:val="6ECC5A59"/>
    <w:rsid w:val="6F5A2B0B"/>
    <w:rsid w:val="70845F27"/>
    <w:rsid w:val="710D2932"/>
    <w:rsid w:val="7251199A"/>
    <w:rsid w:val="74B3122D"/>
    <w:rsid w:val="77591007"/>
    <w:rsid w:val="77F27870"/>
    <w:rsid w:val="7A8D7EFE"/>
    <w:rsid w:val="7C702FAC"/>
    <w:rsid w:val="7C9A4F6B"/>
    <w:rsid w:val="7CC33E3D"/>
    <w:rsid w:val="7CEC4004"/>
    <w:rsid w:val="7F2D3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640" w:firstLine="560"/>
    </w:pPr>
    <w:rPr>
      <w:rFonts w:ascii="Calibri" w:hAnsi="Calibri" w:eastAsia="仿宋_GB2312"/>
      <w:sz w:val="32"/>
    </w:rPr>
  </w:style>
  <w:style w:type="paragraph" w:styleId="3">
    <w:name w:val="Body Text Indent"/>
    <w:basedOn w:val="1"/>
    <w:qFormat/>
    <w:uiPriority w:val="0"/>
    <w:pPr>
      <w:spacing w:after="120" w:afterLines="0" w:afterAutospacing="0"/>
      <w:ind w:left="420" w:leftChars="200"/>
    </w:pPr>
  </w:style>
  <w:style w:type="paragraph" w:styleId="4">
    <w:name w:val="Body Text"/>
    <w:qFormat/>
    <w:uiPriority w:val="99"/>
    <w:pPr>
      <w:widowControl w:val="0"/>
      <w:spacing w:after="120"/>
      <w:jc w:val="both"/>
    </w:pPr>
    <w:rPr>
      <w:rFonts w:ascii="Calibri" w:hAnsi="Calibri" w:eastAsia="宋体" w:cs="Times New Roman"/>
      <w:kern w:val="2"/>
      <w:sz w:val="32"/>
      <w:szCs w:val="24"/>
      <w:lang w:val="en-US" w:eastAsia="zh-CN" w:bidi="ar-SA"/>
    </w:rPr>
  </w:style>
  <w:style w:type="paragraph" w:styleId="5">
    <w:name w:val="Plain Text"/>
    <w:basedOn w:val="1"/>
    <w:qFormat/>
    <w:uiPriority w:val="0"/>
    <w:pPr>
      <w:jc w:val="both"/>
    </w:pPr>
    <w:rPr>
      <w:rFonts w:ascii="宋体" w:hAnsi="Courier New" w:eastAsia="宋体"/>
      <w:color w:val="auto"/>
      <w:kern w:val="2"/>
      <w:sz w:val="21"/>
      <w:szCs w:val="21"/>
      <w:lang w:bidi="ar-SA"/>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Char"/>
    <w:next w:val="1"/>
    <w:qFormat/>
    <w:uiPriority w:val="99"/>
    <w:pPr>
      <w:widowControl w:val="0"/>
      <w:jc w:val="both"/>
    </w:pPr>
    <w:rPr>
      <w:rFonts w:ascii="Times New Roman" w:hAnsi="Times New Roman" w:eastAsia="宋体" w:cs="Times New Roman"/>
      <w:kern w:val="2"/>
      <w:sz w:val="32"/>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customStyle="1" w:styleId="14">
    <w:name w:val="Body text|1"/>
    <w:basedOn w:val="1"/>
    <w:qFormat/>
    <w:uiPriority w:val="0"/>
    <w:pPr>
      <w:spacing w:line="348" w:lineRule="auto"/>
    </w:pPr>
    <w:rPr>
      <w:rFonts w:ascii="宋体" w:hAnsi="宋体" w:eastAsia="宋体" w:cs="宋体"/>
      <w:sz w:val="19"/>
      <w:szCs w:val="19"/>
      <w:lang w:val="zh-TW" w:eastAsia="zh-TW" w:bidi="zh-TW"/>
    </w:rPr>
  </w:style>
  <w:style w:type="paragraph" w:customStyle="1" w:styleId="15">
    <w:name w:val="Other|1"/>
    <w:basedOn w:val="1"/>
    <w:qFormat/>
    <w:uiPriority w:val="0"/>
    <w:pPr>
      <w:spacing w:line="348" w:lineRule="auto"/>
    </w:pPr>
    <w:rPr>
      <w:rFonts w:ascii="宋体" w:hAnsi="宋体" w:eastAsia="宋体" w:cs="宋体"/>
      <w:sz w:val="19"/>
      <w:szCs w:val="19"/>
      <w:lang w:val="zh-TW" w:eastAsia="zh-TW" w:bidi="zh-TW"/>
    </w:rPr>
  </w:style>
  <w:style w:type="paragraph" w:customStyle="1" w:styleId="16">
    <w:name w:val="Body text|3"/>
    <w:basedOn w:val="1"/>
    <w:qFormat/>
    <w:uiPriority w:val="0"/>
    <w:pPr>
      <w:ind w:firstLine="400"/>
    </w:pPr>
    <w:rPr>
      <w:rFonts w:ascii="宋体" w:hAnsi="宋体" w:eastAsia="宋体" w:cs="宋体"/>
      <w:sz w:val="17"/>
      <w:szCs w:val="17"/>
      <w:lang w:val="zh-TW" w:eastAsia="zh-TW" w:bidi="zh-TW"/>
    </w:rPr>
  </w:style>
  <w:style w:type="paragraph" w:customStyle="1" w:styleId="17">
    <w:name w:val="Picture caption|1"/>
    <w:basedOn w:val="1"/>
    <w:qFormat/>
    <w:uiPriority w:val="0"/>
    <w:rPr>
      <w:rFonts w:ascii="宋体" w:hAnsi="宋体" w:eastAsia="宋体" w:cs="宋体"/>
      <w:sz w:val="17"/>
      <w:szCs w:val="17"/>
      <w:lang w:val="zh-TW" w:eastAsia="zh-TW" w:bidi="zh-TW"/>
    </w:rPr>
  </w:style>
  <w:style w:type="paragraph" w:customStyle="1" w:styleId="18">
    <w:name w:val="附录表标题"/>
    <w:basedOn w:val="1"/>
    <w:next w:val="19"/>
    <w:qFormat/>
    <w:uiPriority w:val="0"/>
    <w:pPr>
      <w:numPr>
        <w:ilvl w:val="1"/>
        <w:numId w:val="1"/>
      </w:numPr>
      <w:tabs>
        <w:tab w:val="left" w:pos="180"/>
      </w:tabs>
      <w:spacing w:before="50" w:beforeLines="50" w:after="50" w:afterLines="50"/>
      <w:jc w:val="center"/>
    </w:pPr>
    <w:rPr>
      <w:rFonts w:ascii="黑体" w:eastAsia="黑体"/>
      <w:color w:val="auto"/>
      <w:kern w:val="2"/>
      <w:sz w:val="21"/>
      <w:szCs w:val="21"/>
      <w:lang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Header or footer|1"/>
    <w:basedOn w:val="1"/>
    <w:qFormat/>
    <w:uiPriority w:val="0"/>
    <w:rPr>
      <w:sz w:val="20"/>
      <w:szCs w:val="20"/>
    </w:rPr>
  </w:style>
  <w:style w:type="paragraph" w:customStyle="1" w:styleId="21">
    <w:name w:val="Header or footer|2"/>
    <w:basedOn w:val="1"/>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header" Target="header3.xml"/><Relationship Id="rId49" Type="http://schemas.openxmlformats.org/officeDocument/2006/relationships/footer" Target="footer18.xml"/><Relationship Id="rId48" Type="http://schemas.openxmlformats.org/officeDocument/2006/relationships/footer" Target="footer17.xml"/><Relationship Id="rId47" Type="http://schemas.openxmlformats.org/officeDocument/2006/relationships/footer" Target="footer16.xml"/><Relationship Id="rId46" Type="http://schemas.openxmlformats.org/officeDocument/2006/relationships/footer" Target="footer15.xml"/><Relationship Id="rId45" Type="http://schemas.openxmlformats.org/officeDocument/2006/relationships/footer" Target="footer14.xml"/><Relationship Id="rId44" Type="http://schemas.openxmlformats.org/officeDocument/2006/relationships/header" Target="header29.xml"/><Relationship Id="rId43" Type="http://schemas.openxmlformats.org/officeDocument/2006/relationships/header" Target="header28.xml"/><Relationship Id="rId42" Type="http://schemas.openxmlformats.org/officeDocument/2006/relationships/header" Target="header27.xml"/><Relationship Id="rId41" Type="http://schemas.openxmlformats.org/officeDocument/2006/relationships/footer" Target="footer13.xml"/><Relationship Id="rId40" Type="http://schemas.openxmlformats.org/officeDocument/2006/relationships/footer" Target="footer12.xml"/><Relationship Id="rId4" Type="http://schemas.openxmlformats.org/officeDocument/2006/relationships/header" Target="header2.xml"/><Relationship Id="rId39" Type="http://schemas.openxmlformats.org/officeDocument/2006/relationships/footer" Target="footer11.xml"/><Relationship Id="rId38" Type="http://schemas.openxmlformats.org/officeDocument/2006/relationships/header" Target="header26.xml"/><Relationship Id="rId37" Type="http://schemas.openxmlformats.org/officeDocument/2006/relationships/header" Target="header25.xml"/><Relationship Id="rId36" Type="http://schemas.openxmlformats.org/officeDocument/2006/relationships/header" Target="header24.xml"/><Relationship Id="rId35" Type="http://schemas.openxmlformats.org/officeDocument/2006/relationships/footer" Target="footer10.xml"/><Relationship Id="rId34" Type="http://schemas.openxmlformats.org/officeDocument/2006/relationships/footer" Target="footer9.xml"/><Relationship Id="rId33" Type="http://schemas.openxmlformats.org/officeDocument/2006/relationships/footer" Target="footer8.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footer" Target="footer7.xml"/><Relationship Id="rId28" Type="http://schemas.openxmlformats.org/officeDocument/2006/relationships/footer" Target="footer6.xml"/><Relationship Id="rId27" Type="http://schemas.openxmlformats.org/officeDocument/2006/relationships/footer" Target="footer5.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192</Words>
  <Characters>1097</Characters>
  <Lines>9</Lines>
  <Paragraphs>2</Paragraphs>
  <TotalTime>2</TotalTime>
  <ScaleCrop>false</ScaleCrop>
  <LinksUpToDate>false</LinksUpToDate>
  <CharactersWithSpaces>1287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2021-01-05T10:11:00Z</dcterms:created>
  <dc:creator>lenovo</dc:creator>
  <cp:lastModifiedBy>申晴</cp:lastModifiedBy>
  <cp:lastPrinted>2021-03-22T08:46:00Z</cp:lastPrinted>
  <dcterms:modified xsi:type="dcterms:W3CDTF">2021-03-26T03:36:24Z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