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auto"/>
          <w:kern w:val="0"/>
          <w:sz w:val="44"/>
          <w:szCs w:val="44"/>
        </w:rPr>
      </w:pPr>
      <w:bookmarkStart w:id="0" w:name="_Toc416939932"/>
      <w:bookmarkStart w:id="1" w:name="_Toc415228645"/>
      <w:bookmarkStart w:id="2" w:name="_Toc416939933"/>
      <w:bookmarkStart w:id="3" w:name="zhengwen"/>
      <w:r>
        <w:rPr>
          <w:rFonts w:hint="eastAsia" w:ascii="方正小标宋简体" w:eastAsia="方正小标宋简体"/>
          <w:color w:val="auto"/>
          <w:kern w:val="0"/>
          <w:sz w:val="44"/>
          <w:szCs w:val="44"/>
        </w:rPr>
        <w:t>陕西省</w:t>
      </w:r>
      <w:bookmarkStart w:id="4" w:name="_Hlk69938975"/>
      <w:r>
        <w:rPr>
          <w:rFonts w:hint="eastAsia" w:ascii="方正小标宋简体" w:eastAsia="方正小标宋简体"/>
          <w:color w:val="auto"/>
          <w:kern w:val="0"/>
          <w:sz w:val="44"/>
          <w:szCs w:val="44"/>
        </w:rPr>
        <w:t>其他食品（饼干、糕点）</w:t>
      </w:r>
      <w:bookmarkEnd w:id="4"/>
      <w:r>
        <w:rPr>
          <w:rFonts w:hint="eastAsia" w:ascii="方正小标宋简体" w:eastAsia="方正小标宋简体"/>
          <w:color w:val="auto"/>
          <w:kern w:val="0"/>
          <w:sz w:val="44"/>
          <w:szCs w:val="44"/>
        </w:rPr>
        <w:t>预拌粉</w:t>
      </w:r>
    </w:p>
    <w:p>
      <w:pPr>
        <w:spacing w:line="600" w:lineRule="exact"/>
        <w:jc w:val="center"/>
        <w:rPr>
          <w:rFonts w:hint="default" w:ascii="方正小标宋简体" w:hAnsi="黑体" w:eastAsia="方正小标宋简体" w:cs="黑体"/>
          <w:color w:val="auto"/>
          <w:sz w:val="44"/>
          <w:szCs w:val="44"/>
        </w:rPr>
      </w:pPr>
      <w:r>
        <w:rPr>
          <w:rFonts w:hint="eastAsia" w:ascii="方正小标宋简体" w:eastAsia="方正小标宋简体"/>
          <w:color w:val="auto"/>
          <w:kern w:val="0"/>
          <w:sz w:val="44"/>
          <w:szCs w:val="44"/>
        </w:rPr>
        <w:t>生产许可</w:t>
      </w:r>
      <w:bookmarkStart w:id="15" w:name="_GoBack"/>
      <w:bookmarkEnd w:id="15"/>
      <w:r>
        <w:rPr>
          <w:rFonts w:hint="eastAsia" w:ascii="方正小标宋简体" w:hAnsi="黑体" w:eastAsia="方正小标宋简体" w:cs="黑体"/>
          <w:color w:val="auto"/>
          <w:sz w:val="44"/>
          <w:szCs w:val="44"/>
        </w:rPr>
        <w:t>审查</w:t>
      </w:r>
      <w:r>
        <w:rPr>
          <w:rFonts w:hint="default" w:ascii="方正小标宋简体" w:hAnsi="黑体" w:eastAsia="方正小标宋简体" w:cs="黑体"/>
          <w:color w:val="auto"/>
          <w:sz w:val="44"/>
          <w:szCs w:val="44"/>
        </w:rPr>
        <w:t>方案</w:t>
      </w:r>
    </w:p>
    <w:p>
      <w:pPr>
        <w:spacing w:line="400" w:lineRule="exact"/>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（征求意见稿）</w:t>
      </w:r>
    </w:p>
    <w:p>
      <w:pPr>
        <w:numPr>
          <w:ilvl w:val="0"/>
          <w:numId w:val="1"/>
        </w:numPr>
        <w:spacing w:line="500" w:lineRule="exact"/>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总则</w:t>
      </w:r>
    </w:p>
    <w:p>
      <w:pPr>
        <w:tabs>
          <w:tab w:val="left" w:pos="0"/>
        </w:tabs>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第一条</w:t>
      </w:r>
      <w:r>
        <w:rPr>
          <w:rFonts w:hint="eastAsia" w:ascii="仿宋" w:hAnsi="仿宋" w:eastAsia="仿宋" w:cs="仿宋"/>
          <w:color w:val="auto"/>
          <w:sz w:val="28"/>
          <w:szCs w:val="28"/>
        </w:rPr>
        <w:t xml:space="preserve"> 本</w:t>
      </w:r>
      <w:r>
        <w:rPr>
          <w:rFonts w:hint="default" w:ascii="仿宋" w:hAnsi="仿宋" w:eastAsia="仿宋" w:cs="仿宋"/>
          <w:color w:val="auto"/>
          <w:sz w:val="28"/>
          <w:szCs w:val="28"/>
        </w:rPr>
        <w:t>方案</w:t>
      </w:r>
      <w:r>
        <w:rPr>
          <w:rFonts w:hint="eastAsia" w:ascii="仿宋" w:hAnsi="仿宋" w:eastAsia="仿宋" w:cs="仿宋"/>
          <w:color w:val="auto"/>
          <w:sz w:val="28"/>
          <w:szCs w:val="28"/>
        </w:rPr>
        <w:t>适用于陕西省内其他食品（饼干、糕点）预拌粉食品生产许可条件审查。本</w:t>
      </w:r>
      <w:r>
        <w:rPr>
          <w:rFonts w:hint="default" w:ascii="仿宋" w:hAnsi="仿宋" w:eastAsia="仿宋" w:cs="仿宋"/>
          <w:color w:val="auto"/>
          <w:sz w:val="28"/>
          <w:szCs w:val="28"/>
        </w:rPr>
        <w:t>方案</w:t>
      </w:r>
      <w:r>
        <w:rPr>
          <w:rFonts w:hint="eastAsia" w:ascii="仿宋" w:hAnsi="仿宋" w:eastAsia="仿宋" w:cs="仿宋"/>
          <w:color w:val="auto"/>
          <w:sz w:val="28"/>
          <w:szCs w:val="28"/>
        </w:rPr>
        <w:t>应与《食品生产许可审查通则》、《</w:t>
      </w:r>
      <w:r>
        <w:rPr>
          <w:rFonts w:hint="eastAsia" w:ascii="仿宋" w:hAnsi="仿宋" w:eastAsia="仿宋" w:cs="仿宋"/>
          <w:color w:val="auto"/>
          <w:sz w:val="28"/>
          <w:szCs w:val="28"/>
          <w:lang w:val="en-US" w:eastAsia="zh-CN"/>
        </w:rPr>
        <w:t>食品安全国家标准</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食品生产通用卫生规范》（</w:t>
      </w:r>
      <w:r>
        <w:rPr>
          <w:rFonts w:hint="eastAsia" w:ascii="仿宋" w:hAnsi="仿宋" w:eastAsia="仿宋" w:cs="仿宋"/>
          <w:color w:val="auto"/>
          <w:sz w:val="28"/>
          <w:szCs w:val="28"/>
        </w:rPr>
        <w:t>GB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14881</w:t>
      </w:r>
      <w:r>
        <w:rPr>
          <w:rFonts w:hint="eastAsia" w:ascii="仿宋" w:hAnsi="仿宋" w:eastAsia="仿宋" w:cs="仿宋"/>
          <w:color w:val="auto"/>
          <w:sz w:val="28"/>
          <w:szCs w:val="28"/>
        </w:rPr>
        <w:t>）结合使用。</w:t>
      </w:r>
    </w:p>
    <w:p>
      <w:pPr>
        <w:tabs>
          <w:tab w:val="left" w:pos="0"/>
        </w:tabs>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 xml:space="preserve">第二条 </w:t>
      </w:r>
      <w:r>
        <w:rPr>
          <w:rFonts w:hint="eastAsia" w:ascii="仿宋" w:hAnsi="仿宋" w:eastAsia="仿宋"/>
          <w:color w:val="auto"/>
          <w:kern w:val="0"/>
          <w:sz w:val="28"/>
          <w:szCs w:val="28"/>
        </w:rPr>
        <w:t>实施食品生产许可证管理的饼干、糕点预拌粉产品是</w:t>
      </w:r>
      <w:r>
        <w:rPr>
          <w:rFonts w:hint="eastAsia" w:ascii="仿宋" w:hAnsi="仿宋" w:eastAsia="仿宋" w:cs="仿宋"/>
          <w:color w:val="auto"/>
          <w:sz w:val="28"/>
          <w:szCs w:val="28"/>
        </w:rPr>
        <w:t>指以谷物粉等为主要原料（如饼干预拌粉、蛋糕预拌粉、面包预拌粉、年糕预拌粉、冰皮预拌粉等），添加或不添加食品添加剂、营养强化剂，经原料预处理、配料、混合、包装等工艺制成的用于制作饼干、糕点的粉末和（或）颗粒状产品。</w:t>
      </w:r>
    </w:p>
    <w:p>
      <w:pPr>
        <w:tabs>
          <w:tab w:val="left" w:pos="0"/>
        </w:tabs>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 xml:space="preserve">第三条 </w:t>
      </w:r>
      <w:r>
        <w:rPr>
          <w:rFonts w:hint="eastAsia" w:ascii="仿宋" w:hAnsi="仿宋" w:eastAsia="仿宋" w:cs="仿宋"/>
          <w:color w:val="auto"/>
          <w:sz w:val="28"/>
          <w:szCs w:val="28"/>
        </w:rPr>
        <w:t>饼干、糕点预拌粉的</w:t>
      </w:r>
      <w:r>
        <w:rPr>
          <w:rFonts w:hint="eastAsia" w:ascii="仿宋" w:hAnsi="仿宋" w:eastAsia="仿宋" w:cs="仿宋"/>
          <w:color w:val="auto"/>
          <w:sz w:val="28"/>
          <w:szCs w:val="28"/>
        </w:rPr>
        <w:t>食品类别</w:t>
      </w:r>
      <w:r>
        <w:rPr>
          <w:rFonts w:hint="eastAsia" w:ascii="仿宋" w:hAnsi="仿宋" w:eastAsia="仿宋" w:cs="仿宋"/>
          <w:color w:val="auto"/>
          <w:sz w:val="28"/>
          <w:szCs w:val="28"/>
        </w:rPr>
        <w:t>为其他食品</w:t>
      </w:r>
      <w:r>
        <w:rPr>
          <w:rFonts w:hint="eastAsia" w:ascii="仿宋" w:hAnsi="仿宋" w:eastAsia="仿宋" w:cs="仿宋"/>
          <w:color w:val="auto"/>
          <w:sz w:val="28"/>
          <w:szCs w:val="28"/>
        </w:rPr>
        <w:t>（饼干预拌粉、</w:t>
      </w:r>
      <w:r>
        <w:rPr>
          <w:rFonts w:hint="eastAsia" w:ascii="仿宋" w:hAnsi="仿宋" w:eastAsia="仿宋" w:cs="仿宋"/>
          <w:color w:val="auto"/>
          <w:sz w:val="28"/>
          <w:szCs w:val="28"/>
        </w:rPr>
        <w:t>热加工糕点预拌粉、冷加工糕点预拌粉</w:t>
      </w:r>
      <w:r>
        <w:rPr>
          <w:rFonts w:hint="eastAsia" w:ascii="仿宋" w:hAnsi="仿宋" w:eastAsia="仿宋" w:cs="仿宋"/>
          <w:color w:val="auto"/>
          <w:sz w:val="28"/>
          <w:szCs w:val="28"/>
        </w:rPr>
        <w:t>），</w:t>
      </w:r>
      <w:r>
        <w:rPr>
          <w:rFonts w:hint="eastAsia" w:ascii="仿宋" w:hAnsi="仿宋" w:eastAsia="仿宋" w:cs="仿宋"/>
          <w:color w:val="auto"/>
          <w:sz w:val="28"/>
          <w:szCs w:val="28"/>
        </w:rPr>
        <w:t>类别编号为3101。热加工</w:t>
      </w:r>
      <w:r>
        <w:rPr>
          <w:rFonts w:hint="eastAsia" w:ascii="仿宋" w:hAnsi="仿宋" w:eastAsia="仿宋" w:cs="仿宋"/>
          <w:color w:val="auto"/>
          <w:sz w:val="28"/>
          <w:szCs w:val="28"/>
          <w:lang w:eastAsia="zh-CN"/>
        </w:rPr>
        <w:t>糕点</w:t>
      </w:r>
      <w:r>
        <w:rPr>
          <w:rFonts w:hint="eastAsia" w:ascii="仿宋" w:hAnsi="仿宋" w:eastAsia="仿宋" w:cs="仿宋"/>
          <w:color w:val="auto"/>
          <w:sz w:val="28"/>
          <w:szCs w:val="28"/>
        </w:rPr>
        <w:t>预拌粉指调制后用于热加工（烘烤、油炸、蒸煮、炒制等为最终熟制工艺）的产品；冷加工</w:t>
      </w:r>
      <w:r>
        <w:rPr>
          <w:rFonts w:hint="eastAsia" w:ascii="仿宋" w:hAnsi="仿宋" w:eastAsia="仿宋" w:cs="仿宋"/>
          <w:color w:val="auto"/>
          <w:sz w:val="28"/>
          <w:szCs w:val="28"/>
          <w:lang w:eastAsia="zh-CN"/>
        </w:rPr>
        <w:t>糕点</w:t>
      </w:r>
      <w:r>
        <w:rPr>
          <w:rFonts w:hint="eastAsia" w:ascii="仿宋" w:hAnsi="仿宋" w:eastAsia="仿宋" w:cs="仿宋"/>
          <w:color w:val="auto"/>
          <w:sz w:val="28"/>
          <w:szCs w:val="28"/>
        </w:rPr>
        <w:t>预拌粉指调制后在常温或低温条件下</w:t>
      </w:r>
      <w:r>
        <w:rPr>
          <w:rFonts w:hint="eastAsia" w:ascii="仿宋" w:hAnsi="仿宋" w:eastAsia="仿宋" w:cs="仿宋"/>
          <w:color w:val="auto"/>
          <w:sz w:val="28"/>
          <w:szCs w:val="28"/>
          <w:lang w:eastAsia="zh-CN"/>
        </w:rPr>
        <w:t>用于不</w:t>
      </w:r>
      <w:r>
        <w:rPr>
          <w:rFonts w:hint="eastAsia" w:ascii="仿宋" w:hAnsi="仿宋" w:eastAsia="仿宋" w:cs="仿宋"/>
          <w:color w:val="auto"/>
          <w:sz w:val="28"/>
          <w:szCs w:val="28"/>
        </w:rPr>
        <w:t>再</w:t>
      </w:r>
      <w:r>
        <w:rPr>
          <w:rFonts w:hint="eastAsia" w:ascii="仿宋" w:hAnsi="仿宋" w:eastAsia="仿宋" w:cs="仿宋"/>
          <w:color w:val="auto"/>
          <w:sz w:val="28"/>
          <w:szCs w:val="28"/>
          <w:lang w:eastAsia="zh-CN"/>
        </w:rPr>
        <w:t>经过加热</w:t>
      </w:r>
      <w:r>
        <w:rPr>
          <w:rFonts w:hint="eastAsia" w:ascii="仿宋" w:hAnsi="仿宋" w:eastAsia="仿宋" w:cs="仿宋"/>
          <w:color w:val="auto"/>
          <w:sz w:val="28"/>
          <w:szCs w:val="28"/>
        </w:rPr>
        <w:t>的产品。</w:t>
      </w:r>
    </w:p>
    <w:bookmarkEnd w:id="0"/>
    <w:p>
      <w:pPr>
        <w:spacing w:line="580" w:lineRule="exact"/>
        <w:ind w:firstLine="562" w:firstLineChars="200"/>
        <w:rPr>
          <w:rFonts w:ascii="仿宋" w:hAnsi="仿宋" w:eastAsia="仿宋" w:cs="仿宋"/>
          <w:color w:val="auto"/>
          <w:sz w:val="28"/>
          <w:szCs w:val="28"/>
        </w:rPr>
      </w:pPr>
      <w:r>
        <w:rPr>
          <w:rFonts w:hint="eastAsia" w:ascii="仿宋" w:hAnsi="仿宋" w:eastAsia="仿宋" w:cs="仿宋_GB2312"/>
          <w:b/>
          <w:bCs/>
          <w:color w:val="auto"/>
          <w:sz w:val="28"/>
          <w:szCs w:val="28"/>
        </w:rPr>
        <w:t xml:space="preserve">第四条 </w:t>
      </w:r>
      <w:r>
        <w:rPr>
          <w:rFonts w:hint="eastAsia" w:ascii="仿宋" w:hAnsi="仿宋" w:eastAsia="仿宋" w:cs="仿宋"/>
          <w:color w:val="auto"/>
          <w:sz w:val="28"/>
          <w:szCs w:val="28"/>
        </w:rPr>
        <w:t>不得以分装方式生产饼干、糕点预拌粉。</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kern w:val="0"/>
          <w:sz w:val="28"/>
          <w:szCs w:val="28"/>
        </w:rPr>
        <w:t xml:space="preserve">第五条 </w:t>
      </w:r>
      <w:r>
        <w:rPr>
          <w:rFonts w:hint="eastAsia" w:ascii="仿宋" w:hAnsi="仿宋" w:eastAsia="仿宋" w:cs="仿宋"/>
          <w:color w:val="auto"/>
          <w:sz w:val="28"/>
          <w:szCs w:val="28"/>
        </w:rPr>
        <w:t>本</w:t>
      </w:r>
      <w:r>
        <w:rPr>
          <w:rFonts w:hint="default" w:ascii="仿宋" w:hAnsi="仿宋" w:eastAsia="仿宋" w:cs="仿宋"/>
          <w:color w:val="auto"/>
          <w:sz w:val="28"/>
          <w:szCs w:val="28"/>
        </w:rPr>
        <w:t>方案</w:t>
      </w:r>
      <w:r>
        <w:rPr>
          <w:rFonts w:hint="eastAsia" w:ascii="仿宋" w:hAnsi="仿宋" w:eastAsia="仿宋" w:cs="仿宋"/>
          <w:color w:val="auto"/>
          <w:sz w:val="28"/>
          <w:szCs w:val="28"/>
        </w:rPr>
        <w:t>正文中引用的文件、标准通过引用成为本</w:t>
      </w:r>
      <w:r>
        <w:rPr>
          <w:rFonts w:hint="default" w:ascii="仿宋" w:hAnsi="仿宋" w:eastAsia="仿宋" w:cs="仿宋"/>
          <w:color w:val="auto"/>
          <w:sz w:val="28"/>
          <w:szCs w:val="28"/>
        </w:rPr>
        <w:t>方案</w:t>
      </w:r>
      <w:r>
        <w:rPr>
          <w:rFonts w:hint="eastAsia" w:ascii="仿宋" w:hAnsi="仿宋" w:eastAsia="仿宋" w:cs="仿宋"/>
          <w:color w:val="auto"/>
          <w:sz w:val="28"/>
          <w:szCs w:val="28"/>
        </w:rPr>
        <w:t>的内容。凡是引用文件、标准，其最新版本（包括所有的修改单）适用于本</w:t>
      </w:r>
      <w:r>
        <w:rPr>
          <w:rFonts w:hint="default" w:ascii="仿宋" w:hAnsi="仿宋" w:eastAsia="仿宋" w:cs="仿宋"/>
          <w:color w:val="auto"/>
          <w:sz w:val="28"/>
          <w:szCs w:val="28"/>
        </w:rPr>
        <w:t>方案</w:t>
      </w:r>
      <w:r>
        <w:rPr>
          <w:rFonts w:hint="eastAsia" w:ascii="仿宋" w:hAnsi="仿宋" w:eastAsia="仿宋" w:cs="仿宋"/>
          <w:color w:val="auto"/>
          <w:sz w:val="28"/>
          <w:szCs w:val="28"/>
        </w:rPr>
        <w:t>。</w:t>
      </w:r>
    </w:p>
    <w:bookmarkEnd w:id="1"/>
    <w:bookmarkEnd w:id="2"/>
    <w:p>
      <w:pPr>
        <w:tabs>
          <w:tab w:val="left" w:pos="8820"/>
        </w:tabs>
        <w:spacing w:before="240" w:line="500" w:lineRule="exact"/>
        <w:jc w:val="center"/>
        <w:rPr>
          <w:rFonts w:ascii="仿宋" w:hAnsi="仿宋" w:eastAsia="仿宋" w:cs="仿宋"/>
          <w:b/>
          <w:bCs/>
          <w:color w:val="auto"/>
          <w:kern w:val="0"/>
          <w:sz w:val="28"/>
          <w:szCs w:val="28"/>
        </w:rPr>
      </w:pPr>
      <w:bookmarkStart w:id="5" w:name="_Toc28607"/>
      <w:bookmarkStart w:id="6" w:name="_Toc416939945"/>
      <w:bookmarkStart w:id="7" w:name="_Toc415228658"/>
      <w:r>
        <w:rPr>
          <w:rFonts w:hint="eastAsia" w:ascii="仿宋" w:hAnsi="仿宋" w:eastAsia="仿宋" w:cs="仿宋"/>
          <w:b/>
          <w:bCs/>
          <w:color w:val="auto"/>
          <w:kern w:val="0"/>
          <w:sz w:val="28"/>
          <w:szCs w:val="28"/>
        </w:rPr>
        <w:t>第二章  生产场所</w:t>
      </w:r>
      <w:bookmarkEnd w:id="5"/>
      <w:bookmarkEnd w:id="6"/>
      <w:bookmarkEnd w:id="7"/>
      <w:r>
        <w:rPr>
          <w:rFonts w:hint="eastAsia" w:ascii="仿宋" w:hAnsi="仿宋" w:eastAsia="仿宋" w:cs="仿宋"/>
          <w:b/>
          <w:bCs/>
          <w:color w:val="auto"/>
          <w:kern w:val="0"/>
          <w:sz w:val="28"/>
          <w:szCs w:val="28"/>
        </w:rPr>
        <w:t>核查</w:t>
      </w:r>
    </w:p>
    <w:p>
      <w:pPr>
        <w:tabs>
          <w:tab w:val="left" w:pos="0"/>
        </w:tabs>
        <w:spacing w:line="500" w:lineRule="exact"/>
        <w:ind w:firstLine="562" w:firstLineChars="200"/>
        <w:rPr>
          <w:rFonts w:ascii="仿宋" w:hAnsi="仿宋" w:eastAsia="仿宋"/>
          <w:color w:val="auto"/>
          <w:sz w:val="28"/>
          <w:szCs w:val="28"/>
        </w:rPr>
      </w:pPr>
      <w:r>
        <w:rPr>
          <w:rFonts w:hint="eastAsia" w:ascii="仿宋" w:hAnsi="仿宋" w:eastAsia="仿宋" w:cs="仿宋"/>
          <w:b/>
          <w:bCs/>
          <w:color w:val="auto"/>
          <w:kern w:val="0"/>
          <w:sz w:val="28"/>
          <w:szCs w:val="28"/>
        </w:rPr>
        <w:t>第五条</w:t>
      </w:r>
      <w:r>
        <w:rPr>
          <w:rFonts w:hint="eastAsia" w:ascii="仿宋" w:hAnsi="仿宋" w:eastAsia="仿宋" w:cs="仿宋"/>
          <w:color w:val="auto"/>
          <w:sz w:val="28"/>
          <w:szCs w:val="28"/>
        </w:rPr>
        <w:t xml:space="preserve"> </w:t>
      </w:r>
      <w:r>
        <w:rPr>
          <w:rFonts w:hint="eastAsia" w:ascii="仿宋" w:hAnsi="仿宋" w:eastAsia="仿宋"/>
          <w:color w:val="auto"/>
          <w:sz w:val="28"/>
          <w:szCs w:val="28"/>
        </w:rPr>
        <w:t>企业厂房选址和设计、内部建筑结构、辅助生产设施应当能够避免污染、交叉污染、微生物孳生，便于清洁、操作和维护。人流、物流走向应当合理，有效避免人员、设备和物料流动造成的污染。</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第六条</w:t>
      </w:r>
      <w:r>
        <w:rPr>
          <w:rFonts w:hint="eastAsia" w:ascii="仿宋" w:hAnsi="仿宋" w:eastAsia="仿宋" w:cs="仿宋"/>
          <w:color w:val="auto"/>
          <w:sz w:val="28"/>
          <w:szCs w:val="28"/>
        </w:rPr>
        <w:t xml:space="preserve"> 生产车间及辅助场所应与企业生产能力相适应,设置应按生产流程需要及卫生要求，有序而合理布局，根据生产流程、生产操作需要和清洁度的要求进行隔离，避免交叉污染。</w:t>
      </w:r>
    </w:p>
    <w:p>
      <w:pPr>
        <w:spacing w:line="50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生产车间一般包括</w:t>
      </w:r>
      <w:r>
        <w:rPr>
          <w:rFonts w:hint="eastAsia" w:ascii="仿宋" w:hAnsi="仿宋" w:eastAsia="仿宋" w:cs="仿宋"/>
          <w:color w:val="auto"/>
          <w:sz w:val="28"/>
          <w:szCs w:val="28"/>
        </w:rPr>
        <w:t>原辅料预处理车间、配料车间、混合车间、成品内包装车间及成品外包装车间等。</w:t>
      </w:r>
      <w:r>
        <w:rPr>
          <w:rFonts w:ascii="仿宋" w:hAnsi="仿宋" w:eastAsia="仿宋" w:cs="仿宋"/>
          <w:color w:val="auto"/>
          <w:sz w:val="28"/>
          <w:szCs w:val="28"/>
        </w:rPr>
        <w:t>辅助</w:t>
      </w:r>
      <w:r>
        <w:rPr>
          <w:rFonts w:hint="eastAsia" w:ascii="仿宋" w:hAnsi="仿宋" w:eastAsia="仿宋" w:cs="仿宋"/>
          <w:color w:val="auto"/>
          <w:sz w:val="28"/>
          <w:szCs w:val="28"/>
        </w:rPr>
        <w:t>场所</w:t>
      </w:r>
      <w:r>
        <w:rPr>
          <w:rFonts w:ascii="仿宋" w:hAnsi="仿宋" w:eastAsia="仿宋" w:cs="仿宋"/>
          <w:color w:val="auto"/>
          <w:sz w:val="28"/>
          <w:szCs w:val="28"/>
        </w:rPr>
        <w:t>包括</w:t>
      </w:r>
      <w:r>
        <w:rPr>
          <w:rFonts w:hint="eastAsia" w:ascii="仿宋" w:hAnsi="仿宋" w:eastAsia="仿宋" w:cs="仿宋"/>
          <w:color w:val="auto"/>
          <w:sz w:val="28"/>
          <w:szCs w:val="28"/>
        </w:rPr>
        <w:t>工器具</w:t>
      </w:r>
      <w:r>
        <w:rPr>
          <w:rFonts w:ascii="仿宋" w:hAnsi="仿宋" w:eastAsia="仿宋" w:cs="仿宋"/>
          <w:color w:val="auto"/>
          <w:sz w:val="28"/>
          <w:szCs w:val="28"/>
        </w:rPr>
        <w:t>清洗</w:t>
      </w:r>
      <w:r>
        <w:rPr>
          <w:rFonts w:hint="eastAsia" w:ascii="仿宋" w:hAnsi="仿宋" w:eastAsia="仿宋" w:cs="仿宋"/>
          <w:color w:val="auto"/>
          <w:sz w:val="28"/>
          <w:szCs w:val="28"/>
        </w:rPr>
        <w:t>消毒</w:t>
      </w:r>
      <w:r>
        <w:rPr>
          <w:rFonts w:ascii="仿宋" w:hAnsi="仿宋" w:eastAsia="仿宋" w:cs="仿宋"/>
          <w:color w:val="auto"/>
          <w:sz w:val="28"/>
          <w:szCs w:val="28"/>
        </w:rPr>
        <w:t>间、</w:t>
      </w:r>
      <w:r>
        <w:rPr>
          <w:rFonts w:hint="eastAsia" w:ascii="仿宋" w:hAnsi="仿宋" w:eastAsia="仿宋" w:cs="仿宋"/>
          <w:color w:val="auto"/>
          <w:sz w:val="28"/>
          <w:szCs w:val="28"/>
        </w:rPr>
        <w:t>原辅料脱包缓冲间</w:t>
      </w:r>
      <w:r>
        <w:rPr>
          <w:rFonts w:ascii="仿宋" w:hAnsi="仿宋" w:eastAsia="仿宋" w:cs="仿宋"/>
          <w:color w:val="auto"/>
          <w:sz w:val="28"/>
          <w:szCs w:val="28"/>
        </w:rPr>
        <w:t>、</w:t>
      </w:r>
      <w:r>
        <w:rPr>
          <w:rFonts w:hint="eastAsia" w:ascii="仿宋" w:hAnsi="仿宋" w:eastAsia="仿宋" w:cs="仿宋"/>
          <w:color w:val="auto"/>
          <w:sz w:val="28"/>
          <w:szCs w:val="28"/>
        </w:rPr>
        <w:t>内包材消毒间、</w:t>
      </w:r>
      <w:r>
        <w:rPr>
          <w:rFonts w:ascii="仿宋" w:hAnsi="仿宋" w:eastAsia="仿宋" w:cs="仿宋"/>
          <w:color w:val="auto"/>
          <w:sz w:val="28"/>
          <w:szCs w:val="28"/>
        </w:rPr>
        <w:t>原辅料仓库、</w:t>
      </w:r>
      <w:r>
        <w:rPr>
          <w:rFonts w:hint="eastAsia" w:ascii="仿宋" w:hAnsi="仿宋" w:eastAsia="仿宋" w:cs="仿宋"/>
          <w:color w:val="auto"/>
          <w:sz w:val="28"/>
          <w:szCs w:val="28"/>
        </w:rPr>
        <w:t>包材</w:t>
      </w:r>
      <w:r>
        <w:rPr>
          <w:rFonts w:ascii="仿宋" w:hAnsi="仿宋" w:eastAsia="仿宋" w:cs="仿宋"/>
          <w:color w:val="auto"/>
          <w:sz w:val="28"/>
          <w:szCs w:val="28"/>
        </w:rPr>
        <w:t>仓库、成品仓库等。</w:t>
      </w:r>
    </w:p>
    <w:p>
      <w:pPr>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 xml:space="preserve">第七条 </w:t>
      </w:r>
      <w:r>
        <w:rPr>
          <w:rFonts w:hint="eastAsia" w:ascii="仿宋" w:hAnsi="仿宋" w:eastAsia="仿宋" w:cs="仿宋"/>
          <w:b w:val="0"/>
          <w:bCs w:val="0"/>
          <w:color w:val="auto"/>
          <w:sz w:val="28"/>
          <w:szCs w:val="28"/>
          <w:lang w:val="en-US" w:eastAsia="zh-CN"/>
        </w:rPr>
        <w:t>饼干预拌粉、</w:t>
      </w:r>
      <w:r>
        <w:rPr>
          <w:rFonts w:hint="eastAsia" w:ascii="仿宋" w:hAnsi="仿宋" w:eastAsia="仿宋" w:cs="仿宋"/>
          <w:color w:val="auto"/>
          <w:sz w:val="28"/>
          <w:szCs w:val="28"/>
        </w:rPr>
        <w:t>热加工和冷加工预拌粉</w:t>
      </w:r>
      <w:r>
        <w:rPr>
          <w:rFonts w:hint="eastAsia" w:ascii="仿宋" w:hAnsi="仿宋" w:eastAsia="仿宋" w:cs="仿宋"/>
          <w:color w:val="auto"/>
          <w:sz w:val="28"/>
          <w:szCs w:val="28"/>
          <w:lang w:val="en-US" w:eastAsia="zh-CN"/>
        </w:rPr>
        <w:t>生产车间</w:t>
      </w:r>
      <w:r>
        <w:rPr>
          <w:rFonts w:hint="eastAsia" w:ascii="仿宋" w:hAnsi="仿宋" w:eastAsia="仿宋" w:cs="仿宋"/>
          <w:color w:val="auto"/>
          <w:sz w:val="28"/>
          <w:szCs w:val="28"/>
        </w:rPr>
        <w:t>应区分清洁作业区、准清洁作业区和一般作业区。清洁作业区入口</w:t>
      </w:r>
      <w:r>
        <w:rPr>
          <w:rFonts w:hint="eastAsia" w:ascii="仿宋" w:hAnsi="仿宋" w:eastAsia="仿宋" w:cs="仿宋"/>
          <w:color w:val="auto"/>
          <w:sz w:val="28"/>
          <w:szCs w:val="28"/>
        </w:rPr>
        <w:t>应设置</w:t>
      </w:r>
      <w:r>
        <w:rPr>
          <w:rFonts w:hint="eastAsia" w:ascii="仿宋" w:hAnsi="仿宋" w:eastAsia="仿宋" w:cs="仿宋"/>
          <w:color w:val="auto"/>
          <w:sz w:val="28"/>
          <w:szCs w:val="28"/>
        </w:rPr>
        <w:t>二次更衣室。</w:t>
      </w:r>
      <w:r>
        <w:rPr>
          <w:rFonts w:ascii="仿宋" w:hAnsi="仿宋" w:eastAsia="仿宋" w:cs="仿宋"/>
          <w:color w:val="auto"/>
          <w:sz w:val="28"/>
          <w:szCs w:val="28"/>
        </w:rPr>
        <w:t>冷加工</w:t>
      </w:r>
      <w:r>
        <w:rPr>
          <w:rFonts w:hint="eastAsia" w:ascii="仿宋" w:hAnsi="仿宋" w:eastAsia="仿宋" w:cs="仿宋"/>
          <w:color w:val="auto"/>
          <w:sz w:val="28"/>
          <w:szCs w:val="28"/>
        </w:rPr>
        <w:t>预拌粉</w:t>
      </w:r>
      <w:r>
        <w:rPr>
          <w:rFonts w:ascii="仿宋" w:hAnsi="仿宋" w:eastAsia="仿宋" w:cs="仿宋"/>
          <w:color w:val="auto"/>
          <w:sz w:val="28"/>
          <w:szCs w:val="28"/>
        </w:rPr>
        <w:t>应设专门加工车间，</w:t>
      </w:r>
      <w:r>
        <w:rPr>
          <w:rFonts w:hint="eastAsia" w:ascii="仿宋" w:hAnsi="仿宋" w:eastAsia="仿宋" w:cs="仿宋"/>
          <w:color w:val="auto"/>
          <w:sz w:val="28"/>
          <w:szCs w:val="28"/>
          <w:lang w:val="en-US" w:eastAsia="zh-CN"/>
        </w:rPr>
        <w:t>车间</w:t>
      </w:r>
      <w:r>
        <w:rPr>
          <w:rFonts w:ascii="仿宋" w:hAnsi="仿宋" w:eastAsia="仿宋" w:cs="仿宋"/>
          <w:color w:val="auto"/>
          <w:sz w:val="28"/>
          <w:szCs w:val="28"/>
        </w:rPr>
        <w:t>应为封闭式，室内装有空调器、紫外线灭菌灯等灭菌消毒设施，并设有冷藏柜。</w:t>
      </w:r>
      <w:r>
        <w:rPr>
          <w:rFonts w:hint="eastAsia" w:ascii="仿宋" w:hAnsi="仿宋" w:eastAsia="仿宋" w:cs="仿宋"/>
          <w:color w:val="auto"/>
          <w:sz w:val="28"/>
          <w:szCs w:val="28"/>
          <w:lang w:val="en-US" w:eastAsia="zh-CN"/>
        </w:rPr>
        <w:t>企业生产车间及</w:t>
      </w:r>
      <w:r>
        <w:rPr>
          <w:rFonts w:hint="eastAsia" w:ascii="仿宋" w:hAnsi="仿宋" w:eastAsia="仿宋" w:cs="仿宋"/>
          <w:color w:val="auto"/>
          <w:sz w:val="28"/>
          <w:szCs w:val="28"/>
        </w:rPr>
        <w:t>作业区</w:t>
      </w:r>
      <w:r>
        <w:rPr>
          <w:rFonts w:hint="eastAsia" w:ascii="仿宋" w:hAnsi="仿宋" w:eastAsia="仿宋" w:cs="仿宋"/>
          <w:color w:val="auto"/>
          <w:sz w:val="28"/>
          <w:szCs w:val="28"/>
          <w:lang w:val="en-US" w:eastAsia="zh-CN"/>
        </w:rPr>
        <w:t>洁净度</w:t>
      </w:r>
      <w:r>
        <w:rPr>
          <w:rFonts w:hint="eastAsia" w:ascii="仿宋" w:hAnsi="仿宋" w:eastAsia="仿宋" w:cs="仿宋"/>
          <w:color w:val="auto"/>
          <w:sz w:val="28"/>
          <w:szCs w:val="28"/>
        </w:rPr>
        <w:t>具体划分见表1。</w:t>
      </w:r>
    </w:p>
    <w:p>
      <w:pPr>
        <w:tabs>
          <w:tab w:val="left" w:pos="0"/>
          <w:tab w:val="left" w:pos="425"/>
        </w:tabs>
        <w:spacing w:line="500" w:lineRule="exact"/>
        <w:ind w:firstLine="1960" w:firstLineChars="700"/>
        <w:outlineLvl w:val="3"/>
        <w:rPr>
          <w:rFonts w:ascii="仿宋" w:hAnsi="仿宋" w:eastAsia="仿宋" w:cs="仿宋"/>
          <w:color w:val="auto"/>
          <w:sz w:val="28"/>
          <w:szCs w:val="28"/>
        </w:rPr>
      </w:pPr>
      <w:r>
        <w:rPr>
          <w:rFonts w:hint="eastAsia" w:ascii="仿宋" w:hAnsi="仿宋" w:eastAsia="仿宋" w:cs="仿宋"/>
          <w:color w:val="auto"/>
          <w:sz w:val="28"/>
          <w:szCs w:val="28"/>
        </w:rPr>
        <w:t>表1</w:t>
      </w:r>
      <w:r>
        <w:rPr>
          <w:rFonts w:hint="eastAsia" w:ascii="仿宋" w:hAnsi="仿宋" w:eastAsia="仿宋" w:cs="仿宋"/>
          <w:color w:val="auto"/>
          <w:sz w:val="28"/>
          <w:szCs w:val="28"/>
          <w:lang w:val="en-US" w:eastAsia="zh-CN"/>
        </w:rPr>
        <w:t>企业生产车间及</w:t>
      </w:r>
      <w:r>
        <w:rPr>
          <w:rFonts w:hint="eastAsia" w:ascii="仿宋" w:hAnsi="仿宋" w:eastAsia="仿宋" w:cs="仿宋"/>
          <w:color w:val="auto"/>
          <w:sz w:val="28"/>
          <w:szCs w:val="28"/>
        </w:rPr>
        <w:t>作业区</w:t>
      </w:r>
      <w:r>
        <w:rPr>
          <w:rFonts w:hint="eastAsia" w:ascii="仿宋" w:hAnsi="仿宋" w:eastAsia="仿宋" w:cs="仿宋"/>
          <w:color w:val="auto"/>
          <w:sz w:val="28"/>
          <w:szCs w:val="28"/>
          <w:lang w:val="en-US" w:eastAsia="zh-CN"/>
        </w:rPr>
        <w:t>洁净度</w:t>
      </w:r>
      <w:r>
        <w:rPr>
          <w:rFonts w:hint="eastAsia" w:ascii="仿宋" w:hAnsi="仿宋" w:eastAsia="仿宋" w:cs="仿宋"/>
          <w:color w:val="auto"/>
          <w:sz w:val="28"/>
          <w:szCs w:val="28"/>
        </w:rPr>
        <w:t>划分表</w:t>
      </w:r>
    </w:p>
    <w:tbl>
      <w:tblPr>
        <w:tblStyle w:val="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618"/>
        <w:gridCol w:w="225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产品名称</w:t>
            </w:r>
          </w:p>
        </w:tc>
        <w:tc>
          <w:tcPr>
            <w:tcW w:w="26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清洁作业区</w:t>
            </w:r>
          </w:p>
        </w:tc>
        <w:tc>
          <w:tcPr>
            <w:tcW w:w="2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准清洁作业区</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热加工糕点预拌粉</w:t>
            </w:r>
            <w:r>
              <w:rPr>
                <w:rFonts w:hint="eastAsia" w:ascii="仿宋" w:hAnsi="仿宋" w:eastAsia="仿宋" w:cs="仿宋"/>
                <w:color w:val="auto"/>
                <w:sz w:val="28"/>
                <w:szCs w:val="28"/>
              </w:rPr>
              <w:t>、饼干预拌粉</w:t>
            </w:r>
          </w:p>
        </w:tc>
        <w:tc>
          <w:tcPr>
            <w:tcW w:w="48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原辅料预处理间、脱包缓冲间、</w:t>
            </w:r>
            <w:r>
              <w:rPr>
                <w:rFonts w:ascii="仿宋" w:hAnsi="仿宋" w:eastAsia="仿宋" w:cs="仿宋"/>
                <w:color w:val="auto"/>
                <w:sz w:val="28"/>
                <w:szCs w:val="28"/>
              </w:rPr>
              <w:t>配料</w:t>
            </w:r>
            <w:r>
              <w:rPr>
                <w:rFonts w:hint="eastAsia" w:ascii="仿宋" w:hAnsi="仿宋" w:eastAsia="仿宋" w:cs="仿宋"/>
                <w:color w:val="auto"/>
                <w:sz w:val="28"/>
                <w:szCs w:val="28"/>
              </w:rPr>
              <w:t>车间、混合车间、</w:t>
            </w:r>
            <w:r>
              <w:rPr>
                <w:rFonts w:ascii="仿宋" w:hAnsi="仿宋" w:eastAsia="仿宋" w:cs="仿宋"/>
                <w:color w:val="auto"/>
                <w:sz w:val="28"/>
                <w:szCs w:val="28"/>
              </w:rPr>
              <w:t>内包装</w:t>
            </w:r>
            <w:r>
              <w:rPr>
                <w:rFonts w:hint="eastAsia" w:ascii="仿宋" w:hAnsi="仿宋" w:eastAsia="仿宋" w:cs="仿宋"/>
                <w:color w:val="auto"/>
                <w:sz w:val="28"/>
                <w:szCs w:val="28"/>
              </w:rPr>
              <w:t>车间、</w:t>
            </w:r>
            <w:r>
              <w:rPr>
                <w:rFonts w:hint="eastAsia" w:ascii="仿宋" w:hAnsi="仿宋" w:eastAsia="仿宋" w:cs="仿宋"/>
                <w:color w:val="auto"/>
                <w:sz w:val="28"/>
                <w:szCs w:val="28"/>
              </w:rPr>
              <w:t>内包材消毒间</w:t>
            </w:r>
            <w:r>
              <w:rPr>
                <w:rFonts w:hint="eastAsia" w:ascii="仿宋" w:hAnsi="仿宋" w:eastAsia="仿宋" w:cs="仿宋"/>
                <w:color w:val="auto"/>
                <w:sz w:val="28"/>
                <w:szCs w:val="28"/>
              </w:rPr>
              <w:t>等</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cs="仿宋"/>
                <w:color w:val="auto"/>
                <w:sz w:val="28"/>
                <w:szCs w:val="28"/>
              </w:rPr>
            </w:pPr>
            <w:r>
              <w:rPr>
                <w:rFonts w:ascii="仿宋" w:hAnsi="仿宋" w:eastAsia="仿宋" w:cs="仿宋"/>
                <w:color w:val="auto"/>
                <w:sz w:val="28"/>
                <w:szCs w:val="28"/>
              </w:rPr>
              <w:t>外包装间、原辅</w:t>
            </w:r>
            <w:r>
              <w:rPr>
                <w:rFonts w:hint="eastAsia" w:ascii="仿宋" w:hAnsi="仿宋" w:eastAsia="仿宋" w:cs="仿宋"/>
                <w:color w:val="auto"/>
                <w:sz w:val="28"/>
                <w:szCs w:val="28"/>
              </w:rPr>
              <w:t>料</w:t>
            </w:r>
            <w:r>
              <w:rPr>
                <w:rFonts w:ascii="仿宋" w:hAnsi="仿宋" w:eastAsia="仿宋" w:cs="仿宋"/>
                <w:color w:val="auto"/>
                <w:sz w:val="28"/>
                <w:szCs w:val="28"/>
              </w:rPr>
              <w:t>仓库、包</w:t>
            </w:r>
            <w:r>
              <w:rPr>
                <w:rFonts w:hint="eastAsia" w:ascii="仿宋" w:hAnsi="仿宋" w:eastAsia="仿宋" w:cs="仿宋"/>
                <w:color w:val="auto"/>
                <w:sz w:val="28"/>
                <w:szCs w:val="28"/>
              </w:rPr>
              <w:t>材</w:t>
            </w:r>
            <w:r>
              <w:rPr>
                <w:rFonts w:ascii="仿宋" w:hAnsi="仿宋" w:eastAsia="仿宋" w:cs="仿宋"/>
                <w:color w:val="auto"/>
                <w:sz w:val="28"/>
                <w:szCs w:val="28"/>
              </w:rPr>
              <w:t>仓库</w:t>
            </w:r>
            <w:r>
              <w:rPr>
                <w:rFonts w:hint="eastAsia" w:ascii="仿宋" w:hAnsi="仿宋" w:eastAsia="仿宋" w:cs="仿宋"/>
                <w:color w:val="auto"/>
                <w:sz w:val="28"/>
                <w:szCs w:val="28"/>
              </w:rPr>
              <w:t>、</w:t>
            </w:r>
            <w:r>
              <w:rPr>
                <w:rFonts w:ascii="仿宋" w:hAnsi="仿宋" w:eastAsia="仿宋" w:cs="仿宋"/>
                <w:color w:val="auto"/>
                <w:sz w:val="28"/>
                <w:szCs w:val="28"/>
              </w:rPr>
              <w:t>成品仓库等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冷加工糕点预拌粉</w:t>
            </w:r>
          </w:p>
        </w:tc>
        <w:tc>
          <w:tcPr>
            <w:tcW w:w="26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color w:val="auto"/>
                <w:sz w:val="28"/>
                <w:szCs w:val="28"/>
              </w:rPr>
            </w:pPr>
            <w:r>
              <w:rPr>
                <w:rFonts w:ascii="仿宋" w:hAnsi="仿宋" w:eastAsia="仿宋" w:cs="仿宋"/>
                <w:color w:val="auto"/>
                <w:sz w:val="28"/>
                <w:szCs w:val="28"/>
              </w:rPr>
              <w:t>配料</w:t>
            </w:r>
            <w:r>
              <w:rPr>
                <w:rFonts w:hint="eastAsia" w:ascii="仿宋" w:hAnsi="仿宋" w:eastAsia="仿宋" w:cs="仿宋"/>
                <w:color w:val="auto"/>
                <w:sz w:val="28"/>
                <w:szCs w:val="28"/>
              </w:rPr>
              <w:t>车间、混合车间、</w:t>
            </w:r>
            <w:r>
              <w:rPr>
                <w:rFonts w:ascii="仿宋" w:hAnsi="仿宋" w:eastAsia="仿宋" w:cs="仿宋"/>
                <w:color w:val="auto"/>
                <w:sz w:val="28"/>
                <w:szCs w:val="28"/>
              </w:rPr>
              <w:t>内包装</w:t>
            </w:r>
            <w:r>
              <w:rPr>
                <w:rFonts w:hint="eastAsia" w:ascii="仿宋" w:hAnsi="仿宋" w:eastAsia="仿宋" w:cs="仿宋"/>
                <w:color w:val="auto"/>
                <w:sz w:val="28"/>
                <w:szCs w:val="28"/>
              </w:rPr>
              <w:t>车间、内包材消毒间等</w:t>
            </w:r>
          </w:p>
        </w:tc>
        <w:tc>
          <w:tcPr>
            <w:tcW w:w="22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color w:val="auto"/>
                <w:sz w:val="28"/>
                <w:szCs w:val="28"/>
              </w:rPr>
            </w:pPr>
            <w:r>
              <w:rPr>
                <w:rFonts w:hint="eastAsia" w:ascii="仿宋" w:hAnsi="仿宋" w:eastAsia="仿宋" w:cs="仿宋"/>
                <w:color w:val="auto"/>
                <w:sz w:val="28"/>
                <w:szCs w:val="28"/>
              </w:rPr>
              <w:t xml:space="preserve">原辅料预处理间、脱包缓冲间等 </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color w:val="auto"/>
                <w:sz w:val="28"/>
                <w:szCs w:val="28"/>
              </w:rPr>
            </w:pPr>
            <w:r>
              <w:rPr>
                <w:rFonts w:ascii="仿宋" w:hAnsi="仿宋" w:eastAsia="仿宋" w:cs="仿宋"/>
                <w:color w:val="auto"/>
                <w:sz w:val="28"/>
                <w:szCs w:val="28"/>
              </w:rPr>
              <w:t>外包装间、原辅</w:t>
            </w:r>
            <w:r>
              <w:rPr>
                <w:rFonts w:hint="eastAsia" w:ascii="仿宋" w:hAnsi="仿宋" w:eastAsia="仿宋" w:cs="仿宋"/>
                <w:color w:val="auto"/>
                <w:sz w:val="28"/>
                <w:szCs w:val="28"/>
              </w:rPr>
              <w:t>料</w:t>
            </w:r>
            <w:r>
              <w:rPr>
                <w:rFonts w:ascii="仿宋" w:hAnsi="仿宋" w:eastAsia="仿宋" w:cs="仿宋"/>
                <w:color w:val="auto"/>
                <w:sz w:val="28"/>
                <w:szCs w:val="28"/>
              </w:rPr>
              <w:t>仓库、包</w:t>
            </w:r>
            <w:r>
              <w:rPr>
                <w:rFonts w:hint="eastAsia" w:ascii="仿宋" w:hAnsi="仿宋" w:eastAsia="仿宋" w:cs="仿宋"/>
                <w:color w:val="auto"/>
                <w:sz w:val="28"/>
                <w:szCs w:val="28"/>
              </w:rPr>
              <w:t>材</w:t>
            </w:r>
            <w:r>
              <w:rPr>
                <w:rFonts w:ascii="仿宋" w:hAnsi="仿宋" w:eastAsia="仿宋" w:cs="仿宋"/>
                <w:color w:val="auto"/>
                <w:sz w:val="28"/>
                <w:szCs w:val="28"/>
              </w:rPr>
              <w:t>仓库</w:t>
            </w:r>
            <w:r>
              <w:rPr>
                <w:rFonts w:hint="eastAsia" w:ascii="仿宋" w:hAnsi="仿宋" w:eastAsia="仿宋" w:cs="仿宋"/>
                <w:color w:val="auto"/>
                <w:sz w:val="28"/>
                <w:szCs w:val="28"/>
              </w:rPr>
              <w:t>、</w:t>
            </w:r>
            <w:r>
              <w:rPr>
                <w:rFonts w:ascii="仿宋" w:hAnsi="仿宋" w:eastAsia="仿宋" w:cs="仿宋"/>
                <w:color w:val="auto"/>
                <w:sz w:val="28"/>
                <w:szCs w:val="28"/>
              </w:rPr>
              <w:t>成品仓库等</w:t>
            </w:r>
          </w:p>
        </w:tc>
      </w:tr>
    </w:tbl>
    <w:p>
      <w:pPr>
        <w:tabs>
          <w:tab w:val="left" w:pos="0"/>
          <w:tab w:val="left" w:pos="425"/>
        </w:tabs>
        <w:spacing w:line="500" w:lineRule="exact"/>
        <w:ind w:firstLine="562" w:firstLineChars="200"/>
        <w:outlineLvl w:val="3"/>
        <w:rPr>
          <w:rFonts w:ascii="仿宋" w:hAnsi="仿宋" w:eastAsia="仿宋" w:cs="仿宋"/>
          <w:color w:val="auto"/>
          <w:kern w:val="0"/>
          <w:sz w:val="28"/>
          <w:szCs w:val="28"/>
        </w:rPr>
      </w:pPr>
      <w:r>
        <w:rPr>
          <w:rFonts w:hint="eastAsia" w:ascii="仿宋" w:hAnsi="仿宋" w:eastAsia="仿宋" w:cs="仿宋"/>
          <w:b/>
          <w:bCs/>
          <w:color w:val="auto"/>
          <w:kern w:val="0"/>
          <w:sz w:val="28"/>
          <w:szCs w:val="28"/>
        </w:rPr>
        <w:t>第八条</w:t>
      </w:r>
      <w:r>
        <w:rPr>
          <w:rFonts w:hint="eastAsia" w:ascii="仿宋" w:hAnsi="仿宋" w:eastAsia="仿宋" w:cs="仿宋"/>
          <w:color w:val="auto"/>
          <w:sz w:val="28"/>
          <w:szCs w:val="28"/>
        </w:rPr>
        <w:t xml:space="preserve"> 生产车间地面应平整、便于清洗、消毒及保持清洁。</w:t>
      </w:r>
      <w:r>
        <w:rPr>
          <w:rFonts w:ascii="仿宋" w:hAnsi="仿宋" w:eastAsia="仿宋" w:cs="仿宋"/>
          <w:color w:val="auto"/>
          <w:kern w:val="0"/>
          <w:sz w:val="28"/>
          <w:szCs w:val="28"/>
        </w:rPr>
        <w:t>清洁作业区内部隔断、地面应采用符合生产卫生要求的材料制作。清洁作业区的温度、相对湿度应与生产工艺相适应。清洁作业区内的空气应进行杀菌消毒或净化处理，并保持正压，确保空气由高清洁区向低清洁区流动。企业的质量检验</w:t>
      </w:r>
      <w:r>
        <w:rPr>
          <w:rFonts w:hint="eastAsia" w:ascii="仿宋" w:hAnsi="仿宋" w:eastAsia="仿宋" w:cs="仿宋"/>
          <w:color w:val="auto"/>
          <w:kern w:val="0"/>
          <w:sz w:val="28"/>
          <w:szCs w:val="28"/>
        </w:rPr>
        <w:t>部门</w:t>
      </w:r>
      <w:r>
        <w:rPr>
          <w:rFonts w:ascii="仿宋" w:hAnsi="仿宋" w:eastAsia="仿宋" w:cs="仿宋"/>
          <w:color w:val="auto"/>
          <w:kern w:val="0"/>
          <w:sz w:val="28"/>
          <w:szCs w:val="28"/>
        </w:rPr>
        <w:t>需</w:t>
      </w:r>
      <w:r>
        <w:rPr>
          <w:rFonts w:hint="eastAsia" w:ascii="仿宋" w:hAnsi="仿宋" w:eastAsia="仿宋" w:cs="仿宋"/>
          <w:color w:val="auto"/>
          <w:kern w:val="0"/>
          <w:sz w:val="28"/>
          <w:szCs w:val="28"/>
        </w:rPr>
        <w:t>定期</w:t>
      </w:r>
      <w:r>
        <w:rPr>
          <w:rFonts w:ascii="仿宋" w:hAnsi="仿宋" w:eastAsia="仿宋" w:cs="仿宋"/>
          <w:color w:val="auto"/>
          <w:kern w:val="0"/>
          <w:sz w:val="28"/>
          <w:szCs w:val="28"/>
        </w:rPr>
        <w:t>对空气</w:t>
      </w:r>
      <w:r>
        <w:rPr>
          <w:rFonts w:hint="eastAsia" w:ascii="仿宋" w:hAnsi="仿宋" w:eastAsia="仿宋" w:cs="仿宋"/>
          <w:color w:val="auto"/>
          <w:sz w:val="28"/>
          <w:szCs w:val="28"/>
        </w:rPr>
        <w:t>洁净度</w:t>
      </w:r>
      <w:r>
        <w:rPr>
          <w:rFonts w:ascii="仿宋" w:hAnsi="仿宋" w:eastAsia="仿宋" w:cs="仿宋"/>
          <w:color w:val="auto"/>
          <w:kern w:val="0"/>
          <w:sz w:val="28"/>
          <w:szCs w:val="28"/>
        </w:rPr>
        <w:t>进行监测。</w:t>
      </w:r>
    </w:p>
    <w:p>
      <w:pPr>
        <w:tabs>
          <w:tab w:val="left" w:pos="0"/>
          <w:tab w:val="left" w:pos="425"/>
        </w:tabs>
        <w:spacing w:line="500" w:lineRule="exact"/>
        <w:ind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不得采用甲醛、高锰酸钾熏蒸方式对环境场所进行消毒杀菌。</w:t>
      </w:r>
    </w:p>
    <w:p>
      <w:pPr>
        <w:tabs>
          <w:tab w:val="left" w:pos="0"/>
          <w:tab w:val="left" w:pos="425"/>
        </w:tabs>
        <w:spacing w:line="500" w:lineRule="exact"/>
        <w:ind w:firstLine="562" w:firstLineChars="200"/>
        <w:outlineLvl w:val="3"/>
        <w:rPr>
          <w:rFonts w:ascii="仿宋" w:hAnsi="仿宋" w:eastAsia="仿宋" w:cs="仿宋"/>
          <w:color w:val="auto"/>
          <w:spacing w:val="4"/>
          <w:sz w:val="28"/>
          <w:szCs w:val="28"/>
        </w:rPr>
      </w:pPr>
      <w:r>
        <w:rPr>
          <w:rFonts w:hint="eastAsia" w:ascii="仿宋" w:hAnsi="仿宋" w:eastAsia="仿宋" w:cs="仿宋"/>
          <w:b/>
          <w:bCs/>
          <w:color w:val="auto"/>
          <w:kern w:val="0"/>
          <w:sz w:val="28"/>
          <w:szCs w:val="28"/>
        </w:rPr>
        <w:t>第九条</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4"/>
          <w:sz w:val="28"/>
          <w:szCs w:val="28"/>
        </w:rPr>
        <w:t>应具有与所生产产品的数量、贮存要求相适应的仓储设施，并有通风和照明设施，必要时设有温、湿度控制设施（空调、冷库），满足物料或产品的贮存条件（如温湿度、避光）和安全贮存的要求。</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第十条</w:t>
      </w:r>
      <w:r>
        <w:rPr>
          <w:rFonts w:hint="eastAsia" w:ascii="仿宋" w:hAnsi="仿宋" w:eastAsia="仿宋" w:cs="仿宋"/>
          <w:color w:val="auto"/>
          <w:sz w:val="28"/>
          <w:szCs w:val="28"/>
        </w:rPr>
        <w:t xml:space="preserve"> 应建立仓储管理制度，原辅料、半成品、成品、包装材料等应依据性质的不同分设贮存场所或分区域码放，并有明确标识；不得将原辅料、产品与有毒有害物品一同贮存，防止交叉污染。不合格、退货或召回的物料或产品应分区存放并明确标示。清洁剂、消毒剂等应采用适宜的器具妥善保存，包装标识完整，应与原辅料、半成品、成品、包装材料等分隔放置。</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sz w:val="28"/>
          <w:szCs w:val="28"/>
        </w:rPr>
        <w:t>第十一条</w:t>
      </w:r>
      <w:r>
        <w:rPr>
          <w:rFonts w:hint="eastAsia" w:ascii="仿宋" w:hAnsi="仿宋" w:eastAsia="仿宋" w:cs="仿宋"/>
          <w:color w:val="auto"/>
          <w:sz w:val="28"/>
          <w:szCs w:val="28"/>
        </w:rPr>
        <w:t xml:space="preserve"> 食品添加剂</w:t>
      </w:r>
      <w:r>
        <w:rPr>
          <w:rFonts w:hint="eastAsia" w:ascii="仿宋" w:hAnsi="仿宋" w:eastAsia="仿宋" w:cs="仿宋"/>
          <w:color w:val="auto"/>
          <w:sz w:val="28"/>
          <w:szCs w:val="28"/>
          <w:lang w:eastAsia="zh-CN"/>
        </w:rPr>
        <w:t>的使用应符合《</w:t>
      </w:r>
      <w:r>
        <w:rPr>
          <w:rFonts w:hint="eastAsia" w:ascii="仿宋" w:hAnsi="仿宋" w:eastAsia="仿宋" w:cs="仿宋"/>
          <w:color w:val="auto"/>
          <w:sz w:val="28"/>
          <w:szCs w:val="28"/>
          <w:lang w:val="en-US" w:eastAsia="zh-CN"/>
        </w:rPr>
        <w:t>食品安全国家标准</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食品添加剂使用标准》（</w:t>
      </w:r>
      <w:r>
        <w:rPr>
          <w:rFonts w:hint="eastAsia" w:ascii="仿宋" w:hAnsi="仿宋" w:eastAsia="仿宋" w:cs="仿宋"/>
          <w:color w:val="auto"/>
          <w:sz w:val="28"/>
          <w:szCs w:val="28"/>
          <w:lang w:eastAsia="zh-CN"/>
        </w:rPr>
        <w:t>GB</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2760</w:t>
      </w:r>
      <w:r>
        <w:rPr>
          <w:rFonts w:hint="eastAsia" w:ascii="仿宋" w:hAnsi="仿宋" w:eastAsia="仿宋" w:cs="仿宋"/>
          <w:color w:val="auto"/>
          <w:sz w:val="28"/>
          <w:szCs w:val="28"/>
          <w:lang w:eastAsia="zh-CN"/>
        </w:rPr>
        <w:t>）的规定，</w:t>
      </w:r>
      <w:r>
        <w:rPr>
          <w:rFonts w:hint="eastAsia" w:ascii="仿宋" w:hAnsi="仿宋" w:eastAsia="仿宋" w:cs="仿宋"/>
          <w:color w:val="auto"/>
          <w:sz w:val="28"/>
          <w:szCs w:val="28"/>
        </w:rPr>
        <w:t>由专人负责管理，设置专库或专区存放，</w:t>
      </w:r>
      <w:r>
        <w:rPr>
          <w:rFonts w:hint="eastAsia" w:ascii="仿宋" w:hAnsi="仿宋" w:eastAsia="仿宋" w:cs="仿宋"/>
          <w:color w:val="auto"/>
          <w:sz w:val="28"/>
          <w:szCs w:val="28"/>
          <w:lang w:eastAsia="zh-CN"/>
        </w:rPr>
        <w:t>使用专用称量工具，</w:t>
      </w:r>
      <w:r>
        <w:rPr>
          <w:rFonts w:hint="eastAsia" w:ascii="仿宋" w:hAnsi="仿宋" w:eastAsia="仿宋" w:cs="仿宋"/>
          <w:color w:val="auto"/>
          <w:sz w:val="28"/>
          <w:szCs w:val="28"/>
        </w:rPr>
        <w:t>记录食品添加剂名称、进货时间、进货量和使用量等。</w:t>
      </w:r>
    </w:p>
    <w:p>
      <w:pPr>
        <w:tabs>
          <w:tab w:val="left" w:pos="8820"/>
        </w:tabs>
        <w:spacing w:before="240" w:line="500" w:lineRule="exact"/>
        <w:jc w:val="center"/>
        <w:rPr>
          <w:rFonts w:ascii="仿宋" w:hAnsi="仿宋" w:eastAsia="仿宋" w:cs="仿宋"/>
          <w:color w:val="auto"/>
          <w:sz w:val="28"/>
          <w:szCs w:val="28"/>
        </w:rPr>
      </w:pPr>
      <w:bookmarkStart w:id="8" w:name="_Toc416939952"/>
      <w:bookmarkStart w:id="9" w:name="_Toc415228665"/>
      <w:bookmarkStart w:id="10" w:name="_Toc31569"/>
      <w:r>
        <w:rPr>
          <w:rFonts w:hint="eastAsia" w:ascii="仿宋" w:hAnsi="仿宋" w:eastAsia="仿宋" w:cs="仿宋"/>
          <w:b/>
          <w:bCs/>
          <w:color w:val="auto"/>
          <w:kern w:val="0"/>
          <w:sz w:val="28"/>
          <w:szCs w:val="28"/>
        </w:rPr>
        <w:t>第三章  设备设施</w:t>
      </w:r>
      <w:bookmarkEnd w:id="8"/>
      <w:bookmarkEnd w:id="9"/>
      <w:bookmarkEnd w:id="10"/>
      <w:bookmarkStart w:id="11" w:name="_Toc415228668"/>
    </w:p>
    <w:p>
      <w:pPr>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第十二条</w:t>
      </w:r>
      <w:r>
        <w:rPr>
          <w:rFonts w:hint="eastAsia" w:ascii="仿宋" w:hAnsi="仿宋" w:eastAsia="仿宋" w:cs="仿宋"/>
          <w:color w:val="auto"/>
          <w:sz w:val="28"/>
          <w:szCs w:val="28"/>
        </w:rPr>
        <w:t xml:space="preserve"> 企业应具有与申证产品品种相适应的生产设备设施、</w:t>
      </w:r>
      <w:r>
        <w:rPr>
          <w:rFonts w:hint="eastAsia" w:ascii="仿宋" w:hAnsi="仿宋" w:eastAsia="仿宋"/>
          <w:color w:val="auto"/>
          <w:kern w:val="0"/>
          <w:sz w:val="28"/>
          <w:szCs w:val="28"/>
        </w:rPr>
        <w:t>计量称重设备</w:t>
      </w:r>
      <w:r>
        <w:rPr>
          <w:rFonts w:hint="eastAsia" w:ascii="仿宋" w:hAnsi="仿宋" w:eastAsia="仿宋" w:cs="仿宋"/>
          <w:color w:val="auto"/>
          <w:sz w:val="28"/>
          <w:szCs w:val="28"/>
        </w:rPr>
        <w:t>，各个设备的设计产能应能相互匹配，其性能与精密度应符合生产要求，便于操作、清洁、维护和消毒或灭菌。</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第十三条</w:t>
      </w:r>
      <w:r>
        <w:rPr>
          <w:rFonts w:hint="eastAsia" w:ascii="仿宋" w:hAnsi="仿宋" w:eastAsia="仿宋" w:cs="仿宋"/>
          <w:color w:val="auto"/>
          <w:spacing w:val="4"/>
          <w:sz w:val="28"/>
          <w:szCs w:val="28"/>
        </w:rPr>
        <w:t xml:space="preserve"> 与原辅料、半成品、成品直接或间接接触的所有设备与用具，应使用安全、无毒、无臭味或异味、耐磨损、防吸收、耐腐蚀且可承受反复清洗和消毒的材料制造，直接接触面的材质应符合食品相关产品的有关标准。</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第十四条</w:t>
      </w:r>
      <w:r>
        <w:rPr>
          <w:rFonts w:hint="eastAsia" w:ascii="仿宋" w:hAnsi="仿宋" w:eastAsia="仿宋" w:cs="仿宋"/>
          <w:color w:val="auto"/>
          <w:spacing w:val="4"/>
          <w:sz w:val="28"/>
          <w:szCs w:val="28"/>
        </w:rPr>
        <w:t xml:space="preserve">  生产设备根据实际工艺需要配备，一般包括：1.配料设备；2.混合设备；3.包装设备4.生产日期和批号标注设备设施。</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第十五条</w:t>
      </w:r>
      <w:r>
        <w:rPr>
          <w:rFonts w:hint="eastAsia" w:ascii="仿宋" w:hAnsi="仿宋" w:eastAsia="仿宋" w:cs="仿宋"/>
          <w:color w:val="auto"/>
          <w:spacing w:val="4"/>
          <w:sz w:val="28"/>
          <w:szCs w:val="28"/>
        </w:rPr>
        <w:t xml:space="preserve"> 生产用水的水质应符合生活饮用水卫生标准。有合理的排水设施和废水处理设施，排水流向应由清洁程度要求高的区域流向清洁程度要求低的区域，排水系统入口应安装带水封的地漏，以防止固体废弃物进入及浊气逸出，并有防止废水逆流的设计。</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第十六条</w:t>
      </w:r>
      <w:r>
        <w:rPr>
          <w:rFonts w:hint="eastAsia" w:ascii="仿宋" w:hAnsi="仿宋" w:eastAsia="仿宋" w:cs="仿宋"/>
          <w:color w:val="auto"/>
          <w:spacing w:val="4"/>
          <w:sz w:val="28"/>
          <w:szCs w:val="28"/>
        </w:rPr>
        <w:t xml:space="preserve"> 有固定管道设施的应标明内容物名称和流向。用于测定、控制、记录的监控设备，如压力表、温度计等，应定期校准、维护，确保准确有效。</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第十七条</w:t>
      </w:r>
      <w:r>
        <w:rPr>
          <w:rFonts w:hint="eastAsia" w:ascii="仿宋" w:hAnsi="仿宋" w:eastAsia="仿宋" w:cs="仿宋"/>
          <w:color w:val="auto"/>
          <w:spacing w:val="4"/>
          <w:sz w:val="28"/>
          <w:szCs w:val="28"/>
        </w:rPr>
        <w:t xml:space="preserve"> 应配备设计合理、防止渗漏、易于清洁的存放废弃物的专用设施，盛装废弃物的容器不得与盛装产品与原料的容器混用，车间内存放废弃物的设施和容器应标识清晰</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第十八条</w:t>
      </w:r>
      <w:r>
        <w:rPr>
          <w:rFonts w:hint="eastAsia" w:ascii="仿宋" w:hAnsi="仿宋" w:eastAsia="仿宋" w:cs="仿宋"/>
          <w:color w:val="auto"/>
          <w:spacing w:val="4"/>
          <w:sz w:val="28"/>
          <w:szCs w:val="28"/>
        </w:rPr>
        <w:t xml:space="preserve"> 更衣室及洗手消毒室应设在车间入口处，洗手消毒室内应配置足够数量的非手动式洗手设施、消毒设施和感应式干手设施。</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第十九条</w:t>
      </w:r>
      <w:r>
        <w:rPr>
          <w:rFonts w:hint="eastAsia" w:ascii="仿宋" w:hAnsi="仿宋" w:eastAsia="仿宋" w:cs="仿宋"/>
          <w:color w:val="auto"/>
          <w:spacing w:val="4"/>
          <w:sz w:val="28"/>
          <w:szCs w:val="28"/>
        </w:rPr>
        <w:t xml:space="preserve"> 清洁作业区的入口应设置二次更衣室，更衣室的空气洁净度应符合清洁作业区的要求，更衣室对应不同洁净区两边的门应防止同时被开启。应设置阻拦式鞋柜、独立洁净服存放柜、洗手消毒设施等。</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第二十条</w:t>
      </w:r>
      <w:r>
        <w:rPr>
          <w:rFonts w:hint="eastAsia" w:ascii="仿宋" w:hAnsi="仿宋" w:eastAsia="仿宋" w:cs="仿宋"/>
          <w:color w:val="auto"/>
          <w:spacing w:val="4"/>
          <w:sz w:val="28"/>
          <w:szCs w:val="28"/>
        </w:rPr>
        <w:t xml:space="preserve"> </w:t>
      </w:r>
      <w:bookmarkStart w:id="12" w:name="_Toc1706"/>
      <w:r>
        <w:rPr>
          <w:rFonts w:hint="eastAsia" w:ascii="仿宋" w:hAnsi="仿宋" w:eastAsia="仿宋" w:cs="仿宋"/>
          <w:color w:val="auto"/>
          <w:spacing w:val="4"/>
          <w:sz w:val="28"/>
          <w:szCs w:val="28"/>
        </w:rPr>
        <w:t>清洁作业区的员工应着清洁工作服，并配备帽子、口罩和工作鞋，要保持工作服使用前后相互分离。准清洁作业区、一般作业区的员工工作服应符合相应区域卫生要求，并配备帽子和工作鞋。</w:t>
      </w:r>
    </w:p>
    <w:p>
      <w:pPr>
        <w:pStyle w:val="2"/>
        <w:spacing w:line="520" w:lineRule="exact"/>
        <w:ind w:firstLine="578" w:firstLineChars="200"/>
        <w:jc w:val="left"/>
        <w:rPr>
          <w:rFonts w:ascii="仿宋" w:hAnsi="仿宋" w:eastAsia="仿宋" w:cs="仿宋"/>
          <w:color w:val="auto"/>
          <w:sz w:val="28"/>
          <w:szCs w:val="28"/>
        </w:rPr>
      </w:pPr>
      <w:r>
        <w:rPr>
          <w:rFonts w:hint="eastAsia" w:ascii="仿宋" w:hAnsi="仿宋" w:eastAsia="仿宋" w:cs="仿宋"/>
          <w:b/>
          <w:bCs/>
          <w:color w:val="auto"/>
          <w:spacing w:val="4"/>
          <w:sz w:val="28"/>
          <w:szCs w:val="28"/>
        </w:rPr>
        <w:t xml:space="preserve">第二十一条 </w:t>
      </w:r>
      <w:r>
        <w:rPr>
          <w:rFonts w:hint="eastAsia" w:ascii="仿宋" w:hAnsi="仿宋" w:eastAsia="仿宋" w:cs="仿宋"/>
          <w:color w:val="auto"/>
          <w:spacing w:val="4"/>
          <w:sz w:val="28"/>
          <w:szCs w:val="28"/>
        </w:rPr>
        <w:t>清洁作业区应满足相应空气洁净度要求，必须安装初效和中效空气净化设备。</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第二十二条</w:t>
      </w:r>
      <w:r>
        <w:rPr>
          <w:rFonts w:hint="eastAsia" w:ascii="仿宋" w:hAnsi="仿宋" w:eastAsia="仿宋" w:cs="仿宋"/>
          <w:color w:val="auto"/>
          <w:spacing w:val="4"/>
          <w:sz w:val="28"/>
          <w:szCs w:val="28"/>
        </w:rPr>
        <w:t xml:space="preserve"> 应制定检验管理制度，包括对原辅料、半成品、成品的出厂检验管理规定，确保产品符合食品安全标准要求。企业应具备满足半成品、成品检验所需的检验设备、设施和试剂。如：分析天平（0.1mg）、天平（0.1g）、干燥箱、微生物培养箱、无菌室或超净工作台、灭菌锅、生物显微镜等。企业委托出厂检验的项目可不配备相应项目的检验设备。</w:t>
      </w:r>
    </w:p>
    <w:p>
      <w:pPr>
        <w:pStyle w:val="2"/>
        <w:tabs>
          <w:tab w:val="left" w:pos="0"/>
        </w:tabs>
        <w:spacing w:line="520" w:lineRule="exact"/>
        <w:ind w:firstLine="560" w:firstLineChars="200"/>
        <w:rPr>
          <w:rFonts w:ascii="仿宋" w:hAnsi="仿宋" w:eastAsia="仿宋" w:cs="仿宋"/>
          <w:color w:val="auto"/>
          <w:spacing w:val="4"/>
          <w:sz w:val="28"/>
          <w:szCs w:val="28"/>
        </w:rPr>
      </w:pPr>
      <w:r>
        <w:rPr>
          <w:rFonts w:hint="eastAsia" w:ascii="仿宋" w:hAnsi="仿宋" w:eastAsia="仿宋" w:cs="仿宋"/>
          <w:color w:val="auto"/>
          <w:sz w:val="28"/>
          <w:szCs w:val="28"/>
        </w:rPr>
        <w:t>饼干、糕点</w:t>
      </w:r>
      <w:r>
        <w:rPr>
          <w:rFonts w:hint="eastAsia" w:ascii="仿宋" w:hAnsi="仿宋" w:eastAsia="仿宋" w:cs="仿宋"/>
          <w:color w:val="auto"/>
          <w:sz w:val="28"/>
          <w:szCs w:val="28"/>
          <w:lang w:val="en-US" w:eastAsia="zh-CN"/>
        </w:rPr>
        <w:t>预拌粉生产</w:t>
      </w:r>
      <w:r>
        <w:rPr>
          <w:rFonts w:hint="eastAsia" w:ascii="仿宋" w:hAnsi="仿宋" w:eastAsia="仿宋" w:cs="仿宋"/>
          <w:color w:val="auto"/>
          <w:spacing w:val="4"/>
          <w:sz w:val="28"/>
          <w:szCs w:val="28"/>
        </w:rPr>
        <w:t>企业的出厂检验能力至少应满足感官、水分、菌落总数、大肠菌群、净含量的测定</w:t>
      </w:r>
      <w:r>
        <w:rPr>
          <w:rFonts w:hint="eastAsia" w:ascii="仿宋" w:hAnsi="仿宋" w:eastAsia="仿宋"/>
          <w:color w:val="auto"/>
          <w:sz w:val="28"/>
          <w:szCs w:val="28"/>
        </w:rPr>
        <w:t>。</w:t>
      </w:r>
    </w:p>
    <w:p>
      <w:pPr>
        <w:tabs>
          <w:tab w:val="left" w:pos="0"/>
          <w:tab w:val="left" w:pos="425"/>
        </w:tabs>
        <w:spacing w:line="500" w:lineRule="exact"/>
        <w:ind w:firstLine="578" w:firstLineChars="200"/>
        <w:outlineLvl w:val="3"/>
        <w:rPr>
          <w:rFonts w:ascii="仿宋" w:hAnsi="仿宋" w:eastAsia="仿宋" w:cs="仿宋"/>
          <w:color w:val="auto"/>
          <w:spacing w:val="4"/>
          <w:sz w:val="28"/>
          <w:szCs w:val="28"/>
        </w:rPr>
      </w:pPr>
      <w:r>
        <w:rPr>
          <w:rFonts w:hint="eastAsia" w:ascii="仿宋" w:hAnsi="仿宋" w:eastAsia="仿宋" w:cs="仿宋"/>
          <w:b/>
          <w:bCs/>
          <w:color w:val="auto"/>
          <w:spacing w:val="4"/>
          <w:sz w:val="28"/>
          <w:szCs w:val="28"/>
        </w:rPr>
        <w:t>第二十三条</w:t>
      </w:r>
      <w:r>
        <w:rPr>
          <w:rFonts w:hint="eastAsia" w:ascii="仿宋" w:hAnsi="仿宋" w:eastAsia="仿宋" w:cs="仿宋"/>
          <w:color w:val="auto"/>
          <w:spacing w:val="4"/>
          <w:sz w:val="28"/>
          <w:szCs w:val="28"/>
        </w:rPr>
        <w:t xml:space="preserve"> 检验设备的数量应与企业生产能力相适应，精度应满足检验需要。检验仪器设备和检验用计量器具应按照相关规定定期进行校验。</w:t>
      </w:r>
    </w:p>
    <w:p>
      <w:pPr>
        <w:tabs>
          <w:tab w:val="left" w:pos="8820"/>
        </w:tabs>
        <w:spacing w:before="240" w:line="500" w:lineRule="exact"/>
        <w:jc w:val="center"/>
        <w:rPr>
          <w:rFonts w:ascii="仿宋" w:hAnsi="仿宋" w:eastAsia="仿宋" w:cs="仿宋"/>
          <w:b/>
          <w:bCs/>
          <w:color w:val="auto"/>
          <w:sz w:val="28"/>
          <w:szCs w:val="28"/>
        </w:rPr>
      </w:pPr>
      <w:r>
        <w:rPr>
          <w:rFonts w:hint="eastAsia" w:ascii="仿宋" w:hAnsi="仿宋" w:eastAsia="仿宋" w:cs="仿宋"/>
          <w:b/>
          <w:bCs/>
          <w:color w:val="auto"/>
          <w:kern w:val="0"/>
          <w:sz w:val="28"/>
          <w:szCs w:val="28"/>
        </w:rPr>
        <w:t>第四章  设备布局与工艺流程</w:t>
      </w:r>
    </w:p>
    <w:bookmarkEnd w:id="12"/>
    <w:p>
      <w:pPr>
        <w:spacing w:line="500" w:lineRule="exact"/>
        <w:ind w:left="2" w:leftChars="1"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第二十四条</w:t>
      </w:r>
      <w:r>
        <w:rPr>
          <w:rFonts w:hint="eastAsia" w:ascii="仿宋" w:hAnsi="仿宋" w:eastAsia="仿宋" w:cs="仿宋"/>
          <w:color w:val="auto"/>
          <w:sz w:val="28"/>
          <w:szCs w:val="28"/>
        </w:rPr>
        <w:t xml:space="preserve"> 生产设备的布局、安装和维护必须符合工艺需要，便于操作、清洁、维护和消毒或灭菌。不合格、报废设备应搬出生产区，暂停使用的设备应有明显标志</w:t>
      </w:r>
      <w:r>
        <w:rPr>
          <w:rFonts w:hint="eastAsia" w:ascii="仿宋" w:hAnsi="仿宋" w:eastAsia="仿宋" w:cs="仿宋"/>
          <w:color w:val="auto"/>
          <w:sz w:val="28"/>
          <w:szCs w:val="28"/>
          <w:lang w:eastAsia="zh-CN"/>
        </w:rPr>
        <w:t>。</w:t>
      </w:r>
    </w:p>
    <w:p>
      <w:pPr>
        <w:spacing w:line="500" w:lineRule="exact"/>
        <w:ind w:left="2" w:leftChars="1"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第二十五条</w:t>
      </w:r>
      <w:r>
        <w:rPr>
          <w:rFonts w:hint="eastAsia" w:ascii="仿宋" w:hAnsi="仿宋" w:eastAsia="仿宋" w:cs="仿宋"/>
          <w:color w:val="auto"/>
          <w:sz w:val="28"/>
          <w:szCs w:val="28"/>
        </w:rPr>
        <w:t xml:space="preserve"> 生产设备的配备应与产品加工工艺相符。</w:t>
      </w:r>
    </w:p>
    <w:p>
      <w:pPr>
        <w:autoSpaceDN w:val="0"/>
        <w:spacing w:line="500" w:lineRule="exact"/>
        <w:ind w:firstLine="562" w:firstLineChars="200"/>
        <w:jc w:val="left"/>
        <w:textAlignment w:val="center"/>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第二十六条</w:t>
      </w:r>
      <w:r>
        <w:rPr>
          <w:rFonts w:hint="eastAsia" w:ascii="仿宋" w:hAnsi="仿宋" w:eastAsia="仿宋" w:cs="仿宋"/>
          <w:color w:val="auto"/>
          <w:sz w:val="28"/>
          <w:szCs w:val="28"/>
        </w:rPr>
        <w:t xml:space="preserve"> 企业应建立工艺文件、操作规程等生产技术文件，技术文件与实际操作应保持一致性。</w:t>
      </w:r>
    </w:p>
    <w:p>
      <w:pPr>
        <w:spacing w:line="500" w:lineRule="exact"/>
        <w:ind w:left="2" w:leftChars="1" w:firstLine="562" w:firstLineChars="200"/>
        <w:outlineLvl w:val="3"/>
        <w:rPr>
          <w:rFonts w:ascii="仿宋" w:hAnsi="仿宋" w:eastAsia="仿宋" w:cs="仿宋"/>
          <w:color w:val="auto"/>
          <w:sz w:val="28"/>
          <w:szCs w:val="28"/>
        </w:rPr>
      </w:pPr>
      <w:r>
        <w:rPr>
          <w:rFonts w:hint="eastAsia" w:ascii="仿宋" w:hAnsi="仿宋" w:eastAsia="仿宋" w:cs="仿宋"/>
          <w:b/>
          <w:bCs/>
          <w:color w:val="auto"/>
          <w:sz w:val="28"/>
          <w:szCs w:val="28"/>
        </w:rPr>
        <w:t xml:space="preserve">第二十七条 </w:t>
      </w:r>
      <w:r>
        <w:rPr>
          <w:rFonts w:hint="eastAsia" w:ascii="仿宋" w:hAnsi="仿宋" w:eastAsia="仿宋" w:cs="仿宋"/>
          <w:color w:val="auto"/>
          <w:sz w:val="28"/>
          <w:szCs w:val="28"/>
        </w:rPr>
        <w:t>通过危害分析方法明确影响产品质量的关键工序或关键点，并实施质量控制，制定操作规程，关键工序或关键点可设为：原料验收、配料、混合。建立生产过程管理制度，对生产过程中配料、混合、成型包装、清洗消毒、储运和交付等环节质量安全进行管控。</w:t>
      </w:r>
    </w:p>
    <w:p>
      <w:pPr>
        <w:spacing w:line="500" w:lineRule="exact"/>
        <w:ind w:left="2" w:leftChars="1"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配料应有复核，防止投料种类和数量有误。</w:t>
      </w:r>
    </w:p>
    <w:p>
      <w:pPr>
        <w:tabs>
          <w:tab w:val="left" w:pos="8820"/>
        </w:tabs>
        <w:spacing w:before="240" w:line="500" w:lineRule="exact"/>
        <w:jc w:val="center"/>
        <w:rPr>
          <w:rFonts w:ascii="仿宋" w:hAnsi="仿宋" w:eastAsia="仿宋" w:cs="仿宋"/>
          <w:b/>
          <w:color w:val="auto"/>
          <w:sz w:val="28"/>
          <w:szCs w:val="28"/>
        </w:rPr>
      </w:pPr>
      <w:r>
        <w:rPr>
          <w:rFonts w:hint="eastAsia" w:ascii="仿宋" w:hAnsi="仿宋" w:eastAsia="仿宋" w:cs="仿宋"/>
          <w:b/>
          <w:color w:val="auto"/>
          <w:kern w:val="0"/>
          <w:sz w:val="28"/>
          <w:szCs w:val="28"/>
        </w:rPr>
        <w:t>第五章  人员管理</w:t>
      </w:r>
    </w:p>
    <w:p>
      <w:pPr>
        <w:tabs>
          <w:tab w:val="left" w:pos="0"/>
          <w:tab w:val="left" w:pos="425"/>
        </w:tabs>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kern w:val="0"/>
          <w:sz w:val="28"/>
          <w:szCs w:val="28"/>
        </w:rPr>
        <w:t>第二十八条</w:t>
      </w:r>
      <w:r>
        <w:rPr>
          <w:rFonts w:hint="eastAsia" w:ascii="仿宋" w:hAnsi="仿宋" w:eastAsia="仿宋" w:cs="仿宋"/>
          <w:color w:val="auto"/>
          <w:sz w:val="28"/>
          <w:szCs w:val="28"/>
        </w:rPr>
        <w:t xml:space="preserve"> 企业应设置独立的食品质量安全管理部门，负责食品质量安全管理制度的建立、实施和持续改进，</w:t>
      </w:r>
      <w:r>
        <w:rPr>
          <w:rFonts w:hint="eastAsia" w:ascii="仿宋" w:hAnsi="仿宋" w:eastAsia="仿宋" w:cs="仿宋"/>
          <w:color w:val="auto"/>
          <w:kern w:val="0"/>
          <w:sz w:val="28"/>
          <w:szCs w:val="28"/>
        </w:rPr>
        <w:t>确保各项制度落实到位。</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第二十九条</w:t>
      </w:r>
      <w:r>
        <w:rPr>
          <w:rFonts w:hint="eastAsia" w:ascii="仿宋" w:hAnsi="仿宋" w:eastAsia="仿宋" w:cs="仿宋"/>
          <w:b/>
          <w:bCs/>
          <w:color w:val="auto"/>
          <w:sz w:val="28"/>
          <w:szCs w:val="28"/>
        </w:rPr>
        <w:t xml:space="preserve"> </w:t>
      </w:r>
      <w:r>
        <w:rPr>
          <w:rFonts w:hint="eastAsia" w:ascii="仿宋" w:hAnsi="仿宋" w:eastAsia="仿宋" w:cs="仿宋"/>
          <w:color w:val="auto"/>
          <w:sz w:val="28"/>
          <w:szCs w:val="28"/>
        </w:rPr>
        <w:t>企业应建立人员管理制度，各岗位人员的数量和能力应与企业规模、工艺、设备水平相适应，与产品质量相关的岗位应设置岗位责任。</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kern w:val="0"/>
          <w:sz w:val="28"/>
          <w:szCs w:val="28"/>
        </w:rPr>
        <w:t>第三十条</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企业负责人和食品安全管理人员，应具有食品或相关行业工作经历，掌握饼干、</w:t>
      </w:r>
      <w:r>
        <w:rPr>
          <w:rFonts w:hint="eastAsia" w:ascii="仿宋" w:hAnsi="仿宋" w:eastAsia="仿宋" w:cs="仿宋"/>
          <w:color w:val="auto"/>
          <w:sz w:val="28"/>
          <w:szCs w:val="28"/>
        </w:rPr>
        <w:t>糕点</w:t>
      </w:r>
      <w:r>
        <w:rPr>
          <w:rFonts w:hint="eastAsia" w:ascii="仿宋" w:hAnsi="仿宋" w:eastAsia="仿宋" w:cs="仿宋"/>
          <w:color w:val="auto"/>
          <w:sz w:val="28"/>
          <w:szCs w:val="28"/>
        </w:rPr>
        <w:t>预拌粉的质量安全知识，知晓应承担的责任和义务。食品安全管理人员应有食品、营养学或相关专业大专以上学历，并经过培训和考核，经考核不具备食品安全管理能力的，不得上岗。企业主要负责人应当组织落实食品安全管理制度，对本企业的食品安全工作全面负责。食品安全管理人员应确保每批产品符合食品安全国家标准和国家相关法律法规的要求，承担原辅料进厂查验和成品出厂的放行责任。</w:t>
      </w:r>
    </w:p>
    <w:p>
      <w:pPr>
        <w:spacing w:line="500" w:lineRule="exact"/>
        <w:ind w:firstLine="554" w:firstLineChars="197"/>
        <w:rPr>
          <w:rFonts w:ascii="仿宋" w:hAnsi="仿宋" w:eastAsia="仿宋" w:cs="仿宋"/>
          <w:color w:val="auto"/>
          <w:sz w:val="28"/>
          <w:szCs w:val="28"/>
        </w:rPr>
      </w:pPr>
      <w:r>
        <w:rPr>
          <w:rFonts w:hint="eastAsia" w:ascii="仿宋" w:hAnsi="仿宋" w:eastAsia="仿宋" w:cs="仿宋"/>
          <w:b/>
          <w:bCs/>
          <w:color w:val="auto"/>
          <w:sz w:val="28"/>
          <w:szCs w:val="28"/>
        </w:rPr>
        <w:t>第三十一条</w:t>
      </w:r>
      <w:r>
        <w:rPr>
          <w:rFonts w:hint="eastAsia" w:ascii="仿宋" w:hAnsi="仿宋" w:eastAsia="仿宋" w:cs="仿宋"/>
          <w:color w:val="auto"/>
          <w:sz w:val="28"/>
          <w:szCs w:val="28"/>
        </w:rPr>
        <w:t xml:space="preserve"> </w:t>
      </w:r>
      <w:r>
        <w:rPr>
          <w:rFonts w:hint="eastAsia" w:ascii="仿宋" w:hAnsi="仿宋" w:eastAsia="仿宋"/>
          <w:color w:val="auto"/>
          <w:sz w:val="28"/>
          <w:szCs w:val="28"/>
        </w:rPr>
        <w:t>生产管理人员应有食品、营养学或相关专业教育经历，或具有食品生产的工作经历和生产管理经验；生产操作人员应掌握生产工艺操作规程，熟练操作生产设备设施。</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第三十二条</w:t>
      </w:r>
      <w:r>
        <w:rPr>
          <w:rFonts w:hint="eastAsia" w:ascii="仿宋" w:hAnsi="仿宋" w:eastAsia="仿宋" w:cs="仿宋"/>
          <w:color w:val="auto"/>
          <w:sz w:val="28"/>
          <w:szCs w:val="28"/>
        </w:rPr>
        <w:t xml:space="preserve"> 从事检测的人员应具有食品检测工作经历，熟悉相关产品检验方法标准，熟练掌握相关检验技术。应经专业培训合格，持证上岗。</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sz w:val="28"/>
          <w:szCs w:val="28"/>
        </w:rPr>
        <w:t>第三十三条</w:t>
      </w:r>
      <w:r>
        <w:rPr>
          <w:rFonts w:hint="eastAsia" w:ascii="仿宋" w:hAnsi="仿宋" w:eastAsia="仿宋" w:cs="仿宋"/>
          <w:color w:val="auto"/>
          <w:sz w:val="28"/>
          <w:szCs w:val="28"/>
        </w:rPr>
        <w:t xml:space="preserve"> 企业应当建立培训与考核制度，制定培训计划，培训的内容应与岗位的要求相适应，并有相应记录。食品安全管理、检验等与质量相关岗位的人员应定期培训考核，不具备能力的不得上岗。</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第三十四条</w:t>
      </w:r>
      <w:r>
        <w:rPr>
          <w:rFonts w:hint="eastAsia" w:ascii="仿宋" w:hAnsi="仿宋" w:eastAsia="仿宋" w:cs="仿宋"/>
          <w:color w:val="auto"/>
          <w:sz w:val="28"/>
          <w:szCs w:val="28"/>
        </w:rPr>
        <w:t xml:space="preserve"> 企业应建立食品加工人员健康管理制度，食品加工人员每年应当进行健康检查，取得健康证明后方可从事食品加工。建立人员健康检查记录，保证食品加工人员患有法律法规规定</w:t>
      </w:r>
      <w:r>
        <w:rPr>
          <w:rFonts w:hint="eastAsia" w:ascii="仿宋" w:hAnsi="仿宋" w:eastAsia="仿宋" w:cs="仿宋"/>
          <w:color w:val="auto"/>
          <w:sz w:val="28"/>
          <w:szCs w:val="28"/>
        </w:rPr>
        <w:t>的有碍食品安全的疾病时，应调整到其他不影响食品安全的工作岗位。</w:t>
      </w:r>
    </w:p>
    <w:p>
      <w:pPr>
        <w:tabs>
          <w:tab w:val="left" w:pos="8820"/>
        </w:tabs>
        <w:spacing w:before="240" w:line="500" w:lineRule="exact"/>
        <w:jc w:val="center"/>
        <w:rPr>
          <w:rFonts w:ascii="仿宋" w:hAnsi="仿宋" w:eastAsia="仿宋" w:cs="仿宋"/>
          <w:color w:val="auto"/>
          <w:sz w:val="28"/>
          <w:szCs w:val="28"/>
        </w:rPr>
      </w:pPr>
      <w:r>
        <w:rPr>
          <w:rFonts w:hint="eastAsia" w:ascii="仿宋" w:hAnsi="仿宋" w:eastAsia="仿宋" w:cs="仿宋"/>
          <w:b/>
          <w:bCs/>
          <w:color w:val="auto"/>
          <w:kern w:val="0"/>
          <w:sz w:val="28"/>
          <w:szCs w:val="28"/>
        </w:rPr>
        <w:t>第六章 管理制度</w:t>
      </w:r>
    </w:p>
    <w:p>
      <w:pPr>
        <w:tabs>
          <w:tab w:val="left" w:pos="0"/>
          <w:tab w:val="left" w:pos="425"/>
        </w:tabs>
        <w:spacing w:line="500" w:lineRule="exact"/>
        <w:ind w:firstLine="562" w:firstLineChars="200"/>
        <w:jc w:val="left"/>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第三十五条</w:t>
      </w:r>
      <w:r>
        <w:rPr>
          <w:rFonts w:hint="eastAsia" w:ascii="仿宋" w:hAnsi="仿宋" w:eastAsia="仿宋" w:cs="仿宋"/>
          <w:color w:val="auto"/>
          <w:sz w:val="28"/>
          <w:szCs w:val="28"/>
        </w:rPr>
        <w:t xml:space="preserve"> 制定原辅料的采购管理制度，保证原辅料符合国家法律法规和标准要求，并经质量安全管理部门批准后方可采购。主要原辅料供应商应相对固定并签订质量协议，在协议中应明确双方所承担的质量责任。</w:t>
      </w:r>
    </w:p>
    <w:p>
      <w:pPr>
        <w:tabs>
          <w:tab w:val="left" w:pos="0"/>
          <w:tab w:val="left" w:pos="425"/>
        </w:tabs>
        <w:spacing w:line="500" w:lineRule="exact"/>
        <w:ind w:firstLine="562" w:firstLineChars="200"/>
        <w:jc w:val="left"/>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第三十六条</w:t>
      </w:r>
      <w:r>
        <w:rPr>
          <w:rFonts w:hint="eastAsia" w:ascii="仿宋" w:hAnsi="仿宋" w:eastAsia="仿宋" w:cs="仿宋"/>
          <w:color w:val="auto"/>
          <w:sz w:val="28"/>
          <w:szCs w:val="28"/>
        </w:rPr>
        <w:t xml:space="preserve"> 制定原辅料供应商审核制度和审核办法，对原辅料供应商的审核至少应包括：供应商的资质证明文件、质量标准、检验报告。</w:t>
      </w:r>
      <w:r>
        <w:rPr>
          <w:rFonts w:ascii="仿宋" w:hAnsi="仿宋" w:eastAsia="仿宋" w:cs="仿宋"/>
          <w:color w:val="auto"/>
          <w:sz w:val="28"/>
          <w:szCs w:val="28"/>
        </w:rPr>
        <w:t>采用进口原辅料的生产企业，应审核进口原辅料供应商、贸易商的资质证明文件、质量标准、每批</w:t>
      </w:r>
      <w:r>
        <w:rPr>
          <w:rFonts w:hint="eastAsia" w:ascii="仿宋" w:hAnsi="仿宋" w:eastAsia="仿宋" w:cs="仿宋"/>
          <w:color w:val="auto"/>
          <w:sz w:val="28"/>
          <w:szCs w:val="28"/>
        </w:rPr>
        <w:t>原辅料检验检疫合格证明。</w:t>
      </w:r>
    </w:p>
    <w:p>
      <w:pPr>
        <w:tabs>
          <w:tab w:val="left" w:pos="0"/>
          <w:tab w:val="left" w:pos="425"/>
        </w:tabs>
        <w:spacing w:line="500" w:lineRule="exact"/>
        <w:ind w:firstLine="562" w:firstLineChars="200"/>
        <w:jc w:val="left"/>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第三十七条</w:t>
      </w: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包装材料应清洁、无毒且符合国家相关标准及规定，包装材料在特定贮存和使用条件下不应影响饼干、糕点预拌粉的安全和产品特性，包装材料不得重复使用。</w:t>
      </w:r>
    </w:p>
    <w:p>
      <w:pPr>
        <w:tabs>
          <w:tab w:val="left" w:pos="0"/>
          <w:tab w:val="left" w:pos="425"/>
        </w:tabs>
        <w:spacing w:line="500" w:lineRule="exact"/>
        <w:ind w:firstLine="562" w:firstLineChars="200"/>
        <w:jc w:val="left"/>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第三十八条</w:t>
      </w:r>
      <w:r>
        <w:rPr>
          <w:rFonts w:hint="eastAsia" w:ascii="仿宋" w:hAnsi="仿宋" w:eastAsia="仿宋" w:cs="仿宋"/>
          <w:color w:val="auto"/>
          <w:sz w:val="28"/>
          <w:szCs w:val="28"/>
        </w:rPr>
        <w:t xml:space="preserve"> 应当建立食品原辅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spacing w:line="580" w:lineRule="exact"/>
        <w:ind w:firstLine="562" w:firstLineChars="200"/>
        <w:outlineLvl w:val="3"/>
        <w:rPr>
          <w:rFonts w:ascii="仿宋" w:hAnsi="仿宋" w:eastAsia="仿宋"/>
          <w:color w:val="auto"/>
          <w:sz w:val="28"/>
          <w:szCs w:val="28"/>
        </w:rPr>
      </w:pPr>
      <w:r>
        <w:rPr>
          <w:rFonts w:hint="eastAsia" w:ascii="仿宋" w:hAnsi="仿宋" w:eastAsia="仿宋" w:cs="仿宋"/>
          <w:b/>
          <w:bCs/>
          <w:color w:val="auto"/>
          <w:kern w:val="0"/>
          <w:sz w:val="28"/>
          <w:szCs w:val="28"/>
        </w:rPr>
        <w:t xml:space="preserve">第三十九条 </w:t>
      </w:r>
      <w:r>
        <w:rPr>
          <w:rFonts w:hint="eastAsia" w:ascii="仿宋" w:hAnsi="仿宋" w:eastAsia="仿宋"/>
          <w:color w:val="auto"/>
          <w:sz w:val="28"/>
          <w:szCs w:val="28"/>
        </w:rPr>
        <w:t>原辅料的验收标准和检验方法应符合国家法律法规和标准的要求，饼干、糕点预拌粉生产所需主要原辅料及包材涉及的主要标准见附件一。</w:t>
      </w:r>
    </w:p>
    <w:p>
      <w:pPr>
        <w:tabs>
          <w:tab w:val="left" w:pos="0"/>
          <w:tab w:val="left" w:pos="425"/>
        </w:tabs>
        <w:spacing w:line="500" w:lineRule="exact"/>
        <w:ind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第四十条</w:t>
      </w:r>
      <w:r>
        <w:rPr>
          <w:rFonts w:hint="eastAsia" w:ascii="仿宋" w:hAnsi="仿宋" w:eastAsia="仿宋" w:cs="仿宋"/>
          <w:color w:val="auto"/>
          <w:sz w:val="28"/>
          <w:szCs w:val="28"/>
        </w:rPr>
        <w:t xml:space="preserve"> 建立生产过程安全管理制度，合理划分生产批次和生产过程中的关键控制环节，鼓励采用危害分析与关键控制点体系（HACCP）对生产过程进行食品安全控制。对生产过程中调配、混合、包装、储运和交付等环节进行管控。</w:t>
      </w:r>
    </w:p>
    <w:p>
      <w:pPr>
        <w:spacing w:line="500" w:lineRule="exact"/>
        <w:ind w:left="2" w:leftChars="1" w:firstLine="562" w:firstLineChars="200"/>
        <w:outlineLvl w:val="3"/>
        <w:rPr>
          <w:rFonts w:ascii="仿宋" w:hAnsi="仿宋" w:eastAsia="仿宋" w:cs="仿宋"/>
          <w:color w:val="auto"/>
          <w:sz w:val="28"/>
          <w:szCs w:val="28"/>
        </w:rPr>
      </w:pPr>
      <w:r>
        <w:rPr>
          <w:rFonts w:hint="eastAsia" w:ascii="仿宋" w:hAnsi="仿宋" w:eastAsia="仿宋" w:cs="仿宋"/>
          <w:b/>
          <w:bCs/>
          <w:color w:val="auto"/>
          <w:sz w:val="28"/>
          <w:szCs w:val="28"/>
        </w:rPr>
        <w:t>第四十一条</w:t>
      </w:r>
      <w:r>
        <w:rPr>
          <w:rFonts w:hint="eastAsia" w:ascii="仿宋" w:hAnsi="仿宋" w:eastAsia="仿宋" w:cs="仿宋"/>
          <w:color w:val="auto"/>
          <w:sz w:val="28"/>
          <w:szCs w:val="28"/>
        </w:rPr>
        <w:t xml:space="preserve"> 制定食品生产的卫生管理制度及相应考核标准。应制定有效的清洗、消毒方法和管理制度，保证生产场所、生产设备、包装容器、工作服和人员的清洁卫生和安全，防止产品及包装在生产过程中被污染。</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kern w:val="0"/>
          <w:sz w:val="28"/>
          <w:szCs w:val="28"/>
        </w:rPr>
        <w:t>第四十二条</w:t>
      </w: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应制定工作服的清洗保洁制度，生产中应注意保持工作服干净完好，必要时及时更换。生产人员在未消毒和更换工作服前，不得进入生产车间进行饼干、糕点预拌粉的加工、生产。清洁作业区及准清洁作业区使用的工作服和工作鞋不得在指定区域以外的地方穿着。</w:t>
      </w:r>
    </w:p>
    <w:p>
      <w:pPr>
        <w:tabs>
          <w:tab w:val="left" w:pos="0"/>
          <w:tab w:val="left" w:pos="425"/>
        </w:tabs>
        <w:spacing w:line="500" w:lineRule="exact"/>
        <w:ind w:firstLine="562" w:firstLineChars="200"/>
        <w:jc w:val="left"/>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第四十三条</w:t>
      </w:r>
      <w:r>
        <w:rPr>
          <w:rFonts w:hint="eastAsia" w:ascii="仿宋" w:hAnsi="仿宋" w:eastAsia="仿宋" w:cs="仿宋"/>
          <w:color w:val="auto"/>
          <w:sz w:val="28"/>
          <w:szCs w:val="28"/>
        </w:rPr>
        <w:t xml:space="preserve"> 建立生产设备管理制度，设备台账、说明书、档案应保管齐全；制定设备使用、清洁、维护和维修的操作规程，并保存相应的操作记录。生产前应检查设备是否处于正常状态，出现故障应及时排除并记录。维修后的设备应进行验证或确认，确保各项性能满足工艺要求。</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第四十四条</w:t>
      </w:r>
      <w:r>
        <w:rPr>
          <w:rFonts w:hint="eastAsia" w:ascii="仿宋" w:hAnsi="仿宋" w:eastAsia="仿宋" w:cs="仿宋"/>
          <w:color w:val="auto"/>
          <w:sz w:val="28"/>
          <w:szCs w:val="28"/>
        </w:rPr>
        <w:t xml:space="preserve"> 按照《食品安全国家标准 食品生产通用卫生规范》（GB14881），建立防止微生物污染、化学污染、物理污染的控制制度。应对生产过程的半成品进行过程监测，控制产品质量稳定性。</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第四十五条</w:t>
      </w:r>
      <w:r>
        <w:rPr>
          <w:rFonts w:hint="eastAsia" w:ascii="仿宋" w:hAnsi="仿宋" w:eastAsia="仿宋" w:cs="仿宋"/>
          <w:color w:val="auto"/>
          <w:sz w:val="28"/>
          <w:szCs w:val="28"/>
        </w:rPr>
        <w:t xml:space="preserve"> 企业应建立产品追溯制度，产品从原材料采购、生产加工、出厂检验到出厂销售都应有记录，保障各个环节可有效追溯。</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第四十六条</w:t>
      </w:r>
      <w:r>
        <w:rPr>
          <w:rFonts w:hint="eastAsia" w:ascii="仿宋" w:hAnsi="仿宋" w:eastAsia="仿宋" w:cs="仿宋"/>
          <w:color w:val="auto"/>
          <w:sz w:val="28"/>
          <w:szCs w:val="28"/>
        </w:rPr>
        <w:t xml:space="preserve"> 所有物料应规定适当的贮存期限，遵循“先进先出”或“近有效期先出”的原则制定物料的使用计划，定期检查质量和卫生情况，及时清理且不得使用变质或超过保质期的食品原辅料和食品添加剂。</w:t>
      </w:r>
    </w:p>
    <w:p>
      <w:pPr>
        <w:tabs>
          <w:tab w:val="left" w:pos="0"/>
          <w:tab w:val="left" w:pos="425"/>
        </w:tabs>
        <w:spacing w:line="500" w:lineRule="exact"/>
        <w:ind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物料的发放和使用应当有可追溯的清晰的发放记录，经收发双方核实并在相应的记录上签字确认。产品放行前应当有明确的待检标识，经检验合格后方可批准放行。</w:t>
      </w:r>
    </w:p>
    <w:p>
      <w:pPr>
        <w:tabs>
          <w:tab w:val="left" w:pos="0"/>
          <w:tab w:val="left" w:pos="425"/>
        </w:tabs>
        <w:spacing w:line="500" w:lineRule="exact"/>
        <w:ind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有毒有害物质有安全的独立包装，明确标识，并与原料、半成品、成品、包装材料等分隔放置。除清洁消毒必需和工艺需要，不应在生产场所使用和存放可能污染食品的化学制剂。使用的清洗消毒剂符合国家相关规定，建立和保存使用记录。</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第四十七条</w:t>
      </w:r>
      <w:r>
        <w:rPr>
          <w:rFonts w:hint="eastAsia" w:ascii="仿宋" w:hAnsi="仿宋" w:eastAsia="仿宋" w:cs="仿宋"/>
          <w:color w:val="auto"/>
          <w:sz w:val="28"/>
          <w:szCs w:val="28"/>
        </w:rPr>
        <w:t xml:space="preserve">  建立产品防护管理制度，有效防止产品在生产加工过程、原辅材料及产品储存、运输环节中受到污染、损坏或变质。</w:t>
      </w:r>
    </w:p>
    <w:p>
      <w:pPr>
        <w:tabs>
          <w:tab w:val="left" w:pos="0"/>
          <w:tab w:val="left" w:pos="425"/>
        </w:tabs>
        <w:spacing w:line="500" w:lineRule="exact"/>
        <w:ind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确保采购的不合格原辅材料、加工中发现的风险因素、出厂检验发现的不安全食品等情况得到有效控制。制定设备故障、停电停水等特殊原因中断生产时的产品处置办法，保证对不符合标准的产品按不合格产品处置。当进行现场维修、维护及施工等工作时，应采取适当措施避免异物、异味、碎屑等污染食品。</w:t>
      </w:r>
    </w:p>
    <w:p>
      <w:pPr>
        <w:tabs>
          <w:tab w:val="left" w:pos="0"/>
          <w:tab w:val="left" w:pos="425"/>
        </w:tabs>
        <w:spacing w:line="500" w:lineRule="exact"/>
        <w:ind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用于食品、清洁食品接触面或设备的压缩空气应经过滤净化处理，</w:t>
      </w:r>
      <w:r>
        <w:rPr>
          <w:rFonts w:hint="eastAsia" w:ascii="仿宋" w:hAnsi="仿宋" w:eastAsia="仿宋" w:cs="仿宋"/>
          <w:color w:val="auto"/>
          <w:sz w:val="28"/>
          <w:szCs w:val="28"/>
          <w:lang w:eastAsia="zh-CN"/>
        </w:rPr>
        <w:t>小型制氮机制取氮气应取得食品生产许可</w:t>
      </w:r>
      <w:r>
        <w:rPr>
          <w:rFonts w:hint="eastAsia" w:ascii="仿宋" w:hAnsi="仿宋" w:eastAsia="仿宋" w:cs="仿宋"/>
          <w:color w:val="auto"/>
          <w:sz w:val="28"/>
          <w:szCs w:val="28"/>
        </w:rPr>
        <w:t>。用于生产设备的可能直接或间接接触食品的部件润滑油，应当是食用油脂或能保证食品安全要求的其他油脂。</w:t>
      </w:r>
    </w:p>
    <w:p>
      <w:pPr>
        <w:tabs>
          <w:tab w:val="left" w:pos="0"/>
          <w:tab w:val="left" w:pos="425"/>
        </w:tabs>
        <w:spacing w:line="500" w:lineRule="exact"/>
        <w:ind w:firstLine="562" w:firstLineChars="200"/>
        <w:outlineLvl w:val="3"/>
        <w:rPr>
          <w:rFonts w:ascii="仿宋" w:hAnsi="仿宋" w:eastAsia="仿宋" w:cs="仿宋"/>
          <w:color w:val="auto"/>
          <w:kern w:val="0"/>
          <w:sz w:val="28"/>
          <w:szCs w:val="28"/>
        </w:rPr>
      </w:pPr>
      <w:r>
        <w:rPr>
          <w:rFonts w:hint="eastAsia" w:ascii="仿宋" w:hAnsi="仿宋" w:eastAsia="仿宋" w:cs="仿宋"/>
          <w:b/>
          <w:bCs/>
          <w:color w:val="auto"/>
          <w:sz w:val="28"/>
          <w:szCs w:val="28"/>
        </w:rPr>
        <w:t>第四十八条</w:t>
      </w:r>
      <w:r>
        <w:rPr>
          <w:rFonts w:hint="eastAsia" w:ascii="仿宋" w:hAnsi="仿宋" w:eastAsia="仿宋" w:cs="仿宋"/>
          <w:color w:val="auto"/>
          <w:sz w:val="28"/>
          <w:szCs w:val="28"/>
        </w:rPr>
        <w:t xml:space="preserve"> 应建立运输管理制度，不得将原辅料、产品与有毒有害物品一同运输。</w:t>
      </w:r>
      <w:r>
        <w:rPr>
          <w:rFonts w:hint="eastAsia" w:ascii="仿宋" w:hAnsi="仿宋" w:eastAsia="仿宋" w:cs="仿宋"/>
          <w:color w:val="auto"/>
          <w:kern w:val="0"/>
          <w:sz w:val="28"/>
          <w:szCs w:val="28"/>
        </w:rPr>
        <w:t>运输工具、车辆应定期检查卫生清洁情况，运输条件应符合物料的贮存要求（温度、湿度等）。物料进入仓储前应对外包装进行必要的清洁。</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w:t>
      </w:r>
      <w:r>
        <w:rPr>
          <w:rFonts w:hint="eastAsia" w:ascii="仿宋" w:hAnsi="仿宋" w:eastAsia="仿宋" w:cs="仿宋"/>
          <w:b/>
          <w:bCs/>
          <w:color w:val="auto"/>
          <w:sz w:val="28"/>
          <w:szCs w:val="28"/>
        </w:rPr>
        <w:t>四十九</w:t>
      </w:r>
      <w:r>
        <w:rPr>
          <w:rFonts w:hint="eastAsia" w:ascii="仿宋" w:hAnsi="仿宋" w:eastAsia="仿宋" w:cs="仿宋"/>
          <w:b/>
          <w:bCs/>
          <w:color w:val="auto"/>
          <w:kern w:val="0"/>
          <w:sz w:val="28"/>
          <w:szCs w:val="28"/>
        </w:rPr>
        <w:t>条</w:t>
      </w:r>
      <w:r>
        <w:rPr>
          <w:rFonts w:hint="eastAsia" w:ascii="仿宋" w:hAnsi="仿宋" w:eastAsia="仿宋" w:cs="仿宋"/>
          <w:color w:val="auto"/>
          <w:sz w:val="28"/>
          <w:szCs w:val="28"/>
        </w:rPr>
        <w:t xml:space="preserve"> 建立检验管理制度，检验记录应真实、准确。产品出厂检验应依据产品执行标准规定的出厂检验项目进行每批次检验，并按执行标准规定的型式检验频率进行所有项目的检验。</w:t>
      </w:r>
    </w:p>
    <w:p>
      <w:pPr>
        <w:tabs>
          <w:tab w:val="left" w:pos="0"/>
          <w:tab w:val="left" w:pos="425"/>
        </w:tabs>
        <w:spacing w:line="500" w:lineRule="exact"/>
        <w:ind w:firstLine="560" w:firstLineChars="200"/>
        <w:outlineLvl w:val="3"/>
        <w:rPr>
          <w:rFonts w:ascii="仿宋" w:hAnsi="仿宋" w:eastAsia="仿宋" w:cs="仿宋"/>
          <w:color w:val="auto"/>
          <w:sz w:val="28"/>
          <w:szCs w:val="28"/>
        </w:rPr>
      </w:pPr>
      <w:r>
        <w:rPr>
          <w:rFonts w:hint="eastAsia" w:ascii="仿宋" w:hAnsi="仿宋" w:eastAsia="仿宋" w:cs="仿宋"/>
          <w:color w:val="auto"/>
          <w:sz w:val="28"/>
          <w:szCs w:val="28"/>
        </w:rPr>
        <w:t>产品留样间应满足产品贮存条件要求，留样数量应满足复检要求并保存至保质期满，并有记录。</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第五十条</w:t>
      </w:r>
      <w:r>
        <w:rPr>
          <w:rFonts w:hint="eastAsia" w:ascii="仿宋" w:hAnsi="仿宋" w:eastAsia="仿宋" w:cs="仿宋"/>
          <w:color w:val="auto"/>
          <w:sz w:val="28"/>
          <w:szCs w:val="28"/>
        </w:rPr>
        <w:t xml:space="preserve"> 建立产品召回制度，应对召回的食品采取补救、无害化处理、销毁等措施，记录召回和处理情况，并应当向所在地县级人民政府市场监管部门报告。</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kern w:val="0"/>
          <w:sz w:val="28"/>
          <w:szCs w:val="28"/>
        </w:rPr>
        <w:t>第五十一条</w:t>
      </w: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制定原辅料、半成品和成品的不合格品管理制度及相关处理办法，建立和保存不合格品处理过程记录。</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第五十二条</w:t>
      </w: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企业应当按照卫生规范的要求建立与所生产食品相适应的生产质量管理体系，定期对该体系的运行情况进行自查，保证其有效运行，防范风险。</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kern w:val="0"/>
          <w:sz w:val="28"/>
          <w:szCs w:val="28"/>
        </w:rPr>
        <w:t>第五十三条</w:t>
      </w:r>
      <w:r>
        <w:rPr>
          <w:rFonts w:hint="eastAsia" w:ascii="仿宋" w:hAnsi="仿宋" w:eastAsia="仿宋" w:cs="仿宋"/>
          <w:color w:val="auto"/>
          <w:sz w:val="28"/>
          <w:szCs w:val="28"/>
        </w:rPr>
        <w:t xml:space="preserve"> 建立食品安全事故处理制度，定期检查本企业各项食品安全防范措施的落实情况，及时消除食品安全事故隐患。应有食品安全事故处置记录。</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sz w:val="28"/>
          <w:szCs w:val="28"/>
        </w:rPr>
        <w:t xml:space="preserve">第五十四条 </w:t>
      </w:r>
      <w:r>
        <w:rPr>
          <w:rFonts w:hint="eastAsia" w:ascii="仿宋" w:hAnsi="仿宋" w:eastAsia="仿宋" w:cs="仿宋"/>
          <w:color w:val="auto"/>
          <w:sz w:val="28"/>
          <w:szCs w:val="28"/>
        </w:rPr>
        <w:t>建立检验设备管理制度，应有检验设备台账及设备使用记录，定期校准、维护检验设备和设施，保持检验设备的准确有效运行。</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第五十五条</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建立文件管理制度，企业质量管理部门应对质量文件的有效性负责，质量文件的起草、修订、审核、批准应由相关人员签名或电子流程审核，并注明日期。</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具备生产过程中所需的各种产品配方、工艺规程、作业指导书等工艺文件。工艺文件齐全、内容合理。配方中使用的原辅材料符合相关法律法规及标准的要求。</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kern w:val="0"/>
          <w:sz w:val="28"/>
          <w:szCs w:val="28"/>
        </w:rPr>
        <w:t>产品配方应列明配方中使用的食品添加剂、食品营养强化剂、新食品原料的使用依据和规定使用量；所使用的食品添加剂、食品营养强化剂、新食品原料应符合相应产品标准及</w:t>
      </w:r>
      <w:r>
        <w:rPr>
          <w:rFonts w:hint="eastAsia" w:ascii="仿宋" w:hAnsi="仿宋" w:eastAsia="仿宋" w:cs="仿宋"/>
          <w:color w:val="auto"/>
          <w:kern w:val="0"/>
          <w:sz w:val="28"/>
          <w:szCs w:val="28"/>
          <w:lang w:eastAsia="zh-CN"/>
        </w:rPr>
        <w:t>国家卫生健康委员会</w:t>
      </w:r>
      <w:r>
        <w:rPr>
          <w:rFonts w:hint="eastAsia" w:ascii="仿宋" w:hAnsi="仿宋" w:eastAsia="仿宋" w:cs="仿宋"/>
          <w:color w:val="auto"/>
          <w:kern w:val="0"/>
          <w:sz w:val="28"/>
          <w:szCs w:val="28"/>
        </w:rPr>
        <w:t>相关公告的规定。</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第五十六条</w:t>
      </w:r>
      <w:r>
        <w:rPr>
          <w:rFonts w:hint="eastAsia" w:ascii="仿宋" w:hAnsi="仿宋" w:eastAsia="仿宋" w:cs="仿宋"/>
          <w:color w:val="auto"/>
          <w:sz w:val="28"/>
          <w:szCs w:val="28"/>
        </w:rPr>
        <w:t xml:space="preserve"> 建立记录管理制度。记录应当覆盖食品生产全过程，做到真实、准确、规范并具有可追溯性，记录和凭证保存期限不得少于产品保质期满后6个月；没有明确保质期的，保存期不少于2年。</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 xml:space="preserve">    食品原辅料、食品添加剂、食品相关产品采购记录：包括供应商评价记录、合格供应商名单、采购合同、进货台账、采购查验记录、供应商证明。</w:t>
      </w:r>
    </w:p>
    <w:p>
      <w:pPr>
        <w:spacing w:line="500" w:lineRule="exact"/>
        <w:ind w:firstLine="645"/>
        <w:rPr>
          <w:rFonts w:ascii="仿宋" w:hAnsi="仿宋" w:eastAsia="仿宋" w:cs="仿宋"/>
          <w:color w:val="auto"/>
          <w:sz w:val="28"/>
          <w:szCs w:val="28"/>
        </w:rPr>
      </w:pPr>
      <w:r>
        <w:rPr>
          <w:rFonts w:hint="eastAsia" w:ascii="仿宋" w:hAnsi="仿宋" w:eastAsia="仿宋" w:cs="仿宋"/>
          <w:color w:val="auto"/>
          <w:sz w:val="28"/>
          <w:szCs w:val="28"/>
        </w:rPr>
        <w:t>生产过程及安全防护记录：包括人员培训及考核、人员健康检查、人员卫生、环境场所清洁、除虫灭害、设备设施维护保养、设备设施清洗消毒、生产投料及各关键控制点记录、食品添加剂（含加工助剂和酶制剂）使用、调配、物料出入库、成品出入库、不合格原辅材料处置、不合格产品处理、停产复产等记录。</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 xml:space="preserve">    检验记录：建立和保存出厂检验原始记录、检验报告和出厂查验记录。如实记录食品的名称、规格、数量、生产日期或者生产批号、保质期、检验合格证号、销售日期以及购货者名称、地址、联系方式等内容，检验批次号和检验合格证号可追溯到相应的出厂检验报告。</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 xml:space="preserve">    其他记录：包括成品生产、成品销售、产品召回、退货处置、消费者投诉受理、食品安全事故处置等记录。</w:t>
      </w:r>
    </w:p>
    <w:p>
      <w:pPr>
        <w:spacing w:line="500" w:lineRule="exact"/>
        <w:ind w:firstLine="562" w:firstLineChars="200"/>
        <w:rPr>
          <w:rFonts w:ascii="仿宋" w:hAnsi="仿宋" w:eastAsia="仿宋" w:cs="仿宋"/>
          <w:color w:val="auto"/>
          <w:sz w:val="28"/>
          <w:szCs w:val="28"/>
        </w:rPr>
      </w:pPr>
      <w:r>
        <w:rPr>
          <w:rFonts w:hint="eastAsia" w:ascii="仿宋" w:hAnsi="仿宋" w:eastAsia="仿宋" w:cs="仿宋"/>
          <w:b/>
          <w:bCs/>
          <w:color w:val="auto"/>
          <w:kern w:val="0"/>
          <w:sz w:val="28"/>
          <w:szCs w:val="28"/>
        </w:rPr>
        <w:t>第五十七条</w:t>
      </w:r>
      <w:r>
        <w:rPr>
          <w:rFonts w:hint="eastAsia" w:ascii="仿宋" w:hAnsi="仿宋" w:eastAsia="仿宋" w:cs="仿宋"/>
          <w:color w:val="auto"/>
          <w:sz w:val="28"/>
          <w:szCs w:val="28"/>
        </w:rPr>
        <w:t xml:space="preserve"> 建立消费者投诉处理制度。对消费者提出的意见、投诉等，企业相关管理部门应作记录，并查找原因，妥善处理。</w:t>
      </w:r>
    </w:p>
    <w:p>
      <w:pPr>
        <w:tabs>
          <w:tab w:val="left" w:pos="0"/>
          <w:tab w:val="left" w:pos="425"/>
        </w:tabs>
        <w:spacing w:line="500" w:lineRule="exact"/>
        <w:ind w:firstLine="562" w:firstLineChars="200"/>
        <w:outlineLvl w:val="3"/>
        <w:rPr>
          <w:rFonts w:ascii="仿宋" w:hAnsi="仿宋" w:eastAsia="仿宋" w:cs="仿宋"/>
          <w:color w:val="auto"/>
          <w:sz w:val="28"/>
          <w:szCs w:val="28"/>
        </w:rPr>
      </w:pPr>
      <w:r>
        <w:rPr>
          <w:rFonts w:hint="eastAsia" w:ascii="仿宋" w:hAnsi="仿宋" w:eastAsia="仿宋" w:cs="仿宋"/>
          <w:b/>
          <w:bCs/>
          <w:color w:val="auto"/>
          <w:kern w:val="0"/>
          <w:sz w:val="28"/>
          <w:szCs w:val="28"/>
        </w:rPr>
        <w:t>第五十八条</w:t>
      </w:r>
      <w:r>
        <w:rPr>
          <w:rFonts w:hint="eastAsia" w:ascii="仿宋" w:hAnsi="仿宋" w:eastAsia="仿宋" w:cs="仿宋"/>
          <w:color w:val="auto"/>
          <w:sz w:val="28"/>
          <w:szCs w:val="28"/>
        </w:rPr>
        <w:t xml:space="preserve"> 鼓励企业</w:t>
      </w:r>
      <w:r>
        <w:rPr>
          <w:rFonts w:hint="eastAsia" w:ascii="仿宋" w:hAnsi="仿宋" w:eastAsia="仿宋" w:cs="仿宋"/>
          <w:color w:val="auto"/>
          <w:sz w:val="28"/>
          <w:szCs w:val="28"/>
        </w:rPr>
        <w:t>建立电子追溯系统，提供原辅料、生产记录、产品标签标识、质量标准、检验结果等信息。</w:t>
      </w:r>
    </w:p>
    <w:p>
      <w:pPr>
        <w:tabs>
          <w:tab w:val="left" w:pos="0"/>
          <w:tab w:val="left" w:pos="425"/>
        </w:tabs>
        <w:spacing w:line="500" w:lineRule="exact"/>
        <w:ind w:firstLine="560" w:firstLineChars="200"/>
        <w:outlineLvl w:val="3"/>
        <w:rPr>
          <w:rFonts w:ascii="仿宋" w:hAnsi="仿宋" w:eastAsia="仿宋" w:cs="仿宋"/>
          <w:color w:val="auto"/>
          <w:sz w:val="28"/>
          <w:szCs w:val="28"/>
        </w:rPr>
      </w:pPr>
    </w:p>
    <w:p>
      <w:pPr>
        <w:tabs>
          <w:tab w:val="left" w:pos="0"/>
          <w:tab w:val="left" w:pos="425"/>
        </w:tabs>
        <w:spacing w:line="500" w:lineRule="exact"/>
        <w:ind w:firstLine="562" w:firstLineChars="200"/>
        <w:jc w:val="center"/>
        <w:outlineLvl w:val="3"/>
        <w:rPr>
          <w:rFonts w:ascii="仿宋" w:hAnsi="仿宋" w:eastAsia="仿宋" w:cs="仿宋"/>
          <w:b/>
          <w:bCs/>
          <w:color w:val="auto"/>
          <w:sz w:val="28"/>
          <w:szCs w:val="28"/>
        </w:rPr>
      </w:pPr>
      <w:r>
        <w:rPr>
          <w:rFonts w:hint="eastAsia" w:ascii="仿宋" w:hAnsi="仿宋" w:eastAsia="仿宋" w:cs="仿宋"/>
          <w:b/>
          <w:bCs/>
          <w:color w:val="auto"/>
          <w:kern w:val="0"/>
          <w:sz w:val="28"/>
          <w:szCs w:val="28"/>
        </w:rPr>
        <w:t>第七章  试制产品检验合格报告</w:t>
      </w:r>
    </w:p>
    <w:p>
      <w:pPr>
        <w:tabs>
          <w:tab w:val="left" w:pos="0"/>
          <w:tab w:val="left" w:pos="425"/>
        </w:tabs>
        <w:spacing w:line="500" w:lineRule="exact"/>
        <w:ind w:firstLine="560" w:firstLineChars="200"/>
        <w:outlineLvl w:val="3"/>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b/>
          <w:bCs/>
          <w:color w:val="auto"/>
          <w:kern w:val="0"/>
          <w:sz w:val="28"/>
          <w:szCs w:val="28"/>
        </w:rPr>
        <w:t xml:space="preserve">第五十九条 </w:t>
      </w:r>
      <w:r>
        <w:rPr>
          <w:rFonts w:hint="eastAsia" w:ascii="仿宋" w:hAnsi="仿宋" w:eastAsia="仿宋" w:cs="仿宋"/>
          <w:color w:val="auto"/>
          <w:kern w:val="0"/>
          <w:sz w:val="28"/>
          <w:szCs w:val="28"/>
        </w:rPr>
        <w:t>企业提供试制产品的检验合格报告。试制产品检验合格报告可以由申请人自行检验，或者委托有资质的食品检验机构出具。试制产品检验合格报告按所申报的</w:t>
      </w:r>
      <w:r>
        <w:rPr>
          <w:rFonts w:hint="eastAsia" w:ascii="仿宋" w:hAnsi="仿宋" w:eastAsia="仿宋" w:cs="仿宋"/>
          <w:color w:val="auto"/>
          <w:kern w:val="0"/>
          <w:sz w:val="28"/>
          <w:szCs w:val="28"/>
          <w:lang w:eastAsia="zh-CN"/>
        </w:rPr>
        <w:t>产品明细</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饼干预拌粉、</w:t>
      </w:r>
      <w:r>
        <w:rPr>
          <w:rFonts w:hint="eastAsia" w:ascii="仿宋" w:hAnsi="仿宋" w:eastAsia="仿宋" w:cs="仿宋"/>
          <w:color w:val="auto"/>
          <w:sz w:val="28"/>
          <w:szCs w:val="28"/>
        </w:rPr>
        <w:t>热加工糕点预拌粉、冷加工糕点预拌粉</w:t>
      </w:r>
      <w:r>
        <w:rPr>
          <w:rFonts w:hint="eastAsia" w:ascii="仿宋" w:hAnsi="仿宋" w:eastAsia="仿宋" w:cs="仿宋"/>
          <w:color w:val="auto"/>
          <w:kern w:val="0"/>
          <w:sz w:val="28"/>
          <w:szCs w:val="28"/>
        </w:rPr>
        <w:t>）和执行标准，分别从同一规格、同一批次的试制产品中抽取具有代表性的样品检验。企业应对提供的检验报告真实性负责，检验项目应包含标准、法律法规及相关部门公告规定的全部项目。</w:t>
      </w:r>
      <w:r>
        <w:rPr>
          <w:rFonts w:hint="eastAsia" w:ascii="仿宋" w:hAnsi="仿宋" w:eastAsia="仿宋"/>
          <w:color w:val="auto"/>
          <w:sz w:val="28"/>
          <w:szCs w:val="28"/>
        </w:rPr>
        <w:t>试制产品的检验项目及检验方法见附件二。</w:t>
      </w:r>
    </w:p>
    <w:p>
      <w:pPr>
        <w:spacing w:line="580" w:lineRule="exact"/>
        <w:outlineLvl w:val="3"/>
        <w:rPr>
          <w:rFonts w:ascii="仿宋" w:hAnsi="仿宋" w:eastAsia="仿宋" w:cs="仿宋_GB2312"/>
          <w:color w:val="auto"/>
          <w:sz w:val="28"/>
          <w:szCs w:val="28"/>
        </w:rPr>
      </w:pPr>
    </w:p>
    <w:p>
      <w:pPr>
        <w:tabs>
          <w:tab w:val="left" w:pos="0"/>
          <w:tab w:val="left" w:pos="425"/>
        </w:tabs>
        <w:spacing w:line="500" w:lineRule="exact"/>
        <w:ind w:firstLine="562" w:firstLineChars="200"/>
        <w:jc w:val="center"/>
        <w:outlineLvl w:val="3"/>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第八章 附则</w:t>
      </w:r>
    </w:p>
    <w:p>
      <w:pPr>
        <w:tabs>
          <w:tab w:val="left" w:pos="0"/>
          <w:tab w:val="left" w:pos="425"/>
        </w:tabs>
        <w:spacing w:line="500" w:lineRule="exact"/>
        <w:ind w:firstLine="562" w:firstLineChars="200"/>
        <w:outlineLvl w:val="3"/>
        <w:rPr>
          <w:rFonts w:ascii="仿宋" w:hAnsi="仿宋" w:eastAsia="仿宋" w:cs="仿宋"/>
          <w:color w:val="auto"/>
          <w:kern w:val="0"/>
          <w:sz w:val="28"/>
          <w:szCs w:val="28"/>
        </w:rPr>
      </w:pPr>
      <w:r>
        <w:rPr>
          <w:rFonts w:hint="eastAsia" w:ascii="仿宋" w:hAnsi="仿宋" w:eastAsia="仿宋" w:cs="仿宋_GB2312"/>
          <w:b/>
          <w:color w:val="auto"/>
          <w:sz w:val="28"/>
          <w:szCs w:val="28"/>
        </w:rPr>
        <w:t>第六十条</w:t>
      </w:r>
      <w:r>
        <w:rPr>
          <w:rFonts w:hint="eastAsia" w:ascii="仿宋" w:hAnsi="仿宋" w:eastAsia="仿宋"/>
          <w:color w:val="auto"/>
          <w:sz w:val="28"/>
          <w:szCs w:val="28"/>
        </w:rPr>
        <w:t xml:space="preserve"> 本</w:t>
      </w:r>
      <w:r>
        <w:rPr>
          <w:rFonts w:hint="default" w:ascii="仿宋" w:hAnsi="仿宋" w:eastAsia="仿宋"/>
          <w:color w:val="auto"/>
          <w:sz w:val="28"/>
          <w:szCs w:val="28"/>
        </w:rPr>
        <w:t>方案</w:t>
      </w:r>
      <w:r>
        <w:rPr>
          <w:rFonts w:hint="eastAsia" w:ascii="仿宋" w:hAnsi="仿宋" w:eastAsia="仿宋"/>
          <w:color w:val="auto"/>
          <w:sz w:val="28"/>
          <w:szCs w:val="28"/>
        </w:rPr>
        <w:t>自发布之日起实施。</w:t>
      </w:r>
    </w:p>
    <w:p>
      <w:pPr>
        <w:widowControl/>
        <w:jc w:val="left"/>
        <w:rPr>
          <w:rFonts w:ascii="仿宋" w:hAnsi="仿宋" w:eastAsia="仿宋" w:cs="仿宋"/>
          <w:color w:val="auto"/>
          <w:kern w:val="0"/>
          <w:sz w:val="28"/>
          <w:szCs w:val="28"/>
        </w:rPr>
      </w:pPr>
      <w:bookmarkStart w:id="13" w:name="_Toc20136"/>
      <w:bookmarkStart w:id="14" w:name="_Toc427657335"/>
      <w:r>
        <w:rPr>
          <w:rFonts w:ascii="仿宋" w:hAnsi="仿宋" w:eastAsia="仿宋" w:cs="仿宋"/>
          <w:color w:val="auto"/>
          <w:sz w:val="28"/>
          <w:szCs w:val="28"/>
        </w:rPr>
        <w:br w:type="page"/>
      </w:r>
    </w:p>
    <w:p>
      <w:pPr>
        <w:pStyle w:val="6"/>
        <w:widowControl w:val="0"/>
        <w:spacing w:before="0" w:beforeAutospacing="0" w:after="0" w:afterAutospacing="0" w:line="480" w:lineRule="exact"/>
        <w:jc w:val="both"/>
        <w:rPr>
          <w:rFonts w:ascii="仿宋" w:hAnsi="仿宋" w:eastAsia="仿宋"/>
          <w:b/>
          <w:color w:val="auto"/>
          <w:sz w:val="28"/>
          <w:szCs w:val="28"/>
        </w:rPr>
      </w:pPr>
      <w:r>
        <w:rPr>
          <w:rFonts w:hint="eastAsia" w:ascii="仿宋" w:hAnsi="仿宋" w:eastAsia="仿宋" w:cs="仿宋_GB2312"/>
          <w:b/>
          <w:color w:val="auto"/>
          <w:kern w:val="2"/>
          <w:sz w:val="28"/>
          <w:szCs w:val="28"/>
        </w:rPr>
        <w:t>附件</w:t>
      </w:r>
      <w:r>
        <w:rPr>
          <w:rFonts w:hint="eastAsia" w:ascii="仿宋" w:hAnsi="仿宋" w:eastAsia="仿宋" w:cs="Times New Roman"/>
          <w:b/>
          <w:color w:val="auto"/>
          <w:kern w:val="2"/>
          <w:sz w:val="28"/>
          <w:szCs w:val="28"/>
        </w:rPr>
        <w:t>一</w:t>
      </w:r>
    </w:p>
    <w:p>
      <w:pPr>
        <w:pStyle w:val="26"/>
        <w:spacing w:line="600" w:lineRule="exact"/>
        <w:rPr>
          <w:rFonts w:hint="default" w:ascii="仿宋" w:hAnsi="仿宋" w:eastAsia="仿宋" w:cs="仿宋_GB2312"/>
          <w:bCs/>
          <w:color w:val="auto"/>
          <w:sz w:val="28"/>
        </w:rPr>
      </w:pPr>
      <w:r>
        <w:rPr>
          <w:rFonts w:ascii="仿宋" w:hAnsi="仿宋" w:eastAsia="仿宋" w:cs="仿宋_GB2312"/>
          <w:bCs/>
          <w:color w:val="auto"/>
          <w:sz w:val="28"/>
        </w:rPr>
        <w:t>饼干、糕点预拌粉生产涉及的主要标准</w:t>
      </w:r>
    </w:p>
    <w:tbl>
      <w:tblPr>
        <w:tblStyle w:val="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069"/>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序号</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标准号</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1</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GB/T 191</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包装储运图示标志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/T</w:t>
            </w:r>
            <w:r>
              <w:rPr>
                <w:rFonts w:hint="eastAsia" w:ascii="仿宋" w:hAnsi="仿宋" w:eastAsia="仿宋"/>
                <w:color w:val="auto"/>
                <w:kern w:val="0"/>
                <w:sz w:val="28"/>
                <w:szCs w:val="28"/>
              </w:rPr>
              <w:t xml:space="preserve"> </w:t>
            </w:r>
            <w:r>
              <w:rPr>
                <w:rFonts w:ascii="仿宋" w:hAnsi="仿宋" w:eastAsia="仿宋"/>
                <w:color w:val="auto"/>
                <w:kern w:val="0"/>
                <w:sz w:val="28"/>
                <w:szCs w:val="28"/>
              </w:rPr>
              <w:t>317</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白砂糖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3</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GB/T 1354</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4</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GB/T 1355</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小麦粉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5</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2721</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食用盐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6</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2760</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7</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2761</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8</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2762</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9</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2763</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10</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GB 4806.7</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食品安全国家标准 食品接触用塑料材料及制品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11</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ascii="仿宋" w:hAnsi="仿宋" w:eastAsia="仿宋" w:cs="仿宋_GB2312"/>
                <w:color w:val="auto"/>
                <w:kern w:val="0"/>
                <w:sz w:val="28"/>
                <w:szCs w:val="28"/>
              </w:rPr>
              <w:t>GB/T 5461</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食用盐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12</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7718</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13</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color w:val="auto"/>
              </w:rPr>
              <w:fldChar w:fldCharType="begin"/>
            </w:r>
            <w:r>
              <w:rPr>
                <w:color w:val="auto"/>
              </w:rPr>
              <w:instrText xml:space="preserve"> HYPERLINK "http://www.csres.com/detail/127175.html" \t "_blank" </w:instrText>
            </w:r>
            <w:r>
              <w:rPr>
                <w:color w:val="auto"/>
              </w:rPr>
              <w:fldChar w:fldCharType="separate"/>
            </w:r>
            <w:r>
              <w:rPr>
                <w:rFonts w:ascii="仿宋" w:hAnsi="仿宋" w:eastAsia="仿宋"/>
                <w:color w:val="auto"/>
                <w:kern w:val="0"/>
                <w:sz w:val="28"/>
                <w:szCs w:val="28"/>
              </w:rPr>
              <w:t>GB 9</w:t>
            </w:r>
            <w:r>
              <w:rPr>
                <w:rFonts w:ascii="仿宋" w:hAnsi="仿宋" w:eastAsia="仿宋"/>
                <w:color w:val="auto"/>
                <w:kern w:val="0"/>
                <w:sz w:val="28"/>
                <w:szCs w:val="28"/>
              </w:rPr>
              <w:fldChar w:fldCharType="end"/>
            </w:r>
            <w:r>
              <w:rPr>
                <w:rFonts w:ascii="仿宋" w:hAnsi="仿宋" w:eastAsia="仿宋"/>
                <w:color w:val="auto"/>
                <w:kern w:val="0"/>
                <w:sz w:val="28"/>
                <w:szCs w:val="28"/>
              </w:rPr>
              <w:t>683</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复合食品包装袋卫生标准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14</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GB 9685</w:t>
            </w:r>
          </w:p>
        </w:tc>
        <w:tc>
          <w:tcPr>
            <w:tcW w:w="622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食品安全国家标准 食品接触材料及制品用添加剂使用标准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15</w:t>
            </w:r>
          </w:p>
        </w:tc>
        <w:tc>
          <w:tcPr>
            <w:tcW w:w="206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GB/T 10004</w:t>
            </w:r>
          </w:p>
        </w:tc>
        <w:tc>
          <w:tcPr>
            <w:tcW w:w="622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包装用塑料复合膜、袋干法复合、挤出复合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1</w:t>
            </w:r>
            <w:r>
              <w:rPr>
                <w:rFonts w:hint="eastAsia" w:ascii="仿宋" w:hAnsi="仿宋" w:eastAsia="仿宋"/>
                <w:color w:val="auto"/>
                <w:kern w:val="0"/>
                <w:sz w:val="28"/>
                <w:szCs w:val="28"/>
              </w:rPr>
              <w:t>6</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14880</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17</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14881</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食品生产通用卫生规范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18</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19644</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19</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28050</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食品安全国家标准</w:t>
            </w: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预包装食品营养标签通则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20</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31639</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Times New Roman" w:hAnsi="Times New Roman" w:eastAsia="仿宋"/>
                <w:color w:val="auto"/>
                <w:kern w:val="0"/>
                <w:sz w:val="28"/>
                <w:szCs w:val="28"/>
              </w:rPr>
              <w:t> </w:t>
            </w:r>
            <w:r>
              <w:rPr>
                <w:rFonts w:ascii="仿宋" w:hAnsi="仿宋" w:eastAsia="仿宋"/>
                <w:color w:val="auto"/>
                <w:kern w:val="0"/>
                <w:sz w:val="28"/>
                <w:szCs w:val="28"/>
              </w:rPr>
              <w:t xml:space="preserve"> 食品安全国家标准 食品加工用酵母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21</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LS/T 3210</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小麦胚（胚片、胚粉）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22</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GB/T 20706</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可可粉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23</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LS/T 3244</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全麦粉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24</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NY/T 892</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绿色食品</w:t>
            </w:r>
            <w:r>
              <w:rPr>
                <w:rFonts w:ascii="仿宋" w:hAnsi="仿宋" w:eastAsia="仿宋"/>
                <w:color w:val="auto"/>
                <w:kern w:val="0"/>
                <w:sz w:val="28"/>
                <w:szCs w:val="28"/>
              </w:rPr>
              <w:t xml:space="preserve"> </w:t>
            </w:r>
            <w:r>
              <w:rPr>
                <w:rFonts w:hint="eastAsia" w:ascii="仿宋" w:hAnsi="仿宋" w:eastAsia="仿宋"/>
                <w:color w:val="auto"/>
                <w:kern w:val="0"/>
                <w:sz w:val="28"/>
                <w:szCs w:val="28"/>
              </w:rPr>
              <w:t>燕麦及燕麦粉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25</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NY/T 1884</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绿色食品</w:t>
            </w:r>
            <w:r>
              <w:rPr>
                <w:rFonts w:ascii="仿宋" w:hAnsi="仿宋" w:eastAsia="仿宋"/>
                <w:color w:val="auto"/>
                <w:kern w:val="0"/>
                <w:sz w:val="28"/>
                <w:szCs w:val="28"/>
              </w:rPr>
              <w:t xml:space="preserve"> </w:t>
            </w:r>
            <w:r>
              <w:rPr>
                <w:rFonts w:hint="eastAsia" w:ascii="仿宋" w:hAnsi="仿宋" w:eastAsia="仿宋"/>
                <w:color w:val="auto"/>
                <w:kern w:val="0"/>
                <w:sz w:val="28"/>
                <w:szCs w:val="28"/>
              </w:rPr>
              <w:t>果蔬粉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26</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NY/T 2672</w:t>
            </w:r>
          </w:p>
        </w:tc>
        <w:tc>
          <w:tcPr>
            <w:tcW w:w="6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茶粉</w:t>
            </w:r>
          </w:p>
        </w:tc>
      </w:tr>
    </w:tbl>
    <w:p>
      <w:pPr>
        <w:adjustRightInd w:val="0"/>
        <w:snapToGrid w:val="0"/>
        <w:spacing w:line="500" w:lineRule="exact"/>
        <w:jc w:val="left"/>
        <w:rPr>
          <w:rFonts w:ascii="仿宋" w:hAnsi="仿宋" w:eastAsia="仿宋" w:cs="仿宋_GB2312"/>
          <w:color w:val="auto"/>
          <w:kern w:val="0"/>
          <w:sz w:val="28"/>
          <w:szCs w:val="28"/>
        </w:rPr>
      </w:pP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本表为饼干、糕点预拌粉生产涉及的主要标准，仅供参考。</w:t>
      </w:r>
    </w:p>
    <w:p>
      <w:pPr>
        <w:widowControl/>
        <w:jc w:val="left"/>
        <w:rPr>
          <w:rFonts w:ascii="仿宋" w:hAnsi="仿宋" w:eastAsia="仿宋" w:cs="仿宋_GB2312"/>
          <w:color w:val="auto"/>
          <w:kern w:val="0"/>
          <w:sz w:val="28"/>
          <w:szCs w:val="28"/>
        </w:rPr>
      </w:pPr>
      <w:r>
        <w:rPr>
          <w:rFonts w:ascii="仿宋" w:hAnsi="仿宋" w:eastAsia="仿宋" w:cs="仿宋_GB2312"/>
          <w:color w:val="auto"/>
          <w:kern w:val="0"/>
          <w:sz w:val="28"/>
          <w:szCs w:val="28"/>
        </w:rPr>
        <w:br w:type="page"/>
      </w:r>
      <w:r>
        <w:rPr>
          <w:rFonts w:hint="eastAsia" w:ascii="仿宋" w:hAnsi="仿宋" w:eastAsia="仿宋" w:cs="仿宋_GB2312"/>
          <w:b/>
          <w:color w:val="auto"/>
          <w:sz w:val="28"/>
          <w:szCs w:val="28"/>
        </w:rPr>
        <w:t>附件</w:t>
      </w:r>
      <w:r>
        <w:rPr>
          <w:rFonts w:hint="eastAsia" w:ascii="仿宋" w:hAnsi="仿宋" w:eastAsia="仿宋"/>
          <w:b/>
          <w:color w:val="auto"/>
          <w:sz w:val="28"/>
          <w:szCs w:val="28"/>
        </w:rPr>
        <w:t>二</w:t>
      </w:r>
    </w:p>
    <w:p>
      <w:pPr>
        <w:pStyle w:val="26"/>
        <w:spacing w:line="600" w:lineRule="exact"/>
        <w:rPr>
          <w:rFonts w:hint="default" w:ascii="仿宋" w:hAnsi="仿宋" w:eastAsia="仿宋" w:cs="仿宋_GB2312"/>
          <w:bCs/>
          <w:color w:val="auto"/>
          <w:sz w:val="28"/>
        </w:rPr>
      </w:pPr>
      <w:r>
        <w:rPr>
          <w:rFonts w:ascii="仿宋" w:hAnsi="仿宋" w:eastAsia="仿宋" w:cs="仿宋_GB2312"/>
          <w:bCs/>
          <w:color w:val="auto"/>
          <w:sz w:val="28"/>
        </w:rPr>
        <w:t>饼干、糕点预拌粉规定的检验项目与方法</w:t>
      </w:r>
    </w:p>
    <w:p>
      <w:pPr>
        <w:adjustRightInd w:val="0"/>
        <w:snapToGrid w:val="0"/>
        <w:spacing w:line="300" w:lineRule="exact"/>
        <w:jc w:val="left"/>
        <w:rPr>
          <w:rFonts w:ascii="仿宋" w:hAnsi="仿宋" w:eastAsia="仿宋"/>
          <w:b/>
          <w:bCs/>
          <w:color w:val="auto"/>
          <w:kern w:val="0"/>
          <w:sz w:val="28"/>
          <w:szCs w:val="28"/>
        </w:rPr>
      </w:pPr>
    </w:p>
    <w:tbl>
      <w:tblPr>
        <w:tblStyle w:val="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064"/>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hint="eastAsia" w:ascii="仿宋" w:hAnsi="仿宋" w:eastAsia="仿宋" w:cs="仿宋_GB2312"/>
                <w:color w:val="auto"/>
                <w:kern w:val="0"/>
                <w:sz w:val="28"/>
                <w:szCs w:val="28"/>
              </w:rPr>
              <w:t>序号</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检验项目</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1</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水分</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2</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总砷</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3</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铅</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4</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镉</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5</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总汞</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6</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铬</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7</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黄曲霉毒素</w:t>
            </w:r>
            <w:r>
              <w:rPr>
                <w:rFonts w:ascii="仿宋" w:hAnsi="仿宋" w:eastAsia="仿宋"/>
                <w:color w:val="auto"/>
                <w:kern w:val="0"/>
                <w:sz w:val="28"/>
                <w:szCs w:val="28"/>
              </w:rPr>
              <w:t>B1</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GB 5009.22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8</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赭曲霉毒素</w:t>
            </w:r>
            <w:r>
              <w:rPr>
                <w:rFonts w:ascii="仿宋" w:hAnsi="仿宋" w:eastAsia="仿宋"/>
                <w:color w:val="auto"/>
                <w:kern w:val="0"/>
                <w:sz w:val="28"/>
                <w:szCs w:val="28"/>
              </w:rPr>
              <w:t>A</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GB 5009.96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9</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脱氧雪腐镰刀菌烯醇</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olor w:val="auto"/>
                <w:kern w:val="0"/>
                <w:sz w:val="28"/>
                <w:szCs w:val="28"/>
              </w:rPr>
              <w:t>GB 5009.111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10</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玉米赤霉烯酮</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GB/T 5009.209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11</w:t>
            </w:r>
          </w:p>
        </w:tc>
        <w:tc>
          <w:tcPr>
            <w:tcW w:w="3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苯并</w:t>
            </w:r>
            <w:r>
              <w:rPr>
                <w:rFonts w:hint="eastAsia" w:ascii="仿宋" w:hAnsi="仿宋" w:eastAsia="仿宋"/>
                <w:color w:val="auto"/>
                <w:kern w:val="0"/>
                <w:sz w:val="28"/>
                <w:szCs w:val="28"/>
              </w:rPr>
              <w:t>[a]</w:t>
            </w:r>
            <w:r>
              <w:rPr>
                <w:rFonts w:hint="eastAsia" w:ascii="仿宋" w:hAnsi="仿宋" w:eastAsia="仿宋" w:cs="仿宋_GB2312"/>
                <w:color w:val="auto"/>
                <w:kern w:val="0"/>
                <w:sz w:val="28"/>
                <w:szCs w:val="28"/>
              </w:rPr>
              <w:t>芘</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5009.27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olor w:val="auto"/>
                <w:kern w:val="0"/>
                <w:sz w:val="28"/>
                <w:szCs w:val="28"/>
              </w:rPr>
            </w:pPr>
            <w:r>
              <w:rPr>
                <w:rFonts w:ascii="仿宋" w:hAnsi="仿宋" w:eastAsia="仿宋"/>
                <w:color w:val="auto"/>
                <w:kern w:val="0"/>
                <w:sz w:val="28"/>
                <w:szCs w:val="28"/>
              </w:rPr>
              <w:t>12</w:t>
            </w:r>
          </w:p>
        </w:tc>
        <w:tc>
          <w:tcPr>
            <w:tcW w:w="306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hint="eastAsia" w:ascii="仿宋" w:hAnsi="仿宋" w:eastAsia="仿宋" w:cs="仿宋_GB2312"/>
                <w:color w:val="auto"/>
                <w:kern w:val="0"/>
                <w:sz w:val="28"/>
                <w:szCs w:val="28"/>
              </w:rPr>
              <w:t>标签</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7718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p>
        </w:tc>
        <w:tc>
          <w:tcPr>
            <w:tcW w:w="306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r>
              <w:rPr>
                <w:rFonts w:hint="eastAsia" w:ascii="仿宋" w:hAnsi="仿宋" w:eastAsia="仿宋"/>
                <w:color w:val="auto"/>
                <w:sz w:val="28"/>
                <w:szCs w:val="28"/>
              </w:rPr>
              <w:t>13</w:t>
            </w:r>
          </w:p>
        </w:tc>
        <w:tc>
          <w:tcPr>
            <w:tcW w:w="30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r>
              <w:rPr>
                <w:rFonts w:hint="eastAsia" w:ascii="仿宋" w:hAnsi="仿宋" w:eastAsia="仿宋"/>
                <w:color w:val="auto"/>
                <w:sz w:val="28"/>
                <w:szCs w:val="28"/>
              </w:rPr>
              <w:t>菌落总数*</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r>
              <w:rPr>
                <w:rFonts w:hint="eastAsia" w:ascii="仿宋" w:hAnsi="仿宋" w:eastAsia="仿宋"/>
                <w:color w:val="auto"/>
                <w:sz w:val="28"/>
                <w:szCs w:val="28"/>
              </w:rPr>
              <w:t>14</w:t>
            </w:r>
          </w:p>
        </w:tc>
        <w:tc>
          <w:tcPr>
            <w:tcW w:w="30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r>
              <w:rPr>
                <w:rFonts w:hint="eastAsia" w:ascii="仿宋" w:hAnsi="仿宋" w:eastAsia="仿宋"/>
                <w:color w:val="auto"/>
                <w:sz w:val="28"/>
                <w:szCs w:val="28"/>
              </w:rPr>
              <w:t>大肠菌群*</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r>
              <w:rPr>
                <w:rFonts w:hint="eastAsia" w:ascii="仿宋" w:hAnsi="仿宋" w:eastAsia="仿宋"/>
                <w:color w:val="auto"/>
                <w:sz w:val="28"/>
                <w:szCs w:val="28"/>
              </w:rPr>
              <w:t>15</w:t>
            </w:r>
          </w:p>
        </w:tc>
        <w:tc>
          <w:tcPr>
            <w:tcW w:w="30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8"/>
                <w:szCs w:val="28"/>
              </w:rPr>
            </w:pPr>
            <w:r>
              <w:rPr>
                <w:rFonts w:hint="eastAsia" w:ascii="仿宋" w:hAnsi="仿宋" w:eastAsia="仿宋"/>
                <w:color w:val="auto"/>
                <w:sz w:val="28"/>
                <w:szCs w:val="28"/>
              </w:rPr>
              <w:t>致病菌*</w:t>
            </w:r>
          </w:p>
        </w:tc>
        <w:tc>
          <w:tcPr>
            <w:tcW w:w="4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GB 29921</w:t>
            </w:r>
            <w:r>
              <w:rPr>
                <w:rFonts w:hint="eastAsia" w:ascii="仿宋" w:hAnsi="仿宋" w:eastAsia="仿宋"/>
                <w:color w:val="auto"/>
                <w:kern w:val="0"/>
                <w:sz w:val="28"/>
                <w:szCs w:val="28"/>
                <w:lang w:val="en-US" w:eastAsia="zh-CN"/>
              </w:rPr>
              <w:t>中规定的检验方法</w:t>
            </w:r>
          </w:p>
        </w:tc>
      </w:tr>
    </w:tbl>
    <w:p>
      <w:pPr>
        <w:adjustRightInd w:val="0"/>
        <w:snapToGrid w:val="0"/>
        <w:spacing w:line="500" w:lineRule="exact"/>
        <w:jc w:val="left"/>
        <w:rPr>
          <w:rFonts w:ascii="仿宋" w:hAnsi="仿宋" w:eastAsia="仿宋"/>
          <w:color w:val="auto"/>
          <w:kern w:val="0"/>
          <w:sz w:val="28"/>
          <w:szCs w:val="28"/>
        </w:rPr>
      </w:pPr>
      <w:r>
        <w:rPr>
          <w:rFonts w:ascii="仿宋" w:hAnsi="仿宋" w:eastAsia="仿宋"/>
          <w:color w:val="auto"/>
          <w:kern w:val="0"/>
          <w:sz w:val="28"/>
          <w:szCs w:val="28"/>
        </w:rPr>
        <w:t xml:space="preserve">    </w:t>
      </w:r>
      <w:r>
        <w:rPr>
          <w:rFonts w:hint="eastAsia" w:ascii="仿宋" w:hAnsi="仿宋" w:eastAsia="仿宋" w:cs="仿宋_GB2312"/>
          <w:color w:val="auto"/>
          <w:kern w:val="0"/>
          <w:sz w:val="28"/>
          <w:szCs w:val="28"/>
        </w:rPr>
        <w:t>本表规定了饼干、糕点预拌粉检验项目和方法标准，仅供参考。冷加工</w:t>
      </w:r>
      <w:r>
        <w:rPr>
          <w:rFonts w:hint="eastAsia" w:ascii="仿宋" w:hAnsi="仿宋" w:eastAsia="仿宋" w:cs="仿宋_GB2312"/>
          <w:color w:val="auto"/>
          <w:kern w:val="0"/>
          <w:sz w:val="28"/>
          <w:szCs w:val="28"/>
          <w:lang w:val="en-US" w:eastAsia="zh-CN"/>
        </w:rPr>
        <w:t>糕点</w:t>
      </w:r>
      <w:r>
        <w:rPr>
          <w:rFonts w:hint="eastAsia" w:ascii="仿宋" w:hAnsi="仿宋" w:eastAsia="仿宋" w:cs="仿宋_GB2312"/>
          <w:color w:val="auto"/>
          <w:kern w:val="0"/>
          <w:sz w:val="28"/>
          <w:szCs w:val="28"/>
        </w:rPr>
        <w:t>预拌粉必检*项。具体检验项目和检验方法以产品执行标准为准。</w:t>
      </w:r>
      <w:bookmarkEnd w:id="3"/>
      <w:bookmarkEnd w:id="11"/>
      <w:bookmarkEnd w:id="13"/>
      <w:bookmarkEnd w:id="14"/>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46A4"/>
    <w:multiLevelType w:val="multilevel"/>
    <w:tmpl w:val="5E8E46A4"/>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A360708"/>
    <w:rsid w:val="3E7037F9"/>
    <w:rsid w:val="5E841178"/>
    <w:rsid w:val="6CDBA336"/>
    <w:rsid w:val="7FEFA56E"/>
    <w:rsid w:val="E5779D5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line="480" w:lineRule="exact"/>
    </w:pPr>
    <w:rPr>
      <w:rFonts w:eastAsia="仿宋_GB2312"/>
      <w:sz w:val="32"/>
    </w:rPr>
  </w:style>
  <w:style w:type="paragraph" w:styleId="3">
    <w:name w:val="Balloon Text"/>
    <w:basedOn w:val="1"/>
    <w:link w:val="19"/>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正文文本 字符"/>
    <w:basedOn w:val="9"/>
    <w:link w:val="2"/>
    <w:qFormat/>
    <w:uiPriority w:val="0"/>
    <w:rPr>
      <w:rFonts w:hint="eastAsia" w:ascii="仿宋_GB2312" w:eastAsia="仿宋_GB2312" w:cs="仿宋_GB2312"/>
      <w:kern w:val="2"/>
      <w:sz w:val="32"/>
    </w:rPr>
  </w:style>
  <w:style w:type="character" w:customStyle="1" w:styleId="12">
    <w:name w:val="附录一级条标题 Char"/>
    <w:basedOn w:val="13"/>
    <w:link w:val="16"/>
    <w:qFormat/>
    <w:uiPriority w:val="0"/>
    <w:rPr>
      <w:rFonts w:ascii="黑体" w:hAnsi="Calibri" w:eastAsia="黑体"/>
      <w:kern w:val="21"/>
      <w:sz w:val="21"/>
      <w:szCs w:val="22"/>
      <w:lang w:val="en-US" w:eastAsia="zh-CN" w:bidi="ar-SA"/>
    </w:rPr>
  </w:style>
  <w:style w:type="character" w:customStyle="1" w:styleId="13">
    <w:name w:val="附录章标题 Char"/>
    <w:link w:val="14"/>
    <w:qFormat/>
    <w:uiPriority w:val="0"/>
    <w:rPr>
      <w:rFonts w:ascii="黑体" w:hAnsi="Calibri" w:eastAsia="黑体"/>
      <w:kern w:val="21"/>
      <w:sz w:val="21"/>
      <w:szCs w:val="22"/>
      <w:lang w:val="en-US" w:eastAsia="zh-CN" w:bidi="ar-SA"/>
    </w:rPr>
  </w:style>
  <w:style w:type="paragraph" w:customStyle="1" w:styleId="14">
    <w:name w:val="附录章标题"/>
    <w:next w:val="15"/>
    <w:link w:val="13"/>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szCs w:val="22"/>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附录一级条标题"/>
    <w:basedOn w:val="14"/>
    <w:next w:val="15"/>
    <w:link w:val="12"/>
    <w:qFormat/>
    <w:uiPriority w:val="0"/>
    <w:pPr>
      <w:autoSpaceDN w:val="0"/>
      <w:spacing w:beforeLines="0" w:afterLines="0"/>
      <w:ind w:firstLine="400"/>
      <w:outlineLvl w:val="2"/>
    </w:pPr>
  </w:style>
  <w:style w:type="character" w:customStyle="1" w:styleId="17">
    <w:name w:val="页脚 字符"/>
    <w:basedOn w:val="9"/>
    <w:link w:val="4"/>
    <w:qFormat/>
    <w:uiPriority w:val="99"/>
    <w:rPr>
      <w:sz w:val="18"/>
      <w:szCs w:val="18"/>
    </w:rPr>
  </w:style>
  <w:style w:type="character" w:customStyle="1" w:styleId="18">
    <w:name w:val="apple-converted-space"/>
    <w:basedOn w:val="9"/>
    <w:qFormat/>
    <w:uiPriority w:val="0"/>
  </w:style>
  <w:style w:type="character" w:customStyle="1" w:styleId="19">
    <w:name w:val="批注框文本 字符"/>
    <w:basedOn w:val="9"/>
    <w:link w:val="3"/>
    <w:semiHidden/>
    <w:qFormat/>
    <w:uiPriority w:val="99"/>
    <w:rPr>
      <w:sz w:val="18"/>
      <w:szCs w:val="18"/>
    </w:rPr>
  </w:style>
  <w:style w:type="character" w:customStyle="1" w:styleId="20">
    <w:name w:val="页眉 字符"/>
    <w:basedOn w:val="9"/>
    <w:link w:val="5"/>
    <w:semiHidden/>
    <w:qFormat/>
    <w:uiPriority w:val="99"/>
    <w:rPr>
      <w:sz w:val="18"/>
      <w:szCs w:val="18"/>
    </w:rPr>
  </w:style>
  <w:style w:type="paragraph" w:customStyle="1" w:styleId="21">
    <w:name w:val="列出段落2"/>
    <w:basedOn w:val="1"/>
    <w:qFormat/>
    <w:uiPriority w:val="34"/>
    <w:pPr>
      <w:ind w:firstLine="420" w:firstLineChars="200"/>
    </w:pPr>
    <w:rPr>
      <w:rFonts w:ascii="宋体" w:hAnsi="宋体"/>
      <w:sz w:val="24"/>
      <w:szCs w:val="24"/>
    </w:rPr>
  </w:style>
  <w:style w:type="paragraph" w:customStyle="1" w:styleId="22">
    <w:name w:val="List Paragraph"/>
    <w:basedOn w:val="1"/>
    <w:qFormat/>
    <w:uiPriority w:val="34"/>
    <w:pPr>
      <w:ind w:left="720"/>
      <w:contextualSpacing/>
    </w:pPr>
  </w:style>
  <w:style w:type="paragraph" w:customStyle="1" w:styleId="23">
    <w:name w:val="附录二级条标题"/>
    <w:basedOn w:val="16"/>
    <w:next w:val="15"/>
    <w:qFormat/>
    <w:uiPriority w:val="0"/>
    <w:pPr>
      <w:outlineLvl w:val="3"/>
    </w:pPr>
  </w:style>
  <w:style w:type="paragraph" w:customStyle="1" w:styleId="24">
    <w:name w:val="列出段落1"/>
    <w:basedOn w:val="1"/>
    <w:qFormat/>
    <w:uiPriority w:val="34"/>
    <w:pPr>
      <w:widowControl/>
      <w:ind w:firstLine="420" w:firstLineChars="200"/>
      <w:jc w:val="left"/>
    </w:pPr>
    <w:rPr>
      <w:rFonts w:ascii="宋体" w:hAnsi="宋体" w:cs="宋体"/>
      <w:kern w:val="0"/>
      <w:sz w:val="24"/>
      <w:szCs w:val="24"/>
    </w:rPr>
  </w:style>
  <w:style w:type="paragraph" w:customStyle="1" w:styleId="25">
    <w:name w:val="列出段落21"/>
    <w:basedOn w:val="1"/>
    <w:qFormat/>
    <w:uiPriority w:val="0"/>
    <w:pPr>
      <w:ind w:firstLine="420" w:firstLineChars="200"/>
    </w:pPr>
  </w:style>
  <w:style w:type="paragraph" w:customStyle="1" w:styleId="26">
    <w:name w:val="表头"/>
    <w:basedOn w:val="1"/>
    <w:qFormat/>
    <w:uiPriority w:val="0"/>
    <w:pPr>
      <w:widowControl/>
      <w:spacing w:line="440" w:lineRule="exact"/>
      <w:jc w:val="center"/>
    </w:pPr>
    <w:rPr>
      <w:rFonts w:hint="eastAsia" w:ascii="黑体" w:hAnsi="宋体" w:eastAsia="黑体"/>
      <w:b/>
      <w:color w:val="000000"/>
      <w:kern w:val="0"/>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14</Pages>
  <Words>1236</Words>
  <Characters>7051</Characters>
  <Lines>58</Lines>
  <Paragraphs>16</Paragraphs>
  <TotalTime>3</TotalTime>
  <ScaleCrop>false</ScaleCrop>
  <LinksUpToDate>false</LinksUpToDate>
  <CharactersWithSpaces>8271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2021-04-22T23:08:00Z</dcterms:created>
  <dc:creator>Administrator</dc:creator>
  <cp:lastModifiedBy>王远</cp:lastModifiedBy>
  <cp:lastPrinted>2020-08-14T11:34:00Z</cp:lastPrinted>
  <dcterms:modified xsi:type="dcterms:W3CDTF">2021-04-30T02:31:27Z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