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640" w:firstLineChars="200"/>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202</w:t>
      </w:r>
      <w:r>
        <w:rPr>
          <w:rFonts w:hint="eastAsia" w:ascii="方正小标宋简体" w:hAnsi="方正小标宋简体" w:eastAsia="方正小标宋简体" w:cs="方正小标宋简体"/>
          <w:color w:val="000000"/>
          <w:sz w:val="32"/>
          <w:szCs w:val="32"/>
        </w:rPr>
        <w:t>1</w:t>
      </w:r>
      <w:r>
        <w:rPr>
          <w:rFonts w:hint="eastAsia" w:ascii="方正小标宋简体" w:hAnsi="方正小标宋简体" w:eastAsia="方正小标宋简体" w:cs="方正小标宋简体"/>
          <w:color w:val="000000"/>
          <w:sz w:val="32"/>
          <w:szCs w:val="32"/>
        </w:rPr>
        <w:t>年陕西省读写作业台灯产品质量监督抽查实施细则</w:t>
      </w:r>
    </w:p>
    <w:p>
      <w:pPr>
        <w:pStyle w:val="6"/>
        <w:numPr>
          <w:ilvl w:val="0"/>
          <w:numId w:val="0"/>
        </w:numPr>
        <w:spacing w:before="156"/>
        <w:rPr>
          <w:rFonts w:hint="eastAsia" w:ascii="仿宋_GB2312" w:hAnsi="宋体"/>
          <w:szCs w:val="28"/>
        </w:rPr>
      </w:pPr>
    </w:p>
    <w:p>
      <w:pPr>
        <w:pStyle w:val="6"/>
        <w:numPr>
          <w:ilvl w:val="0"/>
          <w:numId w:val="0"/>
        </w:numPr>
        <w:spacing w:before="156"/>
        <w:rPr>
          <w:rFonts w:ascii="仿宋_GB2312" w:hAnsi="宋体"/>
          <w:szCs w:val="28"/>
        </w:rPr>
      </w:pPr>
      <w:r>
        <w:rPr>
          <w:rFonts w:hint="eastAsia" w:ascii="仿宋_GB2312" w:hAnsi="宋体"/>
          <w:szCs w:val="28"/>
        </w:rPr>
        <w:t>1. 抽样方法</w:t>
      </w:r>
    </w:p>
    <w:p>
      <w:pPr>
        <w:ind w:firstLine="560"/>
        <w:rPr>
          <w:rFonts w:ascii="仿宋_GB2312" w:hAnsi="宋体"/>
          <w:szCs w:val="28"/>
        </w:rPr>
      </w:pPr>
      <w:r>
        <w:rPr>
          <w:rFonts w:hint="eastAsia" w:ascii="仿宋_GB2312" w:hAnsi="宋体"/>
          <w:szCs w:val="28"/>
        </w:rPr>
        <w:t>以随机抽样的方式在被抽样生产者、销售者的待销产品中抽取。</w:t>
      </w:r>
    </w:p>
    <w:p>
      <w:pPr>
        <w:ind w:firstLine="560"/>
        <w:rPr>
          <w:rFonts w:ascii="仿宋_GB2312" w:hAnsi="宋体"/>
          <w:szCs w:val="28"/>
        </w:rPr>
      </w:pPr>
      <w:r>
        <w:rPr>
          <w:rFonts w:hint="eastAsia" w:ascii="仿宋_GB2312" w:hAnsi="宋体"/>
          <w:szCs w:val="28"/>
        </w:rPr>
        <w:t>随机数使用骰子或扑克牌方法产生。</w:t>
      </w:r>
    </w:p>
    <w:p>
      <w:pPr>
        <w:ind w:firstLine="560"/>
        <w:rPr>
          <w:rFonts w:ascii="仿宋_GB2312" w:hAnsi="宋体"/>
          <w:szCs w:val="28"/>
        </w:rPr>
      </w:pPr>
      <w:r>
        <w:rPr>
          <w:rFonts w:hint="eastAsia" w:ascii="仿宋_GB2312" w:hAnsi="宋体"/>
          <w:szCs w:val="28"/>
        </w:rPr>
        <w:t>每批次产品抽取样品3台，其中2台作为检验样品，1台作为备用样品。</w:t>
      </w:r>
    </w:p>
    <w:p>
      <w:pPr>
        <w:pStyle w:val="6"/>
        <w:numPr>
          <w:ilvl w:val="0"/>
          <w:numId w:val="0"/>
        </w:numPr>
        <w:spacing w:before="156"/>
        <w:rPr>
          <w:rFonts w:ascii="仿宋_GB2312" w:hAnsi="宋体"/>
          <w:szCs w:val="28"/>
        </w:rPr>
      </w:pPr>
      <w:r>
        <w:rPr>
          <w:rFonts w:hint="eastAsia" w:ascii="仿宋_GB2312" w:hAnsi="宋体"/>
          <w:szCs w:val="28"/>
        </w:rPr>
        <w:t>2. 检验依据</w:t>
      </w:r>
    </w:p>
    <w:p>
      <w:pPr>
        <w:ind w:firstLine="420"/>
        <w:jc w:val="center"/>
        <w:rPr>
          <w:rFonts w:ascii="仿宋_GB2312" w:hAnsi="宋体"/>
          <w:sz w:val="21"/>
          <w:szCs w:val="21"/>
        </w:rPr>
      </w:pPr>
      <w:r>
        <w:rPr>
          <w:rFonts w:hint="eastAsia" w:ascii="仿宋_GB2312" w:hAnsi="宋体"/>
          <w:sz w:val="21"/>
          <w:szCs w:val="21"/>
        </w:rPr>
        <w:t>表1读写作业台灯</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528"/>
        <w:gridCol w:w="895"/>
        <w:gridCol w:w="1800"/>
        <w:gridCol w:w="2270"/>
        <w:gridCol w:w="2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401" w:type="pct"/>
            <w:vMerge w:val="restart"/>
            <w:vAlign w:val="center"/>
          </w:tcPr>
          <w:p>
            <w:pPr>
              <w:adjustRightInd w:val="0"/>
              <w:spacing w:line="240" w:lineRule="auto"/>
              <w:ind w:firstLine="0" w:firstLineChars="0"/>
              <w:jc w:val="center"/>
              <w:rPr>
                <w:rFonts w:ascii="仿宋_GB2312" w:hAnsi="宋体"/>
                <w:color w:val="000000" w:themeColor="text1"/>
                <w:sz w:val="24"/>
                <w14:textFill>
                  <w14:solidFill>
                    <w14:schemeClr w14:val="tx1"/>
                  </w14:solidFill>
                </w14:textFill>
              </w:rPr>
            </w:pPr>
            <w:r>
              <w:rPr>
                <w:rFonts w:hint="eastAsia" w:ascii="仿宋_GB2312" w:hAnsi="宋体"/>
                <w:color w:val="000000" w:themeColor="text1"/>
                <w:sz w:val="24"/>
                <w14:textFill>
                  <w14:solidFill>
                    <w14:schemeClr w14:val="tx1"/>
                  </w14:solidFill>
                </w14:textFill>
              </w:rPr>
              <w:t>序号</w:t>
            </w:r>
          </w:p>
        </w:tc>
        <w:tc>
          <w:tcPr>
            <w:tcW w:w="1801" w:type="pct"/>
            <w:gridSpan w:val="3"/>
            <w:vMerge w:val="restart"/>
            <w:vAlign w:val="center"/>
          </w:tcPr>
          <w:p>
            <w:pPr>
              <w:adjustRightInd w:val="0"/>
              <w:spacing w:line="240" w:lineRule="auto"/>
              <w:ind w:firstLine="0" w:firstLineChars="0"/>
              <w:jc w:val="center"/>
              <w:rPr>
                <w:rFonts w:ascii="仿宋_GB2312" w:hAnsi="宋体"/>
                <w:color w:val="000000" w:themeColor="text1"/>
                <w:sz w:val="24"/>
                <w14:textFill>
                  <w14:solidFill>
                    <w14:schemeClr w14:val="tx1"/>
                  </w14:solidFill>
                </w14:textFill>
              </w:rPr>
            </w:pPr>
            <w:r>
              <w:rPr>
                <w:rFonts w:hint="eastAsia" w:ascii="仿宋_GB2312" w:hAnsi="宋体"/>
                <w:color w:val="000000" w:themeColor="text1"/>
                <w:sz w:val="24"/>
                <w14:textFill>
                  <w14:solidFill>
                    <w14:schemeClr w14:val="tx1"/>
                  </w14:solidFill>
                </w14:textFill>
              </w:rPr>
              <w:t>检验项目</w:t>
            </w:r>
          </w:p>
        </w:tc>
        <w:tc>
          <w:tcPr>
            <w:tcW w:w="1269" w:type="pct"/>
            <w:vMerge w:val="restart"/>
            <w:vAlign w:val="center"/>
          </w:tcPr>
          <w:p>
            <w:pPr>
              <w:adjustRightInd w:val="0"/>
              <w:spacing w:line="240" w:lineRule="auto"/>
              <w:ind w:firstLine="0" w:firstLineChars="0"/>
              <w:jc w:val="center"/>
              <w:rPr>
                <w:rFonts w:ascii="仿宋_GB2312" w:hAnsi="宋体"/>
                <w:color w:val="000000" w:themeColor="text1"/>
                <w:sz w:val="24"/>
                <w14:textFill>
                  <w14:solidFill>
                    <w14:schemeClr w14:val="tx1"/>
                  </w14:solidFill>
                </w14:textFill>
              </w:rPr>
            </w:pPr>
            <w:r>
              <w:rPr>
                <w:rFonts w:hint="eastAsia" w:ascii="仿宋_GB2312" w:hAnsi="宋体"/>
                <w:color w:val="000000" w:themeColor="text1"/>
                <w:sz w:val="24"/>
                <w14:textFill>
                  <w14:solidFill>
                    <w14:schemeClr w14:val="tx1"/>
                  </w14:solidFill>
                </w14:textFill>
              </w:rPr>
              <w:t>检验依据</w:t>
            </w:r>
          </w:p>
        </w:tc>
        <w:tc>
          <w:tcPr>
            <w:tcW w:w="1529" w:type="pct"/>
            <w:vMerge w:val="restart"/>
            <w:vAlign w:val="center"/>
          </w:tcPr>
          <w:p>
            <w:pPr>
              <w:adjustRightInd w:val="0"/>
              <w:spacing w:line="240" w:lineRule="auto"/>
              <w:ind w:firstLine="0" w:firstLineChars="0"/>
              <w:jc w:val="center"/>
              <w:rPr>
                <w:rFonts w:ascii="仿宋_GB2312" w:hAnsi="宋体"/>
                <w:color w:val="000000" w:themeColor="text1"/>
                <w:sz w:val="24"/>
                <w14:textFill>
                  <w14:solidFill>
                    <w14:schemeClr w14:val="tx1"/>
                  </w14:solidFill>
                </w14:textFill>
              </w:rPr>
            </w:pPr>
            <w:r>
              <w:rPr>
                <w:rFonts w:hint="eastAsia" w:ascii="仿宋_GB2312" w:hAnsi="宋体"/>
                <w:color w:val="000000" w:themeColor="text1"/>
                <w:sz w:val="24"/>
                <w14:textFill>
                  <w14:solidFill>
                    <w14:schemeClr w14:val="tx1"/>
                  </w14:solidFill>
                </w14:textFill>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401" w:type="pct"/>
            <w:vMerge w:val="continue"/>
            <w:vAlign w:val="center"/>
          </w:tcPr>
          <w:p>
            <w:pPr>
              <w:adjustRightInd w:val="0"/>
              <w:spacing w:line="240" w:lineRule="auto"/>
              <w:ind w:firstLine="0" w:firstLineChars="0"/>
              <w:jc w:val="center"/>
              <w:rPr>
                <w:rFonts w:ascii="仿宋_GB2312" w:hAnsi="宋体"/>
                <w:color w:val="000000" w:themeColor="text1"/>
                <w:sz w:val="24"/>
                <w14:textFill>
                  <w14:solidFill>
                    <w14:schemeClr w14:val="tx1"/>
                  </w14:solidFill>
                </w14:textFill>
              </w:rPr>
            </w:pPr>
          </w:p>
        </w:tc>
        <w:tc>
          <w:tcPr>
            <w:tcW w:w="1801" w:type="pct"/>
            <w:gridSpan w:val="3"/>
            <w:vMerge w:val="continue"/>
            <w:vAlign w:val="center"/>
          </w:tcPr>
          <w:p>
            <w:pPr>
              <w:adjustRightInd w:val="0"/>
              <w:spacing w:line="240" w:lineRule="auto"/>
              <w:ind w:firstLine="0" w:firstLineChars="0"/>
              <w:jc w:val="center"/>
              <w:rPr>
                <w:rFonts w:ascii="仿宋_GB2312" w:hAnsi="宋体"/>
                <w:color w:val="000000" w:themeColor="text1"/>
                <w:sz w:val="24"/>
                <w14:textFill>
                  <w14:solidFill>
                    <w14:schemeClr w14:val="tx1"/>
                  </w14:solidFill>
                </w14:textFill>
              </w:rPr>
            </w:pPr>
          </w:p>
        </w:tc>
        <w:tc>
          <w:tcPr>
            <w:tcW w:w="1269" w:type="pct"/>
            <w:vMerge w:val="continue"/>
            <w:vAlign w:val="center"/>
          </w:tcPr>
          <w:p>
            <w:pPr>
              <w:adjustRightInd w:val="0"/>
              <w:spacing w:line="240" w:lineRule="auto"/>
              <w:ind w:firstLine="0" w:firstLineChars="0"/>
              <w:jc w:val="center"/>
              <w:rPr>
                <w:rFonts w:ascii="仿宋_GB2312" w:hAnsi="宋体"/>
                <w:color w:val="000000" w:themeColor="text1"/>
                <w:sz w:val="24"/>
                <w14:textFill>
                  <w14:solidFill>
                    <w14:schemeClr w14:val="tx1"/>
                  </w14:solidFill>
                </w14:textFill>
              </w:rPr>
            </w:pPr>
          </w:p>
        </w:tc>
        <w:tc>
          <w:tcPr>
            <w:tcW w:w="1529" w:type="pct"/>
            <w:vMerge w:val="continue"/>
          </w:tcPr>
          <w:p>
            <w:pPr>
              <w:adjustRightInd w:val="0"/>
              <w:spacing w:line="240" w:lineRule="auto"/>
              <w:ind w:firstLine="0" w:firstLineChars="0"/>
              <w:jc w:val="center"/>
              <w:rPr>
                <w:rFonts w:ascii="仿宋_GB2312"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1" w:type="pct"/>
            <w:vAlign w:val="center"/>
          </w:tcPr>
          <w:p>
            <w:pPr>
              <w:adjustRightInd w:val="0"/>
              <w:spacing w:line="240" w:lineRule="auto"/>
              <w:ind w:firstLine="0" w:firstLineChars="0"/>
              <w:jc w:val="center"/>
              <w:rPr>
                <w:rFonts w:ascii="仿宋_GB2312" w:hAnsi="宋体"/>
                <w:color w:val="000000" w:themeColor="text1"/>
                <w:sz w:val="24"/>
                <w14:textFill>
                  <w14:solidFill>
                    <w14:schemeClr w14:val="tx1"/>
                  </w14:solidFill>
                </w14:textFill>
              </w:rPr>
            </w:pPr>
            <w:r>
              <w:rPr>
                <w:rFonts w:ascii="仿宋_GB2312" w:hAnsi="宋体"/>
                <w:color w:val="000000" w:themeColor="text1"/>
                <w:sz w:val="24"/>
                <w14:textFill>
                  <w14:solidFill>
                    <w14:schemeClr w14:val="tx1"/>
                  </w14:solidFill>
                </w14:textFill>
              </w:rPr>
              <w:t>1</w:t>
            </w:r>
          </w:p>
        </w:tc>
        <w:tc>
          <w:tcPr>
            <w:tcW w:w="1801" w:type="pct"/>
            <w:gridSpan w:val="3"/>
            <w:vAlign w:val="center"/>
          </w:tcPr>
          <w:p>
            <w:pPr>
              <w:kinsoku w:val="0"/>
              <w:overflowPunct w:val="0"/>
              <w:autoSpaceDE w:val="0"/>
              <w:autoSpaceDN w:val="0"/>
              <w:adjustRightInd w:val="0"/>
              <w:spacing w:line="360" w:lineRule="exact"/>
              <w:ind w:firstLine="0" w:firstLineChars="0"/>
              <w:jc w:val="center"/>
              <w:rPr>
                <w:rFonts w:ascii="仿宋_GB2312" w:hAnsi="宋体"/>
                <w:snapToGrid w:val="0"/>
                <w:color w:val="000000" w:themeColor="text1"/>
                <w:kern w:val="0"/>
                <w:sz w:val="24"/>
                <w14:textFill>
                  <w14:solidFill>
                    <w14:schemeClr w14:val="tx1"/>
                  </w14:solidFill>
                </w14:textFill>
              </w:rPr>
            </w:pPr>
            <w:r>
              <w:rPr>
                <w:rFonts w:hint="eastAsia" w:ascii="仿宋_GB2312" w:hAnsi="宋体"/>
                <w:snapToGrid w:val="0"/>
                <w:color w:val="000000" w:themeColor="text1"/>
                <w:kern w:val="0"/>
                <w:sz w:val="24"/>
                <w14:textFill>
                  <w14:solidFill>
                    <w14:schemeClr w14:val="tx1"/>
                  </w14:solidFill>
                </w14:textFill>
              </w:rPr>
              <w:t>防固体异物</w:t>
            </w:r>
          </w:p>
        </w:tc>
        <w:tc>
          <w:tcPr>
            <w:tcW w:w="1269" w:type="pct"/>
            <w:vMerge w:val="restart"/>
            <w:vAlign w:val="center"/>
          </w:tcPr>
          <w:p>
            <w:pPr>
              <w:adjustRightInd w:val="0"/>
              <w:spacing w:line="360" w:lineRule="exact"/>
              <w:ind w:firstLine="0" w:firstLineChars="0"/>
              <w:jc w:val="center"/>
              <w:rPr>
                <w:rFonts w:ascii="仿宋_GB2312" w:hAnsi="宋体"/>
                <w:snapToGrid w:val="0"/>
                <w:color w:val="000000" w:themeColor="text1"/>
                <w:kern w:val="0"/>
                <w:sz w:val="24"/>
                <w14:textFill>
                  <w14:solidFill>
                    <w14:schemeClr w14:val="tx1"/>
                  </w14:solidFill>
                </w14:textFill>
              </w:rPr>
            </w:pPr>
            <w:r>
              <w:rPr>
                <w:rFonts w:hint="eastAsia" w:ascii="仿宋_GB2312" w:hAnsi="宋体"/>
                <w:snapToGrid w:val="0"/>
                <w:color w:val="000000" w:themeColor="text1"/>
                <w:kern w:val="0"/>
                <w:sz w:val="24"/>
                <w14:textFill>
                  <w14:solidFill>
                    <w14:schemeClr w14:val="tx1"/>
                  </w14:solidFill>
                </w14:textFill>
              </w:rPr>
              <w:t>GB 7000.204-2008</w:t>
            </w:r>
          </w:p>
        </w:tc>
        <w:tc>
          <w:tcPr>
            <w:tcW w:w="1529" w:type="pct"/>
            <w:vAlign w:val="center"/>
          </w:tcPr>
          <w:p>
            <w:pPr>
              <w:adjustRightInd w:val="0"/>
              <w:spacing w:line="360" w:lineRule="exact"/>
              <w:ind w:firstLine="0" w:firstLineChars="0"/>
              <w:jc w:val="center"/>
              <w:rPr>
                <w:rFonts w:ascii="仿宋_GB2312" w:hAnsi="宋体"/>
                <w:snapToGrid w:val="0"/>
                <w:color w:val="000000" w:themeColor="text1"/>
                <w:kern w:val="0"/>
                <w:sz w:val="24"/>
                <w14:textFill>
                  <w14:solidFill>
                    <w14:schemeClr w14:val="tx1"/>
                  </w14:solidFill>
                </w14:textFill>
              </w:rPr>
            </w:pPr>
            <w:r>
              <w:rPr>
                <w:rFonts w:ascii="仿宋_GB2312" w:hAnsi="宋体"/>
                <w:snapToGrid w:val="0"/>
                <w:color w:val="000000" w:themeColor="text1"/>
                <w:kern w:val="0"/>
                <w:sz w:val="24"/>
                <w14:textFill>
                  <w14:solidFill>
                    <w14:schemeClr w14:val="tx1"/>
                  </w14:solidFill>
                </w14:textFill>
              </w:rPr>
              <w:t>GB 7000.1-2015</w:t>
            </w:r>
          </w:p>
          <w:p>
            <w:pPr>
              <w:adjustRightInd w:val="0"/>
              <w:spacing w:line="360" w:lineRule="exact"/>
              <w:ind w:firstLine="0" w:firstLineChars="0"/>
              <w:jc w:val="center"/>
              <w:rPr>
                <w:rFonts w:ascii="仿宋_GB2312" w:hAnsi="宋体"/>
                <w:snapToGrid w:val="0"/>
                <w:color w:val="000000" w:themeColor="text1"/>
                <w:kern w:val="0"/>
                <w:sz w:val="24"/>
                <w14:textFill>
                  <w14:solidFill>
                    <w14:schemeClr w14:val="tx1"/>
                  </w14:solidFill>
                </w14:textFill>
              </w:rPr>
            </w:pPr>
            <w:r>
              <w:rPr>
                <w:rFonts w:ascii="仿宋_GB2312" w:hAnsi="宋体"/>
                <w:snapToGrid w:val="0"/>
                <w:color w:val="000000" w:themeColor="text1"/>
                <w:kern w:val="0"/>
                <w:sz w:val="24"/>
                <w14:textFill>
                  <w14:solidFill>
                    <w14:schemeClr w14:val="tx1"/>
                  </w14:solidFill>
                </w14:textFill>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1" w:type="pct"/>
            <w:vAlign w:val="center"/>
          </w:tcPr>
          <w:p>
            <w:pPr>
              <w:adjustRightInd w:val="0"/>
              <w:spacing w:line="240" w:lineRule="auto"/>
              <w:ind w:firstLine="0" w:firstLineChars="0"/>
              <w:jc w:val="center"/>
              <w:rPr>
                <w:rFonts w:ascii="仿宋_GB2312" w:hAnsi="宋体"/>
                <w:color w:val="000000" w:themeColor="text1"/>
                <w:sz w:val="24"/>
                <w14:textFill>
                  <w14:solidFill>
                    <w14:schemeClr w14:val="tx1"/>
                  </w14:solidFill>
                </w14:textFill>
              </w:rPr>
            </w:pPr>
            <w:r>
              <w:rPr>
                <w:rFonts w:ascii="仿宋_GB2312" w:hAnsi="宋体"/>
                <w:color w:val="000000" w:themeColor="text1"/>
                <w:sz w:val="24"/>
                <w14:textFill>
                  <w14:solidFill>
                    <w14:schemeClr w14:val="tx1"/>
                  </w14:solidFill>
                </w14:textFill>
              </w:rPr>
              <w:t>1</w:t>
            </w:r>
          </w:p>
        </w:tc>
        <w:tc>
          <w:tcPr>
            <w:tcW w:w="1801" w:type="pct"/>
            <w:gridSpan w:val="3"/>
            <w:vAlign w:val="center"/>
          </w:tcPr>
          <w:p>
            <w:pPr>
              <w:kinsoku w:val="0"/>
              <w:overflowPunct w:val="0"/>
              <w:autoSpaceDE w:val="0"/>
              <w:autoSpaceDN w:val="0"/>
              <w:adjustRightInd w:val="0"/>
              <w:spacing w:line="360" w:lineRule="exact"/>
              <w:ind w:firstLine="0" w:firstLineChars="0"/>
              <w:jc w:val="center"/>
              <w:rPr>
                <w:rFonts w:ascii="仿宋_GB2312" w:hAnsi="宋体"/>
                <w:snapToGrid w:val="0"/>
                <w:color w:val="000000" w:themeColor="text1"/>
                <w:kern w:val="0"/>
                <w:sz w:val="24"/>
                <w14:textFill>
                  <w14:solidFill>
                    <w14:schemeClr w14:val="tx1"/>
                  </w14:solidFill>
                </w14:textFill>
              </w:rPr>
            </w:pPr>
            <w:r>
              <w:rPr>
                <w:rFonts w:hint="eastAsia" w:ascii="仿宋_GB2312" w:hAnsi="宋体"/>
                <w:snapToGrid w:val="0"/>
                <w:color w:val="000000" w:themeColor="text1"/>
                <w:kern w:val="0"/>
                <w:sz w:val="24"/>
                <w14:textFill>
                  <w14:solidFill>
                    <w14:schemeClr w14:val="tx1"/>
                  </w14:solidFill>
                </w14:textFill>
              </w:rPr>
              <w:t>绝缘电阻</w:t>
            </w:r>
          </w:p>
        </w:tc>
        <w:tc>
          <w:tcPr>
            <w:tcW w:w="1269" w:type="pct"/>
            <w:vMerge w:val="continue"/>
            <w:vAlign w:val="center"/>
          </w:tcPr>
          <w:p>
            <w:pPr>
              <w:adjustRightInd w:val="0"/>
              <w:spacing w:line="360" w:lineRule="exact"/>
              <w:ind w:firstLine="480"/>
              <w:jc w:val="center"/>
              <w:rPr>
                <w:rFonts w:ascii="仿宋_GB2312" w:hAnsi="宋体"/>
                <w:snapToGrid w:val="0"/>
                <w:color w:val="000000" w:themeColor="text1"/>
                <w:kern w:val="0"/>
                <w:sz w:val="24"/>
                <w14:textFill>
                  <w14:solidFill>
                    <w14:schemeClr w14:val="tx1"/>
                  </w14:solidFill>
                </w14:textFill>
              </w:rPr>
            </w:pPr>
          </w:p>
        </w:tc>
        <w:tc>
          <w:tcPr>
            <w:tcW w:w="1529" w:type="pct"/>
            <w:vMerge w:val="restart"/>
            <w:vAlign w:val="center"/>
          </w:tcPr>
          <w:p>
            <w:pPr>
              <w:adjustRightInd w:val="0"/>
              <w:spacing w:line="360" w:lineRule="exact"/>
              <w:ind w:firstLine="0" w:firstLineChars="0"/>
              <w:jc w:val="center"/>
              <w:rPr>
                <w:rFonts w:ascii="仿宋_GB2312" w:hAnsi="宋体"/>
                <w:snapToGrid w:val="0"/>
                <w:color w:val="000000" w:themeColor="text1"/>
                <w:kern w:val="0"/>
                <w:sz w:val="24"/>
                <w14:textFill>
                  <w14:solidFill>
                    <w14:schemeClr w14:val="tx1"/>
                  </w14:solidFill>
                </w14:textFill>
              </w:rPr>
            </w:pPr>
            <w:r>
              <w:rPr>
                <w:rFonts w:hint="eastAsia" w:ascii="仿宋_GB2312" w:hAnsi="宋体"/>
                <w:snapToGrid w:val="0"/>
                <w:color w:val="000000" w:themeColor="text1"/>
                <w:kern w:val="0"/>
                <w:sz w:val="24"/>
                <w14:textFill>
                  <w14:solidFill>
                    <w14:schemeClr w14:val="tx1"/>
                  </w14:solidFill>
                </w14:textFill>
              </w:rPr>
              <w:t>GB 7000.1-2015</w:t>
            </w:r>
          </w:p>
          <w:p>
            <w:pPr>
              <w:adjustRightInd w:val="0"/>
              <w:spacing w:line="360" w:lineRule="exact"/>
              <w:ind w:firstLine="0" w:firstLineChars="0"/>
              <w:jc w:val="center"/>
              <w:rPr>
                <w:rFonts w:ascii="仿宋_GB2312" w:hAnsi="宋体"/>
                <w:color w:val="000000" w:themeColor="text1"/>
                <w:sz w:val="24"/>
                <w14:textFill>
                  <w14:solidFill>
                    <w14:schemeClr w14:val="tx1"/>
                  </w14:solidFill>
                </w14:textFill>
              </w:rPr>
            </w:pPr>
            <w:r>
              <w:rPr>
                <w:rFonts w:hint="eastAsia" w:ascii="仿宋_GB2312" w:hAnsi="宋体"/>
                <w:snapToGrid w:val="0"/>
                <w:color w:val="000000" w:themeColor="text1"/>
                <w:kern w:val="0"/>
                <w:sz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1" w:type="pct"/>
            <w:vAlign w:val="center"/>
          </w:tcPr>
          <w:p>
            <w:pPr>
              <w:adjustRightInd w:val="0"/>
              <w:spacing w:line="240" w:lineRule="auto"/>
              <w:ind w:firstLine="0" w:firstLineChars="0"/>
              <w:jc w:val="center"/>
              <w:rPr>
                <w:rFonts w:ascii="仿宋_GB2312" w:hAnsi="宋体"/>
                <w:color w:val="000000" w:themeColor="text1"/>
                <w:sz w:val="24"/>
                <w14:textFill>
                  <w14:solidFill>
                    <w14:schemeClr w14:val="tx1"/>
                  </w14:solidFill>
                </w14:textFill>
              </w:rPr>
            </w:pPr>
            <w:r>
              <w:rPr>
                <w:rFonts w:ascii="仿宋_GB2312" w:hAnsi="宋体"/>
                <w:color w:val="000000" w:themeColor="text1"/>
                <w:sz w:val="24"/>
                <w14:textFill>
                  <w14:solidFill>
                    <w14:schemeClr w14:val="tx1"/>
                  </w14:solidFill>
                </w14:textFill>
              </w:rPr>
              <w:t>2</w:t>
            </w:r>
          </w:p>
        </w:tc>
        <w:tc>
          <w:tcPr>
            <w:tcW w:w="1801" w:type="pct"/>
            <w:gridSpan w:val="3"/>
            <w:vAlign w:val="center"/>
          </w:tcPr>
          <w:p>
            <w:pPr>
              <w:kinsoku w:val="0"/>
              <w:overflowPunct w:val="0"/>
              <w:autoSpaceDE w:val="0"/>
              <w:autoSpaceDN w:val="0"/>
              <w:adjustRightInd w:val="0"/>
              <w:spacing w:line="360" w:lineRule="exact"/>
              <w:ind w:firstLine="0" w:firstLineChars="0"/>
              <w:jc w:val="center"/>
              <w:rPr>
                <w:rFonts w:ascii="仿宋_GB2312" w:hAnsi="宋体"/>
                <w:snapToGrid w:val="0"/>
                <w:color w:val="000000" w:themeColor="text1"/>
                <w:kern w:val="0"/>
                <w:sz w:val="24"/>
                <w14:textFill>
                  <w14:solidFill>
                    <w14:schemeClr w14:val="tx1"/>
                  </w14:solidFill>
                </w14:textFill>
              </w:rPr>
            </w:pPr>
            <w:r>
              <w:rPr>
                <w:rFonts w:hint="eastAsia" w:ascii="仿宋_GB2312" w:hAnsi="宋体"/>
                <w:snapToGrid w:val="0"/>
                <w:color w:val="000000" w:themeColor="text1"/>
                <w:kern w:val="0"/>
                <w:sz w:val="24"/>
                <w14:textFill>
                  <w14:solidFill>
                    <w14:schemeClr w14:val="tx1"/>
                  </w14:solidFill>
                </w14:textFill>
              </w:rPr>
              <w:t>电气强度</w:t>
            </w:r>
          </w:p>
        </w:tc>
        <w:tc>
          <w:tcPr>
            <w:tcW w:w="1269" w:type="pct"/>
            <w:vMerge w:val="continue"/>
            <w:vAlign w:val="center"/>
          </w:tcPr>
          <w:p>
            <w:pPr>
              <w:adjustRightInd w:val="0"/>
              <w:spacing w:line="360" w:lineRule="exact"/>
              <w:ind w:firstLine="480"/>
              <w:jc w:val="center"/>
              <w:rPr>
                <w:rFonts w:ascii="仿宋_GB2312" w:hAnsi="宋体"/>
                <w:color w:val="000000" w:themeColor="text1"/>
                <w:sz w:val="24"/>
                <w14:textFill>
                  <w14:solidFill>
                    <w14:schemeClr w14:val="tx1"/>
                  </w14:solidFill>
                </w14:textFill>
              </w:rPr>
            </w:pPr>
          </w:p>
        </w:tc>
        <w:tc>
          <w:tcPr>
            <w:tcW w:w="1529" w:type="pct"/>
            <w:vMerge w:val="continue"/>
            <w:vAlign w:val="center"/>
          </w:tcPr>
          <w:p>
            <w:pPr>
              <w:adjustRightInd w:val="0"/>
              <w:spacing w:line="360" w:lineRule="exact"/>
              <w:ind w:firstLine="0" w:firstLineChars="0"/>
              <w:jc w:val="center"/>
              <w:rPr>
                <w:rFonts w:ascii="仿宋_GB2312"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401" w:type="pct"/>
            <w:vAlign w:val="center"/>
          </w:tcPr>
          <w:p>
            <w:pPr>
              <w:adjustRightInd w:val="0"/>
              <w:spacing w:line="240" w:lineRule="auto"/>
              <w:ind w:firstLine="0" w:firstLineChars="0"/>
              <w:jc w:val="center"/>
              <w:rPr>
                <w:rFonts w:ascii="仿宋_GB2312" w:hAnsi="宋体"/>
                <w:color w:val="000000" w:themeColor="text1"/>
                <w:sz w:val="24"/>
                <w14:textFill>
                  <w14:solidFill>
                    <w14:schemeClr w14:val="tx1"/>
                  </w14:solidFill>
                </w14:textFill>
              </w:rPr>
            </w:pPr>
            <w:r>
              <w:rPr>
                <w:rFonts w:ascii="仿宋_GB2312" w:hAnsi="宋体"/>
                <w:color w:val="000000" w:themeColor="text1"/>
                <w:sz w:val="24"/>
                <w14:textFill>
                  <w14:solidFill>
                    <w14:schemeClr w14:val="tx1"/>
                  </w14:solidFill>
                </w14:textFill>
              </w:rPr>
              <w:t>3</w:t>
            </w:r>
          </w:p>
        </w:tc>
        <w:tc>
          <w:tcPr>
            <w:tcW w:w="795" w:type="pct"/>
            <w:gridSpan w:val="2"/>
            <w:vAlign w:val="center"/>
          </w:tcPr>
          <w:p>
            <w:pPr>
              <w:kinsoku w:val="0"/>
              <w:overflowPunct w:val="0"/>
              <w:autoSpaceDE w:val="0"/>
              <w:autoSpaceDN w:val="0"/>
              <w:adjustRightInd w:val="0"/>
              <w:spacing w:line="360" w:lineRule="exact"/>
              <w:ind w:firstLine="0" w:firstLineChars="0"/>
              <w:jc w:val="center"/>
              <w:rPr>
                <w:rFonts w:ascii="仿宋_GB2312" w:hAnsi="宋体"/>
                <w:snapToGrid w:val="0"/>
                <w:color w:val="000000" w:themeColor="text1"/>
                <w:kern w:val="0"/>
                <w:sz w:val="24"/>
                <w14:textFill>
                  <w14:solidFill>
                    <w14:schemeClr w14:val="tx1"/>
                  </w14:solidFill>
                </w14:textFill>
              </w:rPr>
            </w:pPr>
            <w:r>
              <w:rPr>
                <w:rFonts w:hint="eastAsia" w:ascii="仿宋_GB2312" w:hAnsi="宋体"/>
                <w:snapToGrid w:val="0"/>
                <w:color w:val="000000" w:themeColor="text1"/>
                <w:kern w:val="0"/>
                <w:sz w:val="24"/>
                <w14:textFill>
                  <w14:solidFill>
                    <w14:schemeClr w14:val="tx1"/>
                  </w14:solidFill>
                </w14:textFill>
              </w:rPr>
              <w:t>耐久性试验和热试验</w:t>
            </w:r>
          </w:p>
        </w:tc>
        <w:tc>
          <w:tcPr>
            <w:tcW w:w="1006" w:type="pct"/>
            <w:vAlign w:val="center"/>
          </w:tcPr>
          <w:p>
            <w:pPr>
              <w:kinsoku w:val="0"/>
              <w:overflowPunct w:val="0"/>
              <w:autoSpaceDE w:val="0"/>
              <w:autoSpaceDN w:val="0"/>
              <w:adjustRightInd w:val="0"/>
              <w:spacing w:line="360" w:lineRule="exact"/>
              <w:ind w:firstLine="0" w:firstLineChars="0"/>
              <w:jc w:val="center"/>
              <w:rPr>
                <w:rFonts w:ascii="仿宋_GB2312" w:hAnsi="宋体"/>
                <w:snapToGrid w:val="0"/>
                <w:color w:val="000000" w:themeColor="text1"/>
                <w:kern w:val="0"/>
                <w:sz w:val="24"/>
                <w14:textFill>
                  <w14:solidFill>
                    <w14:schemeClr w14:val="tx1"/>
                  </w14:solidFill>
                </w14:textFill>
              </w:rPr>
            </w:pPr>
            <w:r>
              <w:rPr>
                <w:rFonts w:hint="eastAsia" w:ascii="仿宋_GB2312" w:hAnsi="宋体"/>
                <w:snapToGrid w:val="0"/>
                <w:color w:val="000000" w:themeColor="text1"/>
                <w:kern w:val="0"/>
                <w:sz w:val="24"/>
                <w14:textFill>
                  <w14:solidFill>
                    <w14:schemeClr w14:val="tx1"/>
                  </w14:solidFill>
                </w14:textFill>
              </w:rPr>
              <w:t>耐久性</w:t>
            </w:r>
          </w:p>
          <w:p>
            <w:pPr>
              <w:kinsoku w:val="0"/>
              <w:overflowPunct w:val="0"/>
              <w:autoSpaceDE w:val="0"/>
              <w:autoSpaceDN w:val="0"/>
              <w:adjustRightInd w:val="0"/>
              <w:spacing w:line="360" w:lineRule="exact"/>
              <w:ind w:firstLine="0" w:firstLineChars="0"/>
              <w:jc w:val="center"/>
              <w:rPr>
                <w:rFonts w:ascii="仿宋_GB2312" w:hAnsi="宋体"/>
                <w:snapToGrid w:val="0"/>
                <w:color w:val="000000" w:themeColor="text1"/>
                <w:kern w:val="0"/>
                <w:sz w:val="24"/>
                <w14:textFill>
                  <w14:solidFill>
                    <w14:schemeClr w14:val="tx1"/>
                  </w14:solidFill>
                </w14:textFill>
              </w:rPr>
            </w:pPr>
            <w:r>
              <w:rPr>
                <w:rFonts w:hint="eastAsia" w:ascii="仿宋_GB2312" w:hAnsi="宋体"/>
                <w:snapToGrid w:val="0"/>
                <w:color w:val="000000" w:themeColor="text1"/>
                <w:kern w:val="0"/>
                <w:sz w:val="24"/>
                <w14:textFill>
                  <w14:solidFill>
                    <w14:schemeClr w14:val="tx1"/>
                  </w14:solidFill>
                </w14:textFill>
              </w:rPr>
              <w:t>试验</w:t>
            </w:r>
          </w:p>
        </w:tc>
        <w:tc>
          <w:tcPr>
            <w:tcW w:w="1269" w:type="pct"/>
            <w:vMerge w:val="continue"/>
            <w:vAlign w:val="center"/>
          </w:tcPr>
          <w:p>
            <w:pPr>
              <w:adjustRightInd w:val="0"/>
              <w:spacing w:line="360" w:lineRule="exact"/>
              <w:ind w:firstLine="480"/>
              <w:jc w:val="center"/>
              <w:rPr>
                <w:rFonts w:ascii="仿宋_GB2312" w:hAnsi="宋体"/>
                <w:snapToGrid w:val="0"/>
                <w:color w:val="000000" w:themeColor="text1"/>
                <w:kern w:val="0"/>
                <w:sz w:val="24"/>
                <w14:textFill>
                  <w14:solidFill>
                    <w14:schemeClr w14:val="tx1"/>
                  </w14:solidFill>
                </w14:textFill>
              </w:rPr>
            </w:pPr>
          </w:p>
        </w:tc>
        <w:tc>
          <w:tcPr>
            <w:tcW w:w="1529" w:type="pct"/>
            <w:vAlign w:val="center"/>
          </w:tcPr>
          <w:p>
            <w:pPr>
              <w:adjustRightInd w:val="0"/>
              <w:spacing w:line="360" w:lineRule="exact"/>
              <w:ind w:firstLine="0" w:firstLineChars="0"/>
              <w:jc w:val="center"/>
              <w:rPr>
                <w:rFonts w:ascii="仿宋_GB2312" w:hAnsi="宋体"/>
                <w:snapToGrid w:val="0"/>
                <w:color w:val="000000" w:themeColor="text1"/>
                <w:kern w:val="0"/>
                <w:sz w:val="24"/>
                <w14:textFill>
                  <w14:solidFill>
                    <w14:schemeClr w14:val="tx1"/>
                  </w14:solidFill>
                </w14:textFill>
              </w:rPr>
            </w:pPr>
            <w:r>
              <w:rPr>
                <w:rFonts w:hint="eastAsia" w:ascii="仿宋_GB2312" w:hAnsi="宋体"/>
                <w:snapToGrid w:val="0"/>
                <w:color w:val="000000" w:themeColor="text1"/>
                <w:kern w:val="0"/>
                <w:sz w:val="24"/>
                <w14:textFill>
                  <w14:solidFill>
                    <w14:schemeClr w14:val="tx1"/>
                  </w14:solidFill>
                </w14:textFill>
              </w:rPr>
              <w:t>GB 7000.1-2015</w:t>
            </w:r>
          </w:p>
          <w:p>
            <w:pPr>
              <w:adjustRightInd w:val="0"/>
              <w:spacing w:line="360" w:lineRule="exact"/>
              <w:ind w:firstLine="0" w:firstLineChars="0"/>
              <w:jc w:val="center"/>
              <w:rPr>
                <w:rFonts w:ascii="仿宋_GB2312" w:hAnsi="宋体"/>
                <w:color w:val="000000" w:themeColor="text1"/>
                <w:sz w:val="24"/>
                <w14:textFill>
                  <w14:solidFill>
                    <w14:schemeClr w14:val="tx1"/>
                  </w14:solidFill>
                </w14:textFill>
              </w:rPr>
            </w:pPr>
            <w:r>
              <w:rPr>
                <w:rFonts w:hint="eastAsia" w:ascii="仿宋_GB2312" w:hAnsi="宋体"/>
                <w:snapToGrid w:val="0"/>
                <w:color w:val="000000" w:themeColor="text1"/>
                <w:kern w:val="0"/>
                <w:sz w:val="24"/>
                <w14:textFill>
                  <w14:solidFill>
                    <w14:schemeClr w14:val="tx1"/>
                  </w14:solidFill>
                </w14:textFill>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1" w:type="pct"/>
            <w:vMerge w:val="restart"/>
            <w:vAlign w:val="center"/>
          </w:tcPr>
          <w:p>
            <w:pPr>
              <w:adjustRightInd w:val="0"/>
              <w:spacing w:line="240" w:lineRule="auto"/>
              <w:ind w:firstLine="0" w:firstLineChars="0"/>
              <w:jc w:val="center"/>
              <w:rPr>
                <w:rFonts w:ascii="仿宋_GB2312" w:hAnsi="宋体"/>
                <w:color w:val="000000" w:themeColor="text1"/>
                <w:sz w:val="24"/>
                <w14:textFill>
                  <w14:solidFill>
                    <w14:schemeClr w14:val="tx1"/>
                  </w14:solidFill>
                </w14:textFill>
              </w:rPr>
            </w:pPr>
            <w:r>
              <w:rPr>
                <w:rFonts w:ascii="仿宋_GB2312" w:hAnsi="宋体"/>
                <w:color w:val="000000" w:themeColor="text1"/>
                <w:sz w:val="24"/>
                <w14:textFill>
                  <w14:solidFill>
                    <w14:schemeClr w14:val="tx1"/>
                  </w14:solidFill>
                </w14:textFill>
              </w:rPr>
              <w:t>4</w:t>
            </w:r>
          </w:p>
        </w:tc>
        <w:tc>
          <w:tcPr>
            <w:tcW w:w="795" w:type="pct"/>
            <w:gridSpan w:val="2"/>
            <w:vMerge w:val="restart"/>
            <w:vAlign w:val="center"/>
          </w:tcPr>
          <w:p>
            <w:pPr>
              <w:kinsoku w:val="0"/>
              <w:overflowPunct w:val="0"/>
              <w:autoSpaceDE w:val="0"/>
              <w:autoSpaceDN w:val="0"/>
              <w:adjustRightInd w:val="0"/>
              <w:spacing w:line="360" w:lineRule="exact"/>
              <w:ind w:firstLine="0" w:firstLineChars="0"/>
              <w:jc w:val="center"/>
              <w:rPr>
                <w:rFonts w:ascii="仿宋_GB2312" w:hAnsi="宋体"/>
                <w:snapToGrid w:val="0"/>
                <w:color w:val="000000" w:themeColor="text1"/>
                <w:kern w:val="0"/>
                <w:sz w:val="24"/>
                <w14:textFill>
                  <w14:solidFill>
                    <w14:schemeClr w14:val="tx1"/>
                  </w14:solidFill>
                </w14:textFill>
              </w:rPr>
            </w:pPr>
            <w:r>
              <w:rPr>
                <w:rFonts w:hint="eastAsia" w:ascii="仿宋_GB2312" w:hAnsi="宋体"/>
                <w:snapToGrid w:val="0"/>
                <w:color w:val="000000" w:themeColor="text1"/>
                <w:kern w:val="0"/>
                <w:sz w:val="24"/>
                <w14:textFill>
                  <w14:solidFill>
                    <w14:schemeClr w14:val="tx1"/>
                  </w14:solidFill>
                </w14:textFill>
              </w:rPr>
              <w:t>耐热、耐火和耐起痕</w:t>
            </w:r>
          </w:p>
        </w:tc>
        <w:tc>
          <w:tcPr>
            <w:tcW w:w="1006" w:type="pct"/>
            <w:vAlign w:val="center"/>
          </w:tcPr>
          <w:p>
            <w:pPr>
              <w:kinsoku w:val="0"/>
              <w:overflowPunct w:val="0"/>
              <w:autoSpaceDE w:val="0"/>
              <w:autoSpaceDN w:val="0"/>
              <w:adjustRightInd w:val="0"/>
              <w:spacing w:line="360" w:lineRule="exact"/>
              <w:ind w:firstLine="0" w:firstLineChars="0"/>
              <w:jc w:val="center"/>
              <w:rPr>
                <w:rFonts w:ascii="仿宋_GB2312" w:hAnsi="宋体"/>
                <w:snapToGrid w:val="0"/>
                <w:color w:val="000000" w:themeColor="text1"/>
                <w:kern w:val="0"/>
                <w:sz w:val="24"/>
                <w14:textFill>
                  <w14:solidFill>
                    <w14:schemeClr w14:val="tx1"/>
                  </w14:solidFill>
                </w14:textFill>
              </w:rPr>
            </w:pPr>
            <w:r>
              <w:rPr>
                <w:rFonts w:hint="eastAsia" w:ascii="仿宋_GB2312" w:hAnsi="宋体"/>
                <w:snapToGrid w:val="0"/>
                <w:color w:val="000000" w:themeColor="text1"/>
                <w:kern w:val="0"/>
                <w:sz w:val="24"/>
                <w14:textFill>
                  <w14:solidFill>
                    <w14:schemeClr w14:val="tx1"/>
                  </w14:solidFill>
                </w14:textFill>
              </w:rPr>
              <w:t>耐热</w:t>
            </w:r>
          </w:p>
        </w:tc>
        <w:tc>
          <w:tcPr>
            <w:tcW w:w="1269" w:type="pct"/>
            <w:vMerge w:val="continue"/>
            <w:vAlign w:val="center"/>
          </w:tcPr>
          <w:p>
            <w:pPr>
              <w:adjustRightInd w:val="0"/>
              <w:spacing w:line="360" w:lineRule="exact"/>
              <w:ind w:firstLine="0" w:firstLineChars="0"/>
              <w:jc w:val="center"/>
              <w:rPr>
                <w:rFonts w:ascii="仿宋_GB2312" w:hAnsi="宋体"/>
                <w:snapToGrid w:val="0"/>
                <w:color w:val="000000" w:themeColor="text1"/>
                <w:kern w:val="0"/>
                <w:sz w:val="24"/>
                <w14:textFill>
                  <w14:solidFill>
                    <w14:schemeClr w14:val="tx1"/>
                  </w14:solidFill>
                </w14:textFill>
              </w:rPr>
            </w:pPr>
          </w:p>
        </w:tc>
        <w:tc>
          <w:tcPr>
            <w:tcW w:w="1529" w:type="pct"/>
            <w:vMerge w:val="restart"/>
            <w:vAlign w:val="center"/>
          </w:tcPr>
          <w:p>
            <w:pPr>
              <w:adjustRightInd w:val="0"/>
              <w:spacing w:line="360" w:lineRule="exact"/>
              <w:ind w:firstLine="0" w:firstLineChars="0"/>
              <w:jc w:val="center"/>
              <w:rPr>
                <w:rFonts w:ascii="仿宋_GB2312" w:hAnsi="宋体"/>
                <w:snapToGrid w:val="0"/>
                <w:color w:val="000000" w:themeColor="text1"/>
                <w:kern w:val="0"/>
                <w:sz w:val="24"/>
                <w14:textFill>
                  <w14:solidFill>
                    <w14:schemeClr w14:val="tx1"/>
                  </w14:solidFill>
                </w14:textFill>
              </w:rPr>
            </w:pPr>
            <w:r>
              <w:rPr>
                <w:rFonts w:hint="eastAsia" w:ascii="仿宋_GB2312" w:hAnsi="宋体"/>
                <w:snapToGrid w:val="0"/>
                <w:color w:val="000000" w:themeColor="text1"/>
                <w:kern w:val="0"/>
                <w:sz w:val="24"/>
                <w14:textFill>
                  <w14:solidFill>
                    <w14:schemeClr w14:val="tx1"/>
                  </w14:solidFill>
                </w14:textFill>
              </w:rPr>
              <w:t>GB 7000.1-2015</w:t>
            </w:r>
          </w:p>
          <w:p>
            <w:pPr>
              <w:adjustRightInd w:val="0"/>
              <w:spacing w:line="360" w:lineRule="exact"/>
              <w:ind w:firstLine="0" w:firstLineChars="0"/>
              <w:jc w:val="center"/>
              <w:rPr>
                <w:rFonts w:ascii="仿宋_GB2312" w:hAnsi="宋体"/>
                <w:color w:val="000000" w:themeColor="text1"/>
                <w:sz w:val="24"/>
                <w14:textFill>
                  <w14:solidFill>
                    <w14:schemeClr w14:val="tx1"/>
                  </w14:solidFill>
                </w14:textFill>
              </w:rPr>
            </w:pPr>
            <w:r>
              <w:rPr>
                <w:rFonts w:hint="eastAsia" w:ascii="仿宋_GB2312" w:hAnsi="宋体"/>
                <w:snapToGrid w:val="0"/>
                <w:color w:val="000000" w:themeColor="text1"/>
                <w:kern w:val="0"/>
                <w:sz w:val="24"/>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1" w:type="pct"/>
            <w:vMerge w:val="continue"/>
            <w:vAlign w:val="center"/>
          </w:tcPr>
          <w:p>
            <w:pPr>
              <w:adjustRightInd w:val="0"/>
              <w:spacing w:line="240" w:lineRule="auto"/>
              <w:ind w:firstLine="0" w:firstLineChars="0"/>
              <w:jc w:val="center"/>
              <w:rPr>
                <w:rFonts w:ascii="仿宋_GB2312" w:hAnsi="宋体"/>
                <w:color w:val="000000" w:themeColor="text1"/>
                <w:sz w:val="24"/>
                <w14:textFill>
                  <w14:solidFill>
                    <w14:schemeClr w14:val="tx1"/>
                  </w14:solidFill>
                </w14:textFill>
              </w:rPr>
            </w:pPr>
          </w:p>
        </w:tc>
        <w:tc>
          <w:tcPr>
            <w:tcW w:w="795" w:type="pct"/>
            <w:gridSpan w:val="2"/>
            <w:vMerge w:val="continue"/>
            <w:vAlign w:val="center"/>
          </w:tcPr>
          <w:p>
            <w:pPr>
              <w:kinsoku w:val="0"/>
              <w:overflowPunct w:val="0"/>
              <w:autoSpaceDE w:val="0"/>
              <w:autoSpaceDN w:val="0"/>
              <w:adjustRightInd w:val="0"/>
              <w:spacing w:line="360" w:lineRule="exact"/>
              <w:ind w:firstLine="0" w:firstLineChars="0"/>
              <w:jc w:val="center"/>
              <w:rPr>
                <w:rFonts w:ascii="仿宋_GB2312" w:hAnsi="宋体"/>
                <w:snapToGrid w:val="0"/>
                <w:color w:val="000000" w:themeColor="text1"/>
                <w:kern w:val="0"/>
                <w:sz w:val="24"/>
                <w14:textFill>
                  <w14:solidFill>
                    <w14:schemeClr w14:val="tx1"/>
                  </w14:solidFill>
                </w14:textFill>
              </w:rPr>
            </w:pPr>
          </w:p>
        </w:tc>
        <w:tc>
          <w:tcPr>
            <w:tcW w:w="1006" w:type="pct"/>
            <w:vAlign w:val="center"/>
          </w:tcPr>
          <w:p>
            <w:pPr>
              <w:kinsoku w:val="0"/>
              <w:overflowPunct w:val="0"/>
              <w:autoSpaceDE w:val="0"/>
              <w:autoSpaceDN w:val="0"/>
              <w:adjustRightInd w:val="0"/>
              <w:spacing w:line="360" w:lineRule="exact"/>
              <w:ind w:firstLine="0" w:firstLineChars="0"/>
              <w:jc w:val="center"/>
              <w:rPr>
                <w:rFonts w:ascii="仿宋_GB2312" w:hAnsi="宋体"/>
                <w:snapToGrid w:val="0"/>
                <w:color w:val="000000" w:themeColor="text1"/>
                <w:kern w:val="0"/>
                <w:sz w:val="24"/>
                <w14:textFill>
                  <w14:solidFill>
                    <w14:schemeClr w14:val="tx1"/>
                  </w14:solidFill>
                </w14:textFill>
              </w:rPr>
            </w:pPr>
            <w:r>
              <w:rPr>
                <w:rFonts w:hint="eastAsia" w:ascii="仿宋_GB2312" w:hAnsi="宋体"/>
                <w:snapToGrid w:val="0"/>
                <w:color w:val="000000" w:themeColor="text1"/>
                <w:kern w:val="0"/>
                <w:sz w:val="24"/>
                <w14:textFill>
                  <w14:solidFill>
                    <w14:schemeClr w14:val="tx1"/>
                  </w14:solidFill>
                </w14:textFill>
              </w:rPr>
              <w:t>防引燃</w:t>
            </w:r>
          </w:p>
        </w:tc>
        <w:tc>
          <w:tcPr>
            <w:tcW w:w="1269" w:type="pct"/>
            <w:vMerge w:val="continue"/>
            <w:vAlign w:val="center"/>
          </w:tcPr>
          <w:p>
            <w:pPr>
              <w:adjustRightInd w:val="0"/>
              <w:spacing w:line="360" w:lineRule="exact"/>
              <w:ind w:firstLine="0" w:firstLineChars="0"/>
              <w:jc w:val="center"/>
              <w:rPr>
                <w:rFonts w:ascii="仿宋_GB2312" w:hAnsi="宋体"/>
                <w:color w:val="000000" w:themeColor="text1"/>
                <w:sz w:val="24"/>
                <w14:textFill>
                  <w14:solidFill>
                    <w14:schemeClr w14:val="tx1"/>
                  </w14:solidFill>
                </w14:textFill>
              </w:rPr>
            </w:pPr>
          </w:p>
        </w:tc>
        <w:tc>
          <w:tcPr>
            <w:tcW w:w="1529" w:type="pct"/>
            <w:vMerge w:val="continue"/>
            <w:vAlign w:val="center"/>
          </w:tcPr>
          <w:p>
            <w:pPr>
              <w:adjustRightInd w:val="0"/>
              <w:spacing w:line="360" w:lineRule="exact"/>
              <w:ind w:firstLine="0" w:firstLineChars="0"/>
              <w:jc w:val="center"/>
              <w:rPr>
                <w:rFonts w:ascii="仿宋_GB2312"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1" w:type="pct"/>
            <w:vAlign w:val="center"/>
          </w:tcPr>
          <w:p>
            <w:pPr>
              <w:adjustRightInd w:val="0"/>
              <w:spacing w:line="240" w:lineRule="auto"/>
              <w:ind w:firstLine="0" w:firstLineChars="0"/>
              <w:jc w:val="center"/>
              <w:rPr>
                <w:rFonts w:ascii="仿宋_GB2312" w:hAnsi="宋体"/>
                <w:color w:val="000000" w:themeColor="text1"/>
                <w:sz w:val="24"/>
                <w14:textFill>
                  <w14:solidFill>
                    <w14:schemeClr w14:val="tx1"/>
                  </w14:solidFill>
                </w14:textFill>
              </w:rPr>
            </w:pPr>
            <w:r>
              <w:rPr>
                <w:rFonts w:ascii="仿宋_GB2312" w:hAnsi="宋体"/>
                <w:color w:val="000000" w:themeColor="text1"/>
                <w:sz w:val="24"/>
                <w14:textFill>
                  <w14:solidFill>
                    <w14:schemeClr w14:val="tx1"/>
                  </w14:solidFill>
                </w14:textFill>
              </w:rPr>
              <w:t>5</w:t>
            </w:r>
          </w:p>
        </w:tc>
        <w:tc>
          <w:tcPr>
            <w:tcW w:w="1801" w:type="pct"/>
            <w:gridSpan w:val="3"/>
            <w:vAlign w:val="center"/>
          </w:tcPr>
          <w:p>
            <w:pPr>
              <w:adjustRightInd w:val="0"/>
              <w:spacing w:line="360" w:lineRule="exact"/>
              <w:ind w:firstLine="0" w:firstLineChars="0"/>
              <w:jc w:val="center"/>
              <w:rPr>
                <w:rFonts w:ascii="仿宋_GB2312" w:hAnsi="宋体"/>
                <w:sz w:val="24"/>
              </w:rPr>
            </w:pPr>
            <w:r>
              <w:rPr>
                <w:rFonts w:hint="eastAsia" w:ascii="仿宋_GB2312" w:hAnsi="宋体"/>
                <w:snapToGrid w:val="0"/>
                <w:kern w:val="0"/>
                <w:sz w:val="24"/>
              </w:rPr>
              <w:t>谐波</w:t>
            </w:r>
          </w:p>
        </w:tc>
        <w:tc>
          <w:tcPr>
            <w:tcW w:w="1269" w:type="pct"/>
            <w:vAlign w:val="center"/>
          </w:tcPr>
          <w:p>
            <w:pPr>
              <w:adjustRightInd w:val="0"/>
              <w:spacing w:line="360" w:lineRule="exact"/>
              <w:ind w:firstLine="0" w:firstLineChars="0"/>
              <w:jc w:val="center"/>
              <w:rPr>
                <w:rFonts w:ascii="仿宋_GB2312" w:hAnsi="宋体"/>
                <w:sz w:val="24"/>
              </w:rPr>
            </w:pPr>
            <w:r>
              <w:rPr>
                <w:rFonts w:hint="eastAsia" w:ascii="仿宋_GB2312" w:hAnsi="宋体"/>
                <w:snapToGrid w:val="0"/>
                <w:kern w:val="0"/>
                <w:sz w:val="24"/>
              </w:rPr>
              <w:t>GB 17625.1-2012</w:t>
            </w:r>
          </w:p>
        </w:tc>
        <w:tc>
          <w:tcPr>
            <w:tcW w:w="1529" w:type="pct"/>
            <w:vAlign w:val="center"/>
          </w:tcPr>
          <w:p>
            <w:pPr>
              <w:adjustRightInd w:val="0"/>
              <w:spacing w:line="360" w:lineRule="exact"/>
              <w:ind w:firstLine="0" w:firstLineChars="0"/>
              <w:jc w:val="center"/>
              <w:rPr>
                <w:rFonts w:ascii="仿宋_GB2312" w:hAnsi="宋体"/>
                <w:snapToGrid w:val="0"/>
                <w:kern w:val="0"/>
                <w:sz w:val="24"/>
              </w:rPr>
            </w:pPr>
            <w:r>
              <w:rPr>
                <w:rFonts w:hint="eastAsia" w:ascii="仿宋_GB2312" w:hAnsi="宋体"/>
                <w:snapToGrid w:val="0"/>
                <w:kern w:val="0"/>
                <w:sz w:val="24"/>
              </w:rPr>
              <w:t>GB 17625.1-2012</w:t>
            </w:r>
          </w:p>
          <w:p>
            <w:pPr>
              <w:adjustRightInd w:val="0"/>
              <w:spacing w:line="360" w:lineRule="exact"/>
              <w:ind w:firstLine="0" w:firstLineChars="0"/>
              <w:jc w:val="center"/>
              <w:rPr>
                <w:rFonts w:ascii="仿宋_GB2312" w:hAnsi="宋体"/>
                <w:sz w:val="24"/>
              </w:rPr>
            </w:pPr>
            <w:r>
              <w:rPr>
                <w:rFonts w:hint="eastAsia" w:ascii="仿宋_GB2312" w:hAnsi="宋体"/>
                <w:snapToGrid w:val="0"/>
                <w:kern w:val="0"/>
                <w:sz w:val="24"/>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1" w:type="pct"/>
            <w:vMerge w:val="restart"/>
            <w:vAlign w:val="center"/>
          </w:tcPr>
          <w:p>
            <w:pPr>
              <w:adjustRightInd w:val="0"/>
              <w:spacing w:line="240" w:lineRule="auto"/>
              <w:ind w:firstLine="0" w:firstLineChars="0"/>
              <w:jc w:val="center"/>
              <w:rPr>
                <w:rFonts w:ascii="仿宋_GB2312" w:hAnsi="宋体"/>
                <w:color w:val="000000" w:themeColor="text1"/>
                <w:sz w:val="24"/>
                <w14:textFill>
                  <w14:solidFill>
                    <w14:schemeClr w14:val="tx1"/>
                  </w14:solidFill>
                </w14:textFill>
              </w:rPr>
            </w:pPr>
            <w:r>
              <w:rPr>
                <w:rFonts w:ascii="仿宋_GB2312" w:hAnsi="宋体"/>
                <w:color w:val="000000" w:themeColor="text1"/>
                <w:sz w:val="24"/>
                <w14:textFill>
                  <w14:solidFill>
                    <w14:schemeClr w14:val="tx1"/>
                  </w14:solidFill>
                </w14:textFill>
              </w:rPr>
              <w:t>6</w:t>
            </w:r>
          </w:p>
        </w:tc>
        <w:tc>
          <w:tcPr>
            <w:tcW w:w="295" w:type="pct"/>
            <w:vMerge w:val="restart"/>
            <w:vAlign w:val="center"/>
          </w:tcPr>
          <w:p>
            <w:pPr>
              <w:kinsoku w:val="0"/>
              <w:overflowPunct w:val="0"/>
              <w:autoSpaceDE w:val="0"/>
              <w:autoSpaceDN w:val="0"/>
              <w:adjustRightInd w:val="0"/>
              <w:spacing w:line="360" w:lineRule="exact"/>
              <w:ind w:firstLine="0" w:firstLineChars="0"/>
              <w:jc w:val="center"/>
              <w:rPr>
                <w:rFonts w:ascii="仿宋_GB2312" w:hAnsi="宋体"/>
                <w:snapToGrid w:val="0"/>
                <w:kern w:val="0"/>
                <w:sz w:val="24"/>
              </w:rPr>
            </w:pPr>
            <w:r>
              <w:rPr>
                <w:rFonts w:ascii="仿宋_GB2312" w:hAnsi="宋体"/>
                <w:snapToGrid w:val="0"/>
                <w:kern w:val="0"/>
                <w:sz w:val="24"/>
              </w:rPr>
              <w:t>光</w:t>
            </w:r>
          </w:p>
          <w:p>
            <w:pPr>
              <w:kinsoku w:val="0"/>
              <w:overflowPunct w:val="0"/>
              <w:autoSpaceDE w:val="0"/>
              <w:autoSpaceDN w:val="0"/>
              <w:adjustRightInd w:val="0"/>
              <w:spacing w:line="360" w:lineRule="exact"/>
              <w:ind w:firstLine="0" w:firstLineChars="0"/>
              <w:jc w:val="center"/>
              <w:rPr>
                <w:rFonts w:ascii="仿宋_GB2312" w:hAnsi="宋体"/>
                <w:snapToGrid w:val="0"/>
                <w:kern w:val="0"/>
                <w:sz w:val="24"/>
              </w:rPr>
            </w:pPr>
            <w:r>
              <w:rPr>
                <w:rFonts w:ascii="仿宋_GB2312" w:hAnsi="宋体"/>
                <w:snapToGrid w:val="0"/>
                <w:kern w:val="0"/>
                <w:sz w:val="24"/>
              </w:rPr>
              <w:t>电</w:t>
            </w:r>
          </w:p>
          <w:p>
            <w:pPr>
              <w:kinsoku w:val="0"/>
              <w:overflowPunct w:val="0"/>
              <w:autoSpaceDE w:val="0"/>
              <w:autoSpaceDN w:val="0"/>
              <w:adjustRightInd w:val="0"/>
              <w:spacing w:line="360" w:lineRule="exact"/>
              <w:ind w:firstLine="0" w:firstLineChars="0"/>
              <w:jc w:val="center"/>
              <w:rPr>
                <w:rFonts w:ascii="仿宋_GB2312" w:hAnsi="宋体"/>
                <w:snapToGrid w:val="0"/>
                <w:kern w:val="0"/>
                <w:sz w:val="24"/>
              </w:rPr>
            </w:pPr>
            <w:r>
              <w:rPr>
                <w:rFonts w:ascii="仿宋_GB2312" w:hAnsi="宋体"/>
                <w:snapToGrid w:val="0"/>
                <w:kern w:val="0"/>
                <w:sz w:val="24"/>
              </w:rPr>
              <w:t>特</w:t>
            </w:r>
          </w:p>
          <w:p>
            <w:pPr>
              <w:kinsoku w:val="0"/>
              <w:overflowPunct w:val="0"/>
              <w:autoSpaceDE w:val="0"/>
              <w:autoSpaceDN w:val="0"/>
              <w:adjustRightInd w:val="0"/>
              <w:spacing w:line="360" w:lineRule="exact"/>
              <w:ind w:firstLine="0" w:firstLineChars="0"/>
              <w:jc w:val="center"/>
              <w:rPr>
                <w:rFonts w:ascii="仿宋_GB2312" w:hAnsi="宋体"/>
                <w:snapToGrid w:val="0"/>
                <w:kern w:val="0"/>
                <w:sz w:val="24"/>
              </w:rPr>
            </w:pPr>
            <w:r>
              <w:rPr>
                <w:rFonts w:ascii="仿宋_GB2312" w:hAnsi="宋体"/>
                <w:snapToGrid w:val="0"/>
                <w:kern w:val="0"/>
                <w:sz w:val="24"/>
              </w:rPr>
              <w:t>性</w:t>
            </w:r>
          </w:p>
        </w:tc>
        <w:tc>
          <w:tcPr>
            <w:tcW w:w="1506" w:type="pct"/>
            <w:gridSpan w:val="2"/>
            <w:vAlign w:val="center"/>
          </w:tcPr>
          <w:p>
            <w:pPr>
              <w:kinsoku w:val="0"/>
              <w:overflowPunct w:val="0"/>
              <w:autoSpaceDE w:val="0"/>
              <w:autoSpaceDN w:val="0"/>
              <w:adjustRightInd w:val="0"/>
              <w:spacing w:line="360" w:lineRule="exact"/>
              <w:ind w:firstLine="0" w:firstLineChars="0"/>
              <w:jc w:val="center"/>
              <w:rPr>
                <w:rFonts w:ascii="仿宋_GB2312" w:hAnsi="宋体"/>
                <w:snapToGrid w:val="0"/>
                <w:kern w:val="0"/>
                <w:sz w:val="24"/>
              </w:rPr>
            </w:pPr>
            <w:r>
              <w:rPr>
                <w:rFonts w:hint="eastAsia" w:ascii="仿宋_GB2312" w:hAnsi="宋体"/>
                <w:snapToGrid w:val="0"/>
                <w:kern w:val="0"/>
                <w:sz w:val="24"/>
              </w:rPr>
              <w:t>遮光性</w:t>
            </w:r>
          </w:p>
        </w:tc>
        <w:tc>
          <w:tcPr>
            <w:tcW w:w="1269" w:type="pct"/>
            <w:vMerge w:val="restart"/>
            <w:vAlign w:val="center"/>
          </w:tcPr>
          <w:p>
            <w:pPr>
              <w:adjustRightInd w:val="0"/>
              <w:spacing w:line="360" w:lineRule="exact"/>
              <w:ind w:firstLine="0" w:firstLineChars="0"/>
              <w:jc w:val="center"/>
              <w:rPr>
                <w:rFonts w:ascii="仿宋_GB2312" w:hAnsi="宋体"/>
                <w:snapToGrid w:val="0"/>
                <w:kern w:val="0"/>
                <w:sz w:val="24"/>
              </w:rPr>
            </w:pPr>
            <w:bookmarkStart w:id="0" w:name="_Hlk69731341"/>
            <w:r>
              <w:rPr>
                <w:rFonts w:hint="eastAsia" w:ascii="仿宋_GB2312" w:hAnsi="宋体"/>
                <w:snapToGrid w:val="0"/>
                <w:kern w:val="0"/>
                <w:sz w:val="24"/>
              </w:rPr>
              <w:t>GB/T 9473-2017</w:t>
            </w:r>
            <w:bookmarkEnd w:id="0"/>
          </w:p>
        </w:tc>
        <w:tc>
          <w:tcPr>
            <w:tcW w:w="1529" w:type="pct"/>
            <w:vMerge w:val="restart"/>
            <w:vAlign w:val="center"/>
          </w:tcPr>
          <w:p>
            <w:pPr>
              <w:adjustRightInd w:val="0"/>
              <w:spacing w:line="360" w:lineRule="exact"/>
              <w:ind w:firstLine="0" w:firstLineChars="0"/>
              <w:jc w:val="center"/>
              <w:rPr>
                <w:rFonts w:ascii="仿宋_GB2312" w:hAnsi="宋体"/>
                <w:snapToGrid w:val="0"/>
                <w:kern w:val="0"/>
                <w:sz w:val="24"/>
              </w:rPr>
            </w:pPr>
            <w:r>
              <w:rPr>
                <w:rFonts w:hint="eastAsia" w:ascii="仿宋_GB2312" w:hAnsi="宋体"/>
                <w:snapToGrid w:val="0"/>
                <w:kern w:val="0"/>
                <w:sz w:val="24"/>
              </w:rPr>
              <w:t>GB/T 9473-2017</w:t>
            </w:r>
          </w:p>
          <w:p>
            <w:pPr>
              <w:adjustRightInd w:val="0"/>
              <w:spacing w:line="360" w:lineRule="exact"/>
              <w:ind w:firstLine="0" w:firstLineChars="0"/>
              <w:jc w:val="center"/>
              <w:rPr>
                <w:rFonts w:ascii="仿宋_GB2312" w:hAnsi="宋体"/>
                <w:sz w:val="24"/>
              </w:rPr>
            </w:pPr>
            <w:r>
              <w:rPr>
                <w:rFonts w:hint="eastAsia" w:ascii="仿宋_GB2312" w:hAnsi="宋体"/>
                <w:sz w:val="24"/>
              </w:rPr>
              <w:t>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1" w:type="pct"/>
            <w:vMerge w:val="continue"/>
            <w:vAlign w:val="center"/>
          </w:tcPr>
          <w:p>
            <w:pPr>
              <w:adjustRightInd w:val="0"/>
              <w:spacing w:line="240" w:lineRule="auto"/>
              <w:ind w:firstLine="0" w:firstLineChars="0"/>
              <w:jc w:val="center"/>
              <w:rPr>
                <w:rFonts w:ascii="仿宋_GB2312" w:hAnsi="宋体"/>
                <w:color w:val="000000" w:themeColor="text1"/>
                <w:sz w:val="24"/>
                <w14:textFill>
                  <w14:solidFill>
                    <w14:schemeClr w14:val="tx1"/>
                  </w14:solidFill>
                </w14:textFill>
              </w:rPr>
            </w:pPr>
          </w:p>
        </w:tc>
        <w:tc>
          <w:tcPr>
            <w:tcW w:w="295" w:type="pct"/>
            <w:vMerge w:val="continue"/>
            <w:vAlign w:val="center"/>
          </w:tcPr>
          <w:p>
            <w:pPr>
              <w:kinsoku w:val="0"/>
              <w:overflowPunct w:val="0"/>
              <w:autoSpaceDE w:val="0"/>
              <w:autoSpaceDN w:val="0"/>
              <w:adjustRightInd w:val="0"/>
              <w:spacing w:line="360" w:lineRule="exact"/>
              <w:ind w:firstLine="0" w:firstLineChars="0"/>
              <w:jc w:val="center"/>
              <w:rPr>
                <w:rFonts w:ascii="仿宋_GB2312" w:hAnsi="宋体"/>
                <w:snapToGrid w:val="0"/>
                <w:kern w:val="0"/>
                <w:sz w:val="24"/>
              </w:rPr>
            </w:pPr>
            <w:bookmarkStart w:id="1" w:name="_Hlk69731172"/>
          </w:p>
        </w:tc>
        <w:tc>
          <w:tcPr>
            <w:tcW w:w="1506" w:type="pct"/>
            <w:gridSpan w:val="2"/>
            <w:vAlign w:val="center"/>
          </w:tcPr>
          <w:p>
            <w:pPr>
              <w:kinsoku w:val="0"/>
              <w:overflowPunct w:val="0"/>
              <w:autoSpaceDE w:val="0"/>
              <w:autoSpaceDN w:val="0"/>
              <w:adjustRightInd w:val="0"/>
              <w:spacing w:line="360" w:lineRule="exact"/>
              <w:ind w:firstLine="0" w:firstLineChars="0"/>
              <w:jc w:val="center"/>
              <w:rPr>
                <w:rFonts w:ascii="仿宋_GB2312" w:hAnsi="宋体"/>
                <w:snapToGrid w:val="0"/>
                <w:kern w:val="0"/>
                <w:sz w:val="24"/>
              </w:rPr>
            </w:pPr>
            <w:r>
              <w:rPr>
                <w:rFonts w:hint="eastAsia" w:ascii="仿宋_GB2312" w:hAnsi="宋体"/>
                <w:snapToGrid w:val="0"/>
                <w:kern w:val="0"/>
                <w:sz w:val="24"/>
              </w:rPr>
              <w:t>桌面照度及照度均匀度</w:t>
            </w:r>
            <w:bookmarkEnd w:id="1"/>
          </w:p>
        </w:tc>
        <w:tc>
          <w:tcPr>
            <w:tcW w:w="1269" w:type="pct"/>
            <w:vMerge w:val="continue"/>
            <w:vAlign w:val="center"/>
          </w:tcPr>
          <w:p>
            <w:pPr>
              <w:adjustRightInd w:val="0"/>
              <w:spacing w:line="360" w:lineRule="exact"/>
              <w:ind w:firstLine="480"/>
              <w:jc w:val="center"/>
              <w:rPr>
                <w:rFonts w:ascii="仿宋_GB2312" w:hAnsi="宋体"/>
                <w:snapToGrid w:val="0"/>
                <w:kern w:val="0"/>
                <w:sz w:val="24"/>
              </w:rPr>
            </w:pPr>
          </w:p>
        </w:tc>
        <w:tc>
          <w:tcPr>
            <w:tcW w:w="1529" w:type="pct"/>
            <w:vMerge w:val="continue"/>
            <w:vAlign w:val="center"/>
          </w:tcPr>
          <w:p>
            <w:pPr>
              <w:adjustRightInd w:val="0"/>
              <w:spacing w:line="360" w:lineRule="exact"/>
              <w:ind w:firstLine="0" w:firstLineChars="0"/>
              <w:jc w:val="center"/>
              <w:rPr>
                <w:rFonts w:ascii="仿宋_GB2312" w:hAnsi="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1" w:type="pct"/>
            <w:vMerge w:val="continue"/>
            <w:vAlign w:val="center"/>
          </w:tcPr>
          <w:p>
            <w:pPr>
              <w:adjustRightInd w:val="0"/>
              <w:spacing w:line="240" w:lineRule="auto"/>
              <w:ind w:firstLine="0" w:firstLineChars="0"/>
              <w:jc w:val="center"/>
              <w:rPr>
                <w:rFonts w:ascii="仿宋_GB2312" w:hAnsi="宋体"/>
                <w:color w:val="000000" w:themeColor="text1"/>
                <w:sz w:val="24"/>
                <w14:textFill>
                  <w14:solidFill>
                    <w14:schemeClr w14:val="tx1"/>
                  </w14:solidFill>
                </w14:textFill>
              </w:rPr>
            </w:pPr>
          </w:p>
        </w:tc>
        <w:tc>
          <w:tcPr>
            <w:tcW w:w="295" w:type="pct"/>
            <w:vMerge w:val="continue"/>
            <w:vAlign w:val="center"/>
          </w:tcPr>
          <w:p>
            <w:pPr>
              <w:kinsoku w:val="0"/>
              <w:overflowPunct w:val="0"/>
              <w:autoSpaceDE w:val="0"/>
              <w:autoSpaceDN w:val="0"/>
              <w:adjustRightInd w:val="0"/>
              <w:spacing w:line="360" w:lineRule="exact"/>
              <w:ind w:firstLine="0" w:firstLineChars="0"/>
              <w:jc w:val="center"/>
              <w:rPr>
                <w:rFonts w:ascii="仿宋_GB2312" w:hAnsi="宋体"/>
                <w:snapToGrid w:val="0"/>
                <w:kern w:val="0"/>
                <w:sz w:val="24"/>
              </w:rPr>
            </w:pPr>
          </w:p>
        </w:tc>
        <w:tc>
          <w:tcPr>
            <w:tcW w:w="1506" w:type="pct"/>
            <w:gridSpan w:val="2"/>
            <w:vAlign w:val="center"/>
          </w:tcPr>
          <w:p>
            <w:pPr>
              <w:kinsoku w:val="0"/>
              <w:overflowPunct w:val="0"/>
              <w:autoSpaceDE w:val="0"/>
              <w:autoSpaceDN w:val="0"/>
              <w:adjustRightInd w:val="0"/>
              <w:spacing w:line="360" w:lineRule="exact"/>
              <w:ind w:firstLine="0" w:firstLineChars="0"/>
              <w:jc w:val="center"/>
              <w:rPr>
                <w:rFonts w:ascii="仿宋_GB2312" w:hAnsi="宋体"/>
                <w:snapToGrid w:val="0"/>
                <w:kern w:val="0"/>
                <w:sz w:val="24"/>
              </w:rPr>
            </w:pPr>
            <w:r>
              <w:rPr>
                <w:rFonts w:hint="eastAsia" w:ascii="仿宋_GB2312" w:hAnsi="宋体"/>
                <w:snapToGrid w:val="0"/>
                <w:kern w:val="0"/>
                <w:sz w:val="24"/>
              </w:rPr>
              <w:t>输入功率及功率因</w:t>
            </w:r>
            <w:r>
              <w:rPr>
                <w:rFonts w:ascii="仿宋_GB2312" w:hAnsi="宋体"/>
                <w:snapToGrid w:val="0"/>
                <w:kern w:val="0"/>
                <w:sz w:val="24"/>
              </w:rPr>
              <w:t>数</w:t>
            </w:r>
          </w:p>
        </w:tc>
        <w:tc>
          <w:tcPr>
            <w:tcW w:w="1269" w:type="pct"/>
            <w:vMerge w:val="continue"/>
            <w:vAlign w:val="center"/>
          </w:tcPr>
          <w:p>
            <w:pPr>
              <w:adjustRightInd w:val="0"/>
              <w:spacing w:line="360" w:lineRule="exact"/>
              <w:ind w:firstLine="480"/>
              <w:jc w:val="center"/>
              <w:rPr>
                <w:rFonts w:ascii="仿宋_GB2312" w:hAnsi="宋体"/>
                <w:sz w:val="24"/>
              </w:rPr>
            </w:pPr>
          </w:p>
        </w:tc>
        <w:tc>
          <w:tcPr>
            <w:tcW w:w="1529" w:type="pct"/>
            <w:vAlign w:val="center"/>
          </w:tcPr>
          <w:p>
            <w:pPr>
              <w:adjustRightInd w:val="0"/>
              <w:spacing w:line="360" w:lineRule="exact"/>
              <w:ind w:firstLine="0" w:firstLineChars="0"/>
              <w:jc w:val="center"/>
              <w:rPr>
                <w:rFonts w:ascii="仿宋_GB2312" w:hAnsi="宋体"/>
                <w:snapToGrid w:val="0"/>
                <w:kern w:val="0"/>
                <w:sz w:val="24"/>
              </w:rPr>
            </w:pPr>
            <w:r>
              <w:rPr>
                <w:rFonts w:hint="eastAsia" w:ascii="仿宋_GB2312" w:hAnsi="宋体"/>
                <w:snapToGrid w:val="0"/>
                <w:kern w:val="0"/>
                <w:sz w:val="24"/>
              </w:rPr>
              <w:t>GB/T 9473-2017</w:t>
            </w:r>
          </w:p>
          <w:p>
            <w:pPr>
              <w:adjustRightInd w:val="0"/>
              <w:spacing w:line="360" w:lineRule="exact"/>
              <w:ind w:firstLine="0" w:firstLineChars="0"/>
              <w:jc w:val="center"/>
              <w:rPr>
                <w:rFonts w:ascii="仿宋_GB2312" w:hAnsi="宋体"/>
                <w:snapToGrid w:val="0"/>
                <w:kern w:val="0"/>
                <w:sz w:val="24"/>
              </w:rPr>
            </w:pPr>
            <w:r>
              <w:rPr>
                <w:rFonts w:hint="eastAsia" w:ascii="仿宋_GB2312" w:hAnsi="宋体"/>
                <w:sz w:val="24"/>
              </w:rPr>
              <w:t>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1" w:type="pct"/>
            <w:vMerge w:val="continue"/>
            <w:vAlign w:val="center"/>
          </w:tcPr>
          <w:p>
            <w:pPr>
              <w:adjustRightInd w:val="0"/>
              <w:spacing w:line="240" w:lineRule="auto"/>
              <w:ind w:firstLine="0" w:firstLineChars="0"/>
              <w:jc w:val="center"/>
              <w:rPr>
                <w:rFonts w:ascii="仿宋_GB2312" w:hAnsi="宋体"/>
                <w:color w:val="000000" w:themeColor="text1"/>
                <w:sz w:val="24"/>
                <w14:textFill>
                  <w14:solidFill>
                    <w14:schemeClr w14:val="tx1"/>
                  </w14:solidFill>
                </w14:textFill>
              </w:rPr>
            </w:pPr>
          </w:p>
        </w:tc>
        <w:tc>
          <w:tcPr>
            <w:tcW w:w="295" w:type="pct"/>
            <w:vMerge w:val="continue"/>
            <w:vAlign w:val="center"/>
          </w:tcPr>
          <w:p>
            <w:pPr>
              <w:kinsoku w:val="0"/>
              <w:overflowPunct w:val="0"/>
              <w:autoSpaceDE w:val="0"/>
              <w:autoSpaceDN w:val="0"/>
              <w:adjustRightInd w:val="0"/>
              <w:spacing w:line="360" w:lineRule="exact"/>
              <w:ind w:firstLine="0" w:firstLineChars="0"/>
              <w:jc w:val="center"/>
              <w:rPr>
                <w:rFonts w:ascii="仿宋_GB2312" w:hAnsi="宋体"/>
                <w:snapToGrid w:val="0"/>
                <w:kern w:val="0"/>
                <w:sz w:val="24"/>
              </w:rPr>
            </w:pPr>
          </w:p>
        </w:tc>
        <w:tc>
          <w:tcPr>
            <w:tcW w:w="1506" w:type="pct"/>
            <w:gridSpan w:val="2"/>
            <w:vAlign w:val="center"/>
          </w:tcPr>
          <w:p>
            <w:pPr>
              <w:kinsoku w:val="0"/>
              <w:overflowPunct w:val="0"/>
              <w:autoSpaceDE w:val="0"/>
              <w:autoSpaceDN w:val="0"/>
              <w:adjustRightInd w:val="0"/>
              <w:spacing w:line="360" w:lineRule="exact"/>
              <w:ind w:firstLine="0" w:firstLineChars="0"/>
              <w:jc w:val="center"/>
              <w:rPr>
                <w:rFonts w:ascii="仿宋_GB2312" w:hAnsi="宋体"/>
                <w:snapToGrid w:val="0"/>
                <w:kern w:val="0"/>
                <w:sz w:val="24"/>
              </w:rPr>
            </w:pPr>
            <w:r>
              <w:rPr>
                <w:rFonts w:hint="eastAsia" w:ascii="仿宋_GB2312" w:hAnsi="宋体"/>
                <w:sz w:val="24"/>
              </w:rPr>
              <w:t>色温和显色指数</w:t>
            </w:r>
          </w:p>
        </w:tc>
        <w:tc>
          <w:tcPr>
            <w:tcW w:w="1269" w:type="pct"/>
            <w:vMerge w:val="continue"/>
            <w:vAlign w:val="center"/>
          </w:tcPr>
          <w:p>
            <w:pPr>
              <w:adjustRightInd w:val="0"/>
              <w:spacing w:line="360" w:lineRule="exact"/>
              <w:ind w:firstLine="480"/>
              <w:jc w:val="center"/>
              <w:rPr>
                <w:rFonts w:ascii="仿宋_GB2312" w:hAnsi="宋体"/>
                <w:sz w:val="24"/>
              </w:rPr>
            </w:pPr>
          </w:p>
        </w:tc>
        <w:tc>
          <w:tcPr>
            <w:tcW w:w="1529" w:type="pct"/>
            <w:vAlign w:val="center"/>
          </w:tcPr>
          <w:p>
            <w:pPr>
              <w:adjustRightInd w:val="0"/>
              <w:spacing w:line="360" w:lineRule="exact"/>
              <w:ind w:firstLine="0" w:firstLineChars="0"/>
              <w:jc w:val="center"/>
              <w:rPr>
                <w:rFonts w:ascii="仿宋_GB2312" w:hAnsi="宋体"/>
                <w:snapToGrid w:val="0"/>
                <w:kern w:val="0"/>
                <w:sz w:val="24"/>
              </w:rPr>
            </w:pPr>
            <w:r>
              <w:rPr>
                <w:rFonts w:ascii="仿宋_GB2312" w:hAnsi="宋体"/>
                <w:snapToGrid w:val="0"/>
                <w:kern w:val="0"/>
                <w:sz w:val="24"/>
              </w:rPr>
              <w:t>GB/T 24823-2017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1" w:type="pct"/>
            <w:vAlign w:val="center"/>
          </w:tcPr>
          <w:p>
            <w:pPr>
              <w:adjustRightInd w:val="0"/>
              <w:spacing w:line="240" w:lineRule="auto"/>
              <w:ind w:firstLine="0" w:firstLineChars="0"/>
              <w:jc w:val="center"/>
              <w:rPr>
                <w:rFonts w:ascii="仿宋_GB2312" w:hAnsi="宋体"/>
                <w:color w:val="000000" w:themeColor="text1"/>
                <w:sz w:val="24"/>
                <w14:textFill>
                  <w14:solidFill>
                    <w14:schemeClr w14:val="tx1"/>
                  </w14:solidFill>
                </w14:textFill>
              </w:rPr>
            </w:pPr>
            <w:r>
              <w:rPr>
                <w:rFonts w:ascii="仿宋_GB2312" w:hAnsi="宋体"/>
                <w:color w:val="000000" w:themeColor="text1"/>
                <w:sz w:val="24"/>
                <w14:textFill>
                  <w14:solidFill>
                    <w14:schemeClr w14:val="tx1"/>
                  </w14:solidFill>
                </w14:textFill>
              </w:rPr>
              <w:t>7</w:t>
            </w:r>
          </w:p>
        </w:tc>
        <w:tc>
          <w:tcPr>
            <w:tcW w:w="1801" w:type="pct"/>
            <w:gridSpan w:val="3"/>
            <w:vAlign w:val="center"/>
          </w:tcPr>
          <w:p>
            <w:pPr>
              <w:adjustRightInd w:val="0"/>
              <w:spacing w:line="360" w:lineRule="exact"/>
              <w:ind w:firstLine="0" w:firstLineChars="0"/>
              <w:jc w:val="center"/>
              <w:rPr>
                <w:rFonts w:ascii="仿宋_GB2312" w:hAnsi="宋体"/>
                <w:sz w:val="24"/>
              </w:rPr>
            </w:pPr>
            <w:r>
              <w:rPr>
                <w:rFonts w:hint="eastAsia" w:ascii="仿宋_GB2312" w:hAnsi="宋体"/>
                <w:sz w:val="24"/>
              </w:rPr>
              <w:t>电源线</w:t>
            </w:r>
          </w:p>
        </w:tc>
        <w:tc>
          <w:tcPr>
            <w:tcW w:w="1269" w:type="pct"/>
            <w:vMerge w:val="continue"/>
            <w:vAlign w:val="center"/>
          </w:tcPr>
          <w:p>
            <w:pPr>
              <w:adjustRightInd w:val="0"/>
              <w:spacing w:line="360" w:lineRule="exact"/>
              <w:ind w:firstLine="0" w:firstLineChars="0"/>
              <w:jc w:val="center"/>
              <w:rPr>
                <w:rFonts w:ascii="仿宋_GB2312" w:hAnsi="宋体"/>
                <w:snapToGrid w:val="0"/>
                <w:w w:val="90"/>
                <w:kern w:val="0"/>
                <w:sz w:val="24"/>
              </w:rPr>
            </w:pPr>
          </w:p>
        </w:tc>
        <w:tc>
          <w:tcPr>
            <w:tcW w:w="1529" w:type="pct"/>
            <w:vAlign w:val="center"/>
          </w:tcPr>
          <w:p>
            <w:pPr>
              <w:adjustRightInd w:val="0"/>
              <w:spacing w:line="360" w:lineRule="exact"/>
              <w:ind w:firstLine="0" w:firstLineChars="0"/>
              <w:jc w:val="center"/>
              <w:rPr>
                <w:rFonts w:ascii="仿宋_GB2312" w:hAnsi="宋体"/>
                <w:snapToGrid w:val="0"/>
                <w:kern w:val="0"/>
                <w:sz w:val="24"/>
              </w:rPr>
            </w:pPr>
            <w:r>
              <w:rPr>
                <w:rFonts w:hint="eastAsia" w:ascii="仿宋_GB2312" w:hAnsi="宋体"/>
                <w:snapToGrid w:val="0"/>
                <w:kern w:val="0"/>
                <w:sz w:val="24"/>
              </w:rPr>
              <w:t>GB/T 9473-2017</w:t>
            </w:r>
          </w:p>
          <w:p>
            <w:pPr>
              <w:adjustRightInd w:val="0"/>
              <w:spacing w:line="360" w:lineRule="exact"/>
              <w:ind w:firstLine="0" w:firstLineChars="0"/>
              <w:jc w:val="center"/>
              <w:rPr>
                <w:rFonts w:ascii="仿宋_GB2312" w:hAnsi="宋体"/>
                <w:snapToGrid w:val="0"/>
                <w:w w:val="90"/>
                <w:kern w:val="0"/>
                <w:sz w:val="24"/>
              </w:rPr>
            </w:pPr>
            <w:r>
              <w:rPr>
                <w:rFonts w:hint="eastAsia" w:ascii="仿宋_GB2312" w:hAnsi="宋体"/>
                <w:sz w:val="24"/>
              </w:rPr>
              <w:t>7.5</w:t>
            </w:r>
          </w:p>
        </w:tc>
      </w:tr>
    </w:tbl>
    <w:p>
      <w:pPr>
        <w:ind w:firstLine="560"/>
        <w:rPr>
          <w:rFonts w:ascii="仿宋_GB2312" w:hAnsi="宋体"/>
          <w:szCs w:val="28"/>
        </w:rPr>
      </w:pPr>
      <w:r>
        <w:rPr>
          <w:rFonts w:hint="eastAsia" w:ascii="仿宋_GB2312" w:hAnsi="宋体"/>
          <w:szCs w:val="28"/>
        </w:rPr>
        <w:t>执行企业标准、团体标准、地方标准的产品，检验项目参照上述内容执行。</w:t>
      </w:r>
    </w:p>
    <w:p>
      <w:pPr>
        <w:pStyle w:val="6"/>
        <w:numPr>
          <w:ilvl w:val="0"/>
          <w:numId w:val="8"/>
        </w:numPr>
        <w:spacing w:before="156"/>
        <w:rPr>
          <w:rFonts w:ascii="仿宋_GB2312" w:hAnsi="宋体"/>
          <w:szCs w:val="28"/>
        </w:rPr>
      </w:pPr>
      <w:r>
        <w:rPr>
          <w:rFonts w:hint="eastAsia" w:ascii="仿宋_GB2312" w:hAnsi="宋体"/>
          <w:szCs w:val="28"/>
        </w:rPr>
        <w:t>判定原则</w:t>
      </w:r>
    </w:p>
    <w:p>
      <w:pPr>
        <w:spacing w:before="156" w:beforeLines="50" w:after="156" w:afterLines="50"/>
        <w:ind w:firstLine="0" w:firstLineChars="0"/>
        <w:jc w:val="both"/>
        <w:rPr>
          <w:rFonts w:ascii="仿宋_GB2312" w:hAnsi="宋体"/>
          <w:color w:val="000000"/>
          <w:szCs w:val="28"/>
        </w:rPr>
      </w:pPr>
      <w:r>
        <w:rPr>
          <w:rFonts w:hint="eastAsia" w:ascii="仿宋_GB2312" w:hAnsi="宋体"/>
          <w:color w:val="000000"/>
          <w:szCs w:val="28"/>
        </w:rPr>
        <w:t>3.1</w:t>
      </w:r>
      <w:r>
        <w:rPr>
          <w:rFonts w:hint="eastAsia" w:ascii="仿宋_GB2312" w:hAnsi="宋体"/>
          <w:bCs/>
          <w:szCs w:val="28"/>
        </w:rPr>
        <w:t>依据标准</w:t>
      </w:r>
    </w:p>
    <w:p>
      <w:pPr>
        <w:ind w:firstLine="560"/>
        <w:rPr>
          <w:rFonts w:ascii="仿宋_GB2312" w:hAnsi="宋体"/>
          <w:szCs w:val="28"/>
        </w:rPr>
      </w:pPr>
      <w:r>
        <w:rPr>
          <w:rFonts w:hint="eastAsia" w:ascii="仿宋_GB2312" w:hAnsi="宋体"/>
          <w:szCs w:val="28"/>
        </w:rPr>
        <w:t>GB 7000.1-2015 《灯具 第1部分：一般要求与试验》</w:t>
      </w:r>
    </w:p>
    <w:p>
      <w:pPr>
        <w:ind w:firstLine="560"/>
        <w:rPr>
          <w:rFonts w:ascii="仿宋_GB2312" w:hAnsi="宋体"/>
          <w:szCs w:val="28"/>
        </w:rPr>
      </w:pPr>
      <w:r>
        <w:rPr>
          <w:rFonts w:hint="eastAsia" w:ascii="仿宋_GB2312" w:hAnsi="宋体"/>
          <w:szCs w:val="28"/>
        </w:rPr>
        <w:t>GB 7000.204-2008 《灯具 第2-4部分：特殊要求 可移式通用灯具》</w:t>
      </w:r>
    </w:p>
    <w:p>
      <w:pPr>
        <w:ind w:firstLine="560"/>
        <w:rPr>
          <w:rFonts w:ascii="仿宋_GB2312" w:hAnsi="宋体"/>
          <w:szCs w:val="28"/>
        </w:rPr>
      </w:pPr>
      <w:r>
        <w:rPr>
          <w:rFonts w:hint="eastAsia" w:ascii="仿宋_GB2312" w:hAnsi="宋体"/>
          <w:szCs w:val="28"/>
        </w:rPr>
        <w:t>GB/T 9473-2017《读写作业台灯性能要求》</w:t>
      </w:r>
    </w:p>
    <w:p>
      <w:pPr>
        <w:ind w:firstLine="560"/>
        <w:rPr>
          <w:rFonts w:ascii="仿宋_GB2312" w:hAnsi="宋体"/>
          <w:szCs w:val="28"/>
        </w:rPr>
      </w:pPr>
      <w:r>
        <w:rPr>
          <w:rFonts w:hint="eastAsia" w:ascii="仿宋_GB2312" w:hAnsi="宋体"/>
          <w:szCs w:val="28"/>
        </w:rPr>
        <w:t>GB</w:t>
      </w:r>
      <w:r>
        <w:rPr>
          <w:rFonts w:ascii="仿宋_GB2312" w:hAnsi="宋体"/>
          <w:szCs w:val="28"/>
        </w:rPr>
        <w:t>/</w:t>
      </w:r>
      <w:r>
        <w:rPr>
          <w:rFonts w:hint="eastAsia" w:ascii="仿宋_GB2312" w:hAnsi="宋体"/>
          <w:szCs w:val="28"/>
        </w:rPr>
        <w:t>T 24823-2017《普通照明用LED模块 性能要求》</w:t>
      </w:r>
    </w:p>
    <w:p>
      <w:pPr>
        <w:ind w:firstLine="560"/>
        <w:rPr>
          <w:rFonts w:ascii="仿宋_GB2312" w:hAnsi="宋体"/>
          <w:szCs w:val="28"/>
        </w:rPr>
      </w:pPr>
      <w:r>
        <w:rPr>
          <w:rFonts w:hint="eastAsia" w:ascii="仿宋_GB2312" w:hAnsi="宋体"/>
          <w:szCs w:val="28"/>
        </w:rPr>
        <w:t>GB 17625.1-2012《电磁兼容限值谐波电流发射限值（设备每相输入电流≤16A）》</w:t>
      </w:r>
    </w:p>
    <w:p>
      <w:pPr>
        <w:ind w:firstLine="560"/>
        <w:rPr>
          <w:rFonts w:ascii="仿宋_GB2312" w:hAnsi="宋体"/>
          <w:szCs w:val="28"/>
        </w:rPr>
      </w:pPr>
      <w:r>
        <w:rPr>
          <w:rFonts w:hint="eastAsia" w:ascii="仿宋_GB2312" w:hAnsi="宋体"/>
          <w:szCs w:val="28"/>
        </w:rPr>
        <w:t>现行有效的企业标准及产品明示的质量要求。</w:t>
      </w:r>
    </w:p>
    <w:p>
      <w:pPr>
        <w:spacing w:before="156" w:beforeLines="50" w:after="156" w:afterLines="50"/>
        <w:ind w:firstLine="0" w:firstLineChars="0"/>
        <w:jc w:val="both"/>
        <w:rPr>
          <w:rFonts w:ascii="仿宋_GB2312" w:hAnsi="宋体"/>
          <w:color w:val="000000"/>
          <w:szCs w:val="28"/>
        </w:rPr>
      </w:pPr>
      <w:r>
        <w:rPr>
          <w:rFonts w:hint="eastAsia" w:ascii="仿宋_GB2312" w:hAnsi="宋体"/>
          <w:color w:val="000000"/>
          <w:szCs w:val="28"/>
        </w:rPr>
        <w:t xml:space="preserve">3.2 </w:t>
      </w:r>
      <w:r>
        <w:rPr>
          <w:rFonts w:hint="eastAsia" w:ascii="仿宋_GB2312" w:hAnsi="宋体"/>
          <w:bCs/>
          <w:szCs w:val="28"/>
        </w:rPr>
        <w:t>判定原则</w:t>
      </w:r>
    </w:p>
    <w:p>
      <w:pPr>
        <w:ind w:firstLine="560"/>
        <w:rPr>
          <w:rFonts w:ascii="仿宋_GB2312" w:hAnsi="宋体"/>
          <w:szCs w:val="28"/>
        </w:rPr>
      </w:pPr>
      <w:r>
        <w:rPr>
          <w:rFonts w:hint="eastAsia" w:ascii="仿宋_GB2312" w:hAnsi="宋体"/>
          <w:szCs w:val="28"/>
        </w:rPr>
        <w:t>经检验，检验项目全部合格，判定为被抽查产品</w:t>
      </w:r>
      <w:r>
        <w:rPr>
          <w:rFonts w:hint="eastAsia" w:ascii="宋体" w:hAnsi="宋体"/>
          <w:color w:val="000000"/>
          <w:szCs w:val="21"/>
        </w:rPr>
        <w:t>未发现不</w:t>
      </w:r>
      <w:r>
        <w:rPr>
          <w:rFonts w:hint="eastAsia" w:ascii="仿宋_GB2312" w:hAnsi="宋体"/>
          <w:szCs w:val="28"/>
        </w:rPr>
        <w:t>合格；检验项目中任一项或一项以上不合格，判定为被抽查产品不合格。</w:t>
      </w:r>
    </w:p>
    <w:p>
      <w:pPr>
        <w:ind w:firstLine="560"/>
        <w:rPr>
          <w:rFonts w:ascii="仿宋_GB2312" w:hAnsi="宋体"/>
          <w:szCs w:val="28"/>
        </w:rPr>
      </w:pPr>
      <w:r>
        <w:rPr>
          <w:rFonts w:hint="eastAsia" w:ascii="仿宋_GB2312" w:hAnsi="宋体"/>
          <w:szCs w:val="28"/>
        </w:rPr>
        <w:t>若被检产品明示的质量要求高于本细则中检验项目依据的标准要求时，应按被检产品明示的质量要求判定。</w:t>
      </w:r>
    </w:p>
    <w:p>
      <w:pPr>
        <w:ind w:firstLine="560"/>
        <w:rPr>
          <w:rFonts w:ascii="仿宋_GB2312" w:hAnsi="宋体"/>
          <w:szCs w:val="28"/>
        </w:rPr>
      </w:pPr>
      <w:r>
        <w:rPr>
          <w:rFonts w:hint="eastAsia" w:ascii="仿宋_GB2312" w:hAnsi="宋体"/>
          <w:szCs w:val="28"/>
        </w:rPr>
        <w:t>若被检产品明示的质量要求低于本细则中检验项目依据的强制性标准要求时，应按照强制性标准要求判定。</w:t>
      </w:r>
    </w:p>
    <w:p>
      <w:pPr>
        <w:ind w:firstLine="560"/>
        <w:rPr>
          <w:rFonts w:ascii="仿宋_GB2312" w:hAnsi="宋体"/>
          <w:szCs w:val="28"/>
        </w:rPr>
      </w:pPr>
      <w:r>
        <w:rPr>
          <w:rFonts w:hint="eastAsia" w:ascii="仿宋_GB2312" w:hAnsi="宋体"/>
          <w:szCs w:val="28"/>
        </w:rPr>
        <w:t>若被检产品明示的质量要求低于或包含本细则中检验项目依据的推荐性标准要求时，应以被检产品明示的质量要求判定。</w:t>
      </w:r>
    </w:p>
    <w:p>
      <w:pPr>
        <w:ind w:firstLine="560"/>
        <w:rPr>
          <w:rFonts w:ascii="仿宋_GB2312" w:hAnsi="宋体"/>
          <w:szCs w:val="28"/>
        </w:rPr>
      </w:pPr>
      <w:r>
        <w:rPr>
          <w:rFonts w:hint="eastAsia" w:ascii="仿宋_GB2312" w:hAnsi="宋体"/>
          <w:szCs w:val="28"/>
        </w:rPr>
        <w:t>若被检产品明示的质量要求缺少本细则中检验项目依据的强制性标准要求时，应按照强制性标准要求判定。</w:t>
      </w:r>
    </w:p>
    <w:p>
      <w:pPr>
        <w:ind w:firstLine="560"/>
        <w:rPr>
          <w:rFonts w:ascii="仿宋_GB2312" w:hAnsi="宋体"/>
          <w:szCs w:val="28"/>
        </w:rPr>
      </w:pPr>
      <w:r>
        <w:rPr>
          <w:rFonts w:hint="eastAsia" w:ascii="仿宋_GB2312" w:hAnsi="宋体"/>
          <w:szCs w:val="28"/>
        </w:rPr>
        <w:t>若被检产品明示的质量要求缺少本细则中检验项目依据的推荐性标准要求时，该项目不参与判定。</w:t>
      </w:r>
    </w:p>
    <w:p>
      <w:pPr>
        <w:ind w:firstLine="560"/>
        <w:jc w:val="right"/>
        <w:rPr>
          <w:rFonts w:ascii="仿宋_GB2312" w:hAnsi="宋体"/>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embedRegular r:id="rId1" w:fontKey="{3AE0EF37-84C6-448D-A8A1-34C52851B81F}"/>
  </w:font>
  <w:font w:name="仿宋_GB2312">
    <w:panose1 w:val="02010609030101010101"/>
    <w:charset w:val="86"/>
    <w:family w:val="modern"/>
    <w:pitch w:val="default"/>
    <w:sig w:usb0="00000001" w:usb1="080E0000" w:usb2="00000000" w:usb3="00000000" w:csb0="00040000" w:csb1="00000000"/>
    <w:embedRegular r:id="rId2" w:fontKey="{0F3D22E7-7961-4E88-A330-5DA6E01BCBAC}"/>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仿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1F482A85-6E03-41FB-A872-5B60E743A4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bookmarkStart w:id="2" w:name="_GoBack"/>
    <w:bookmarkEnd w:id="2"/>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1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9F5"/>
    <w:multiLevelType w:val="multilevel"/>
    <w:tmpl w:val="004579F5"/>
    <w:lvl w:ilvl="0" w:tentative="0">
      <w:start w:val="1"/>
      <w:numFmt w:val="decimal"/>
      <w:pStyle w:val="8"/>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CE6E02"/>
    <w:multiLevelType w:val="multilevel"/>
    <w:tmpl w:val="08CE6E02"/>
    <w:lvl w:ilvl="0" w:tentative="0">
      <w:start w:val="1"/>
      <w:numFmt w:val="decimal"/>
      <w:pStyle w:val="6"/>
      <w:lvlText w:val="%1."/>
      <w:lvlJc w:val="right"/>
      <w:pPr>
        <w:ind w:left="987"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
    <w:nsid w:val="142638C2"/>
    <w:multiLevelType w:val="multilevel"/>
    <w:tmpl w:val="142638C2"/>
    <w:lvl w:ilvl="0" w:tentative="0">
      <w:start w:val="1"/>
      <w:numFmt w:val="decimal"/>
      <w:pStyle w:val="16"/>
      <w:lvlText w:val="3.%1"/>
      <w:lvlJc w:val="left"/>
      <w:pPr>
        <w:ind w:left="420" w:hanging="420"/>
      </w:pPr>
      <w:rPr>
        <w:rFonts w:hint="eastAsia"/>
        <w:b/>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14C10C4"/>
    <w:multiLevelType w:val="multilevel"/>
    <w:tmpl w:val="214C10C4"/>
    <w:lvl w:ilvl="0" w:tentative="0">
      <w:start w:val="1"/>
      <w:numFmt w:val="decimal"/>
      <w:pStyle w:val="3"/>
      <w:lvlText w:val="%1."/>
      <w:lvlJc w:val="righ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4">
    <w:nsid w:val="3F486ABC"/>
    <w:multiLevelType w:val="multilevel"/>
    <w:tmpl w:val="3F486ABC"/>
    <w:lvl w:ilvl="0" w:tentative="0">
      <w:start w:val="1"/>
      <w:numFmt w:val="chineseCountingThousand"/>
      <w:pStyle w:val="5"/>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5">
    <w:nsid w:val="51E7557E"/>
    <w:multiLevelType w:val="multilevel"/>
    <w:tmpl w:val="51E7557E"/>
    <w:lvl w:ilvl="0" w:tentative="0">
      <w:start w:val="1"/>
      <w:numFmt w:val="chineseCountingThousand"/>
      <w:pStyle w:val="2"/>
      <w:lvlText w:val="%1、"/>
      <w:lvlJc w:val="left"/>
      <w:pPr>
        <w:ind w:left="6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7F419B5"/>
    <w:multiLevelType w:val="multilevel"/>
    <w:tmpl w:val="77F419B5"/>
    <w:lvl w:ilvl="0" w:tentative="0">
      <w:start w:val="1"/>
      <w:numFmt w:val="decimal"/>
      <w:pStyle w:val="7"/>
      <w:lvlText w:val="%1)"/>
      <w:lvlJc w:val="left"/>
      <w:pPr>
        <w:ind w:left="4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5"/>
  </w:num>
  <w:num w:numId="2">
    <w:abstractNumId w:val="3"/>
  </w:num>
  <w:num w:numId="3">
    <w:abstractNumId w:val="4"/>
  </w:num>
  <w:num w:numId="4">
    <w:abstractNumId w:val="1"/>
  </w:num>
  <w:num w:numId="5">
    <w:abstractNumId w:val="6"/>
  </w:num>
  <w:num w:numId="6">
    <w:abstractNumId w:val="0"/>
  </w:num>
  <w:num w:numId="7">
    <w:abstractNumId w:val="2"/>
  </w:num>
  <w:num w:numId="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EF3"/>
    <w:rsid w:val="00001E18"/>
    <w:rsid w:val="0000367A"/>
    <w:rsid w:val="00006B5E"/>
    <w:rsid w:val="0001004F"/>
    <w:rsid w:val="00010B49"/>
    <w:rsid w:val="00011527"/>
    <w:rsid w:val="00024750"/>
    <w:rsid w:val="000312F9"/>
    <w:rsid w:val="00036C94"/>
    <w:rsid w:val="00040B94"/>
    <w:rsid w:val="0004543F"/>
    <w:rsid w:val="00055976"/>
    <w:rsid w:val="000641DF"/>
    <w:rsid w:val="00067750"/>
    <w:rsid w:val="000941F0"/>
    <w:rsid w:val="00094243"/>
    <w:rsid w:val="000B57A0"/>
    <w:rsid w:val="000C7119"/>
    <w:rsid w:val="000D2411"/>
    <w:rsid w:val="000E5EAE"/>
    <w:rsid w:val="00120F83"/>
    <w:rsid w:val="00125D8F"/>
    <w:rsid w:val="001418B2"/>
    <w:rsid w:val="0015640F"/>
    <w:rsid w:val="00157EC2"/>
    <w:rsid w:val="00165865"/>
    <w:rsid w:val="00165B76"/>
    <w:rsid w:val="00165E20"/>
    <w:rsid w:val="001665A6"/>
    <w:rsid w:val="00173341"/>
    <w:rsid w:val="0018224B"/>
    <w:rsid w:val="00184B79"/>
    <w:rsid w:val="001A01BB"/>
    <w:rsid w:val="001A22E0"/>
    <w:rsid w:val="001A5AC2"/>
    <w:rsid w:val="001C3554"/>
    <w:rsid w:val="001C67BC"/>
    <w:rsid w:val="001D0221"/>
    <w:rsid w:val="001D0D94"/>
    <w:rsid w:val="001D764B"/>
    <w:rsid w:val="001E6F19"/>
    <w:rsid w:val="001F287E"/>
    <w:rsid w:val="00220A1A"/>
    <w:rsid w:val="00230AB6"/>
    <w:rsid w:val="002325A5"/>
    <w:rsid w:val="00243777"/>
    <w:rsid w:val="002441BE"/>
    <w:rsid w:val="00245E79"/>
    <w:rsid w:val="002504B6"/>
    <w:rsid w:val="002536A1"/>
    <w:rsid w:val="002546E3"/>
    <w:rsid w:val="00266F1C"/>
    <w:rsid w:val="002863E4"/>
    <w:rsid w:val="002875E2"/>
    <w:rsid w:val="002A2C9A"/>
    <w:rsid w:val="002A4742"/>
    <w:rsid w:val="002A4DD0"/>
    <w:rsid w:val="002B6A99"/>
    <w:rsid w:val="002C13A4"/>
    <w:rsid w:val="002C19EB"/>
    <w:rsid w:val="002C2BD6"/>
    <w:rsid w:val="002D3E1A"/>
    <w:rsid w:val="002D6D11"/>
    <w:rsid w:val="002D7E2A"/>
    <w:rsid w:val="002F0189"/>
    <w:rsid w:val="00305DD5"/>
    <w:rsid w:val="00332E76"/>
    <w:rsid w:val="0034144A"/>
    <w:rsid w:val="003422B4"/>
    <w:rsid w:val="0036575F"/>
    <w:rsid w:val="00372D39"/>
    <w:rsid w:val="003811A7"/>
    <w:rsid w:val="00387DF7"/>
    <w:rsid w:val="00391CAA"/>
    <w:rsid w:val="003930DD"/>
    <w:rsid w:val="00394480"/>
    <w:rsid w:val="003A51B3"/>
    <w:rsid w:val="003A5E93"/>
    <w:rsid w:val="003A77A8"/>
    <w:rsid w:val="003C318B"/>
    <w:rsid w:val="003D5DD3"/>
    <w:rsid w:val="003F3046"/>
    <w:rsid w:val="0040588D"/>
    <w:rsid w:val="00406972"/>
    <w:rsid w:val="00410508"/>
    <w:rsid w:val="00421405"/>
    <w:rsid w:val="00425392"/>
    <w:rsid w:val="00426032"/>
    <w:rsid w:val="00430725"/>
    <w:rsid w:val="00431E1B"/>
    <w:rsid w:val="004342AB"/>
    <w:rsid w:val="00434B51"/>
    <w:rsid w:val="00446D79"/>
    <w:rsid w:val="00451CA3"/>
    <w:rsid w:val="0045399D"/>
    <w:rsid w:val="00456774"/>
    <w:rsid w:val="00456D2A"/>
    <w:rsid w:val="00460C2E"/>
    <w:rsid w:val="004746E4"/>
    <w:rsid w:val="00476885"/>
    <w:rsid w:val="0047714D"/>
    <w:rsid w:val="004A47A4"/>
    <w:rsid w:val="004A4967"/>
    <w:rsid w:val="004B1635"/>
    <w:rsid w:val="004B4A00"/>
    <w:rsid w:val="004B771D"/>
    <w:rsid w:val="004C0AEB"/>
    <w:rsid w:val="004C3B67"/>
    <w:rsid w:val="004D5371"/>
    <w:rsid w:val="004D6510"/>
    <w:rsid w:val="004E3921"/>
    <w:rsid w:val="004E3C56"/>
    <w:rsid w:val="0050726D"/>
    <w:rsid w:val="00514695"/>
    <w:rsid w:val="00520953"/>
    <w:rsid w:val="00530848"/>
    <w:rsid w:val="0053247B"/>
    <w:rsid w:val="00536E2A"/>
    <w:rsid w:val="00540A18"/>
    <w:rsid w:val="00550AE3"/>
    <w:rsid w:val="00552DDA"/>
    <w:rsid w:val="00553199"/>
    <w:rsid w:val="00560CBD"/>
    <w:rsid w:val="00561418"/>
    <w:rsid w:val="00576EC8"/>
    <w:rsid w:val="00584F24"/>
    <w:rsid w:val="00592EAA"/>
    <w:rsid w:val="00593401"/>
    <w:rsid w:val="00594D48"/>
    <w:rsid w:val="005A5B2B"/>
    <w:rsid w:val="005B2C59"/>
    <w:rsid w:val="005B6749"/>
    <w:rsid w:val="005D2F7C"/>
    <w:rsid w:val="005D3E55"/>
    <w:rsid w:val="005E2E7E"/>
    <w:rsid w:val="005E521A"/>
    <w:rsid w:val="005F3F23"/>
    <w:rsid w:val="00603B0D"/>
    <w:rsid w:val="00606620"/>
    <w:rsid w:val="006142E4"/>
    <w:rsid w:val="00625846"/>
    <w:rsid w:val="0063256A"/>
    <w:rsid w:val="00640678"/>
    <w:rsid w:val="0064365D"/>
    <w:rsid w:val="00643A19"/>
    <w:rsid w:val="00644D18"/>
    <w:rsid w:val="00654D7D"/>
    <w:rsid w:val="00655249"/>
    <w:rsid w:val="00680642"/>
    <w:rsid w:val="0068560E"/>
    <w:rsid w:val="006A20E8"/>
    <w:rsid w:val="006A689E"/>
    <w:rsid w:val="006B6258"/>
    <w:rsid w:val="006D1989"/>
    <w:rsid w:val="006D5B4D"/>
    <w:rsid w:val="006E04C9"/>
    <w:rsid w:val="006E199B"/>
    <w:rsid w:val="006E4488"/>
    <w:rsid w:val="006E5AB3"/>
    <w:rsid w:val="007008C4"/>
    <w:rsid w:val="00700EF3"/>
    <w:rsid w:val="00706011"/>
    <w:rsid w:val="007076EC"/>
    <w:rsid w:val="00720A56"/>
    <w:rsid w:val="00731185"/>
    <w:rsid w:val="00732465"/>
    <w:rsid w:val="00736385"/>
    <w:rsid w:val="00746C5C"/>
    <w:rsid w:val="00754DA6"/>
    <w:rsid w:val="007575A9"/>
    <w:rsid w:val="00764778"/>
    <w:rsid w:val="00766730"/>
    <w:rsid w:val="00766B81"/>
    <w:rsid w:val="0077245F"/>
    <w:rsid w:val="0077685B"/>
    <w:rsid w:val="007A6C25"/>
    <w:rsid w:val="007B21D0"/>
    <w:rsid w:val="007B5B1B"/>
    <w:rsid w:val="007C741C"/>
    <w:rsid w:val="007C75DE"/>
    <w:rsid w:val="007E4B1E"/>
    <w:rsid w:val="007E678D"/>
    <w:rsid w:val="00802E16"/>
    <w:rsid w:val="008055EE"/>
    <w:rsid w:val="008219BF"/>
    <w:rsid w:val="00821D5A"/>
    <w:rsid w:val="00826E6A"/>
    <w:rsid w:val="00827D0E"/>
    <w:rsid w:val="008457BE"/>
    <w:rsid w:val="008458EC"/>
    <w:rsid w:val="008510FF"/>
    <w:rsid w:val="008530B3"/>
    <w:rsid w:val="00856F0A"/>
    <w:rsid w:val="0086386C"/>
    <w:rsid w:val="00872CC9"/>
    <w:rsid w:val="008748E6"/>
    <w:rsid w:val="0089064C"/>
    <w:rsid w:val="008A7154"/>
    <w:rsid w:val="008B3D42"/>
    <w:rsid w:val="008B5E78"/>
    <w:rsid w:val="008C38A5"/>
    <w:rsid w:val="008D7BE6"/>
    <w:rsid w:val="008F10D7"/>
    <w:rsid w:val="008F35A7"/>
    <w:rsid w:val="00902FF7"/>
    <w:rsid w:val="00920CA8"/>
    <w:rsid w:val="00922A81"/>
    <w:rsid w:val="009266D7"/>
    <w:rsid w:val="00931642"/>
    <w:rsid w:val="009417CB"/>
    <w:rsid w:val="00952D3A"/>
    <w:rsid w:val="00974B1E"/>
    <w:rsid w:val="00975BEE"/>
    <w:rsid w:val="009805F0"/>
    <w:rsid w:val="00980637"/>
    <w:rsid w:val="009818FE"/>
    <w:rsid w:val="00990057"/>
    <w:rsid w:val="00992B04"/>
    <w:rsid w:val="00994C01"/>
    <w:rsid w:val="00997FCF"/>
    <w:rsid w:val="009B1A56"/>
    <w:rsid w:val="009C0A85"/>
    <w:rsid w:val="009C1317"/>
    <w:rsid w:val="009C5D32"/>
    <w:rsid w:val="009C6143"/>
    <w:rsid w:val="009E1809"/>
    <w:rsid w:val="00A22734"/>
    <w:rsid w:val="00A32095"/>
    <w:rsid w:val="00A33F35"/>
    <w:rsid w:val="00A43D60"/>
    <w:rsid w:val="00A502B8"/>
    <w:rsid w:val="00A623A5"/>
    <w:rsid w:val="00A72614"/>
    <w:rsid w:val="00A7290B"/>
    <w:rsid w:val="00A8328E"/>
    <w:rsid w:val="00AA5DC1"/>
    <w:rsid w:val="00AD7597"/>
    <w:rsid w:val="00AE37FF"/>
    <w:rsid w:val="00AE7735"/>
    <w:rsid w:val="00AF3B09"/>
    <w:rsid w:val="00B01EC8"/>
    <w:rsid w:val="00B11D25"/>
    <w:rsid w:val="00B23E27"/>
    <w:rsid w:val="00B2668A"/>
    <w:rsid w:val="00B35300"/>
    <w:rsid w:val="00B35FAA"/>
    <w:rsid w:val="00B46BDC"/>
    <w:rsid w:val="00B505A1"/>
    <w:rsid w:val="00B51E3D"/>
    <w:rsid w:val="00B53360"/>
    <w:rsid w:val="00B536AA"/>
    <w:rsid w:val="00B54C0F"/>
    <w:rsid w:val="00B56622"/>
    <w:rsid w:val="00B61866"/>
    <w:rsid w:val="00B6393D"/>
    <w:rsid w:val="00B679D5"/>
    <w:rsid w:val="00B73133"/>
    <w:rsid w:val="00B76791"/>
    <w:rsid w:val="00B77BD2"/>
    <w:rsid w:val="00BA3E5B"/>
    <w:rsid w:val="00BB2FC7"/>
    <w:rsid w:val="00BB3BEB"/>
    <w:rsid w:val="00BC2DED"/>
    <w:rsid w:val="00BC47E1"/>
    <w:rsid w:val="00BD3CBE"/>
    <w:rsid w:val="00BD4079"/>
    <w:rsid w:val="00BF0529"/>
    <w:rsid w:val="00BF4B50"/>
    <w:rsid w:val="00C126E9"/>
    <w:rsid w:val="00C144EC"/>
    <w:rsid w:val="00C15B5A"/>
    <w:rsid w:val="00C27C2C"/>
    <w:rsid w:val="00C50493"/>
    <w:rsid w:val="00C51998"/>
    <w:rsid w:val="00C55AFC"/>
    <w:rsid w:val="00C62B0A"/>
    <w:rsid w:val="00C9379D"/>
    <w:rsid w:val="00CA04EE"/>
    <w:rsid w:val="00CA221B"/>
    <w:rsid w:val="00CA6502"/>
    <w:rsid w:val="00CB317A"/>
    <w:rsid w:val="00CC7FED"/>
    <w:rsid w:val="00CD7F42"/>
    <w:rsid w:val="00D15E07"/>
    <w:rsid w:val="00D24876"/>
    <w:rsid w:val="00D26BC1"/>
    <w:rsid w:val="00D33EE9"/>
    <w:rsid w:val="00D37F68"/>
    <w:rsid w:val="00D4786C"/>
    <w:rsid w:val="00D67A11"/>
    <w:rsid w:val="00D75695"/>
    <w:rsid w:val="00D801EF"/>
    <w:rsid w:val="00D814E7"/>
    <w:rsid w:val="00D85B1B"/>
    <w:rsid w:val="00D9270C"/>
    <w:rsid w:val="00D96118"/>
    <w:rsid w:val="00D966E2"/>
    <w:rsid w:val="00DA0140"/>
    <w:rsid w:val="00DA2A08"/>
    <w:rsid w:val="00DB3946"/>
    <w:rsid w:val="00DC55FE"/>
    <w:rsid w:val="00DE3973"/>
    <w:rsid w:val="00DE41DB"/>
    <w:rsid w:val="00DE5B19"/>
    <w:rsid w:val="00DF0177"/>
    <w:rsid w:val="00DF745B"/>
    <w:rsid w:val="00E03BCB"/>
    <w:rsid w:val="00E279B7"/>
    <w:rsid w:val="00E27E12"/>
    <w:rsid w:val="00E3386C"/>
    <w:rsid w:val="00E34E47"/>
    <w:rsid w:val="00E4408D"/>
    <w:rsid w:val="00E44A1E"/>
    <w:rsid w:val="00E5285B"/>
    <w:rsid w:val="00E631C9"/>
    <w:rsid w:val="00E65C11"/>
    <w:rsid w:val="00E67675"/>
    <w:rsid w:val="00E82B70"/>
    <w:rsid w:val="00EA6E6A"/>
    <w:rsid w:val="00EC285C"/>
    <w:rsid w:val="00ED4995"/>
    <w:rsid w:val="00EE1BF0"/>
    <w:rsid w:val="00EE3EE5"/>
    <w:rsid w:val="00F21E99"/>
    <w:rsid w:val="00F255E2"/>
    <w:rsid w:val="00F308D7"/>
    <w:rsid w:val="00F340BE"/>
    <w:rsid w:val="00F41F3F"/>
    <w:rsid w:val="00F61407"/>
    <w:rsid w:val="00F64171"/>
    <w:rsid w:val="00F67755"/>
    <w:rsid w:val="00F81059"/>
    <w:rsid w:val="00F83FBF"/>
    <w:rsid w:val="00F84E60"/>
    <w:rsid w:val="00F862D6"/>
    <w:rsid w:val="00F90B67"/>
    <w:rsid w:val="00FA6F29"/>
    <w:rsid w:val="00FA7AED"/>
    <w:rsid w:val="00FB0AF6"/>
    <w:rsid w:val="00FB6F88"/>
    <w:rsid w:val="00FC1AE1"/>
    <w:rsid w:val="00FC5BF8"/>
    <w:rsid w:val="00FD6BA2"/>
    <w:rsid w:val="5145071B"/>
    <w:rsid w:val="6A8A1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200" w:firstLineChars="200"/>
    </w:pPr>
    <w:rPr>
      <w:rFonts w:ascii="Times New Roman" w:hAnsi="Times New Roman" w:eastAsia="仿宋_GB2312" w:cs="Times New Roman"/>
      <w:kern w:val="2"/>
      <w:sz w:val="28"/>
      <w:szCs w:val="24"/>
      <w:lang w:val="en-US" w:eastAsia="zh-CN" w:bidi="ar-SA"/>
    </w:rPr>
  </w:style>
  <w:style w:type="paragraph" w:styleId="2">
    <w:name w:val="heading 1"/>
    <w:basedOn w:val="1"/>
    <w:next w:val="1"/>
    <w:link w:val="25"/>
    <w:qFormat/>
    <w:uiPriority w:val="9"/>
    <w:pPr>
      <w:numPr>
        <w:ilvl w:val="0"/>
        <w:numId w:val="1"/>
      </w:numPr>
      <w:ind w:left="0" w:firstLine="0" w:firstLineChars="0"/>
      <w:outlineLvl w:val="0"/>
    </w:pPr>
    <w:rPr>
      <w:b/>
      <w:bCs/>
      <w:kern w:val="44"/>
      <w:szCs w:val="44"/>
    </w:rPr>
  </w:style>
  <w:style w:type="paragraph" w:styleId="3">
    <w:name w:val="heading 2"/>
    <w:basedOn w:val="1"/>
    <w:next w:val="1"/>
    <w:link w:val="23"/>
    <w:qFormat/>
    <w:uiPriority w:val="0"/>
    <w:pPr>
      <w:numPr>
        <w:ilvl w:val="0"/>
        <w:numId w:val="2"/>
      </w:numPr>
      <w:ind w:left="200" w:leftChars="200" w:hanging="200" w:hangingChars="200"/>
      <w:outlineLvl w:val="1"/>
    </w:pPr>
    <w:rPr>
      <w:rFonts w:eastAsia="仿宋"/>
      <w:szCs w:val="20"/>
    </w:rPr>
  </w:style>
  <w:style w:type="paragraph" w:styleId="4">
    <w:name w:val="heading 3"/>
    <w:basedOn w:val="1"/>
    <w:next w:val="1"/>
    <w:link w:val="26"/>
    <w:unhideWhenUsed/>
    <w:qFormat/>
    <w:uiPriority w:val="9"/>
    <w:pPr>
      <w:keepNext/>
      <w:keepLines/>
      <w:spacing w:before="200" w:after="200"/>
      <w:ind w:left="620" w:hanging="420"/>
      <w:outlineLvl w:val="2"/>
    </w:pPr>
    <w:rPr>
      <w:b/>
      <w:bCs/>
      <w:szCs w:val="32"/>
    </w:rPr>
  </w:style>
  <w:style w:type="paragraph" w:styleId="5">
    <w:name w:val="heading 4"/>
    <w:basedOn w:val="1"/>
    <w:next w:val="1"/>
    <w:link w:val="31"/>
    <w:unhideWhenUsed/>
    <w:qFormat/>
    <w:uiPriority w:val="9"/>
    <w:pPr>
      <w:numPr>
        <w:ilvl w:val="0"/>
        <w:numId w:val="3"/>
      </w:numPr>
      <w:spacing w:after="156" w:afterLines="50" w:line="240" w:lineRule="auto"/>
      <w:ind w:firstLine="0" w:firstLineChars="0"/>
      <w:jc w:val="both"/>
      <w:outlineLvl w:val="3"/>
    </w:pPr>
    <w:rPr>
      <w:rFonts w:ascii="仿宋_GB2312" w:hAnsiTheme="majorHAnsi" w:cstheme="majorBidi"/>
      <w:b/>
      <w:bCs/>
      <w:color w:val="000000" w:themeColor="text1"/>
      <w:szCs w:val="28"/>
      <w14:textFill>
        <w14:solidFill>
          <w14:schemeClr w14:val="tx1"/>
        </w14:solidFill>
      </w14:textFill>
    </w:rPr>
  </w:style>
  <w:style w:type="paragraph" w:styleId="6">
    <w:name w:val="heading 5"/>
    <w:basedOn w:val="1"/>
    <w:next w:val="1"/>
    <w:link w:val="32"/>
    <w:unhideWhenUsed/>
    <w:qFormat/>
    <w:uiPriority w:val="9"/>
    <w:pPr>
      <w:numPr>
        <w:ilvl w:val="0"/>
        <w:numId w:val="4"/>
      </w:numPr>
      <w:snapToGrid/>
      <w:spacing w:after="156" w:afterLines="50"/>
      <w:ind w:left="620" w:firstLine="0" w:firstLineChars="0"/>
      <w:outlineLvl w:val="4"/>
    </w:pPr>
  </w:style>
  <w:style w:type="paragraph" w:styleId="7">
    <w:name w:val="heading 6"/>
    <w:basedOn w:val="1"/>
    <w:next w:val="1"/>
    <w:link w:val="33"/>
    <w:unhideWhenUsed/>
    <w:qFormat/>
    <w:uiPriority w:val="9"/>
    <w:pPr>
      <w:keepNext/>
      <w:keepLines/>
      <w:numPr>
        <w:ilvl w:val="0"/>
        <w:numId w:val="5"/>
      </w:numPr>
      <w:spacing w:before="156" w:beforeLines="50" w:after="156" w:afterLines="50"/>
      <w:ind w:left="0" w:firstLine="560"/>
      <w:outlineLvl w:val="5"/>
    </w:pPr>
    <w:rPr>
      <w:rFonts w:asciiTheme="majorHAnsi" w:hAnsiTheme="majorHAnsi" w:cstheme="majorBidi"/>
      <w:bCs/>
    </w:rPr>
  </w:style>
  <w:style w:type="paragraph" w:styleId="8">
    <w:name w:val="heading 7"/>
    <w:basedOn w:val="1"/>
    <w:next w:val="1"/>
    <w:link w:val="34"/>
    <w:unhideWhenUsed/>
    <w:qFormat/>
    <w:uiPriority w:val="9"/>
    <w:pPr>
      <w:keepNext/>
      <w:keepLines/>
      <w:numPr>
        <w:ilvl w:val="0"/>
        <w:numId w:val="6"/>
      </w:numPr>
      <w:spacing w:before="50" w:beforeLines="50" w:after="50" w:afterLines="50"/>
      <w:ind w:left="0" w:firstLine="0" w:firstLineChars="0"/>
      <w:outlineLvl w:val="6"/>
    </w:pPr>
    <w:rPr>
      <w:bCs/>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9">
    <w:name w:val="annotation text"/>
    <w:basedOn w:val="1"/>
    <w:link w:val="39"/>
    <w:semiHidden/>
    <w:unhideWhenUsed/>
    <w:uiPriority w:val="99"/>
  </w:style>
  <w:style w:type="paragraph" w:styleId="10">
    <w:name w:val="Body Text Indent"/>
    <w:basedOn w:val="1"/>
    <w:link w:val="30"/>
    <w:uiPriority w:val="0"/>
    <w:pPr>
      <w:ind w:firstLine="480"/>
    </w:pPr>
    <w:rPr>
      <w:rFonts w:ascii="宋体" w:hAnsi="宋体"/>
    </w:rPr>
  </w:style>
  <w:style w:type="paragraph" w:styleId="11">
    <w:name w:val="Plain Text"/>
    <w:basedOn w:val="1"/>
    <w:link w:val="28"/>
    <w:qFormat/>
    <w:uiPriority w:val="99"/>
    <w:rPr>
      <w:rFonts w:ascii="宋体" w:hAnsi="Courier New" w:cs="Courier New"/>
      <w:szCs w:val="21"/>
    </w:rPr>
  </w:style>
  <w:style w:type="paragraph" w:styleId="12">
    <w:name w:val="Balloon Text"/>
    <w:basedOn w:val="1"/>
    <w:link w:val="38"/>
    <w:semiHidden/>
    <w:unhideWhenUsed/>
    <w:uiPriority w:val="99"/>
    <w:pPr>
      <w:spacing w:line="240" w:lineRule="auto"/>
    </w:pPr>
    <w:rPr>
      <w:sz w:val="18"/>
      <w:szCs w:val="18"/>
    </w:rPr>
  </w:style>
  <w:style w:type="paragraph" w:styleId="13">
    <w:name w:val="footer"/>
    <w:basedOn w:val="1"/>
    <w:link w:val="36"/>
    <w:unhideWhenUsed/>
    <w:uiPriority w:val="99"/>
    <w:pPr>
      <w:tabs>
        <w:tab w:val="center" w:pos="4153"/>
        <w:tab w:val="right" w:pos="8306"/>
      </w:tabs>
      <w:spacing w:line="240" w:lineRule="auto"/>
    </w:pPr>
    <w:rPr>
      <w:sz w:val="18"/>
      <w:szCs w:val="18"/>
    </w:rPr>
  </w:style>
  <w:style w:type="paragraph" w:styleId="14">
    <w:name w:val="header"/>
    <w:basedOn w:val="1"/>
    <w:link w:val="35"/>
    <w:unhideWhenUsed/>
    <w:uiPriority w:val="99"/>
    <w:pPr>
      <w:pBdr>
        <w:bottom w:val="single" w:color="auto" w:sz="6" w:space="1"/>
      </w:pBdr>
      <w:tabs>
        <w:tab w:val="center" w:pos="4153"/>
        <w:tab w:val="right" w:pos="8306"/>
      </w:tabs>
      <w:spacing w:line="240" w:lineRule="auto"/>
      <w:jc w:val="center"/>
    </w:pPr>
    <w:rPr>
      <w:sz w:val="18"/>
      <w:szCs w:val="18"/>
    </w:rPr>
  </w:style>
  <w:style w:type="paragraph" w:styleId="15">
    <w:name w:val="Normal (Web)"/>
    <w:basedOn w:val="1"/>
    <w:semiHidden/>
    <w:unhideWhenUsed/>
    <w:uiPriority w:val="99"/>
    <w:pPr>
      <w:widowControl/>
      <w:snapToGrid/>
      <w:spacing w:before="100" w:beforeAutospacing="1" w:after="100" w:afterAutospacing="1" w:line="240" w:lineRule="auto"/>
      <w:ind w:firstLine="0" w:firstLineChars="0"/>
    </w:pPr>
    <w:rPr>
      <w:rFonts w:ascii="宋体" w:hAnsi="宋体" w:eastAsia="宋体" w:cs="宋体"/>
      <w:kern w:val="0"/>
      <w:sz w:val="24"/>
    </w:rPr>
  </w:style>
  <w:style w:type="paragraph" w:styleId="16">
    <w:name w:val="Title"/>
    <w:basedOn w:val="1"/>
    <w:next w:val="1"/>
    <w:link w:val="24"/>
    <w:qFormat/>
    <w:uiPriority w:val="10"/>
    <w:pPr>
      <w:numPr>
        <w:ilvl w:val="0"/>
        <w:numId w:val="7"/>
      </w:numPr>
      <w:spacing w:before="156" w:beforeLines="50" w:after="156" w:afterLines="50" w:line="240" w:lineRule="auto"/>
      <w:ind w:firstLine="0" w:firstLineChars="0"/>
      <w:outlineLvl w:val="0"/>
    </w:pPr>
    <w:rPr>
      <w:rFonts w:asciiTheme="majorHAnsi" w:hAnsiTheme="majorHAnsi" w:cstheme="majorBidi"/>
      <w:b/>
      <w:szCs w:val="32"/>
    </w:rPr>
  </w:style>
  <w:style w:type="paragraph" w:styleId="17">
    <w:name w:val="annotation subject"/>
    <w:basedOn w:val="9"/>
    <w:next w:val="9"/>
    <w:link w:val="40"/>
    <w:semiHidden/>
    <w:unhideWhenUsed/>
    <w:uiPriority w:val="99"/>
    <w:rPr>
      <w:b/>
      <w:bCs/>
    </w:rPr>
  </w:style>
  <w:style w:type="table" w:styleId="19">
    <w:name w:val="Table Grid"/>
    <w:basedOn w:val="1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semiHidden/>
    <w:unhideWhenUsed/>
    <w:uiPriority w:val="99"/>
    <w:rPr>
      <w:sz w:val="21"/>
      <w:szCs w:val="21"/>
    </w:rPr>
  </w:style>
  <w:style w:type="paragraph" w:styleId="22">
    <w:name w:val="No Spacing"/>
    <w:qFormat/>
    <w:uiPriority w:val="1"/>
    <w:pPr>
      <w:widowControl w:val="0"/>
      <w:spacing w:line="360" w:lineRule="auto"/>
    </w:pPr>
    <w:rPr>
      <w:rFonts w:ascii="Arial" w:hAnsi="Arial" w:eastAsia="仿宋_GB2312" w:cstheme="minorBidi"/>
      <w:kern w:val="2"/>
      <w:sz w:val="28"/>
      <w:szCs w:val="22"/>
      <w:lang w:val="en-US" w:eastAsia="zh-CN" w:bidi="ar-SA"/>
    </w:rPr>
  </w:style>
  <w:style w:type="character" w:customStyle="1" w:styleId="23">
    <w:name w:val="标题 2 字符"/>
    <w:basedOn w:val="20"/>
    <w:link w:val="3"/>
    <w:uiPriority w:val="0"/>
    <w:rPr>
      <w:rFonts w:eastAsia="仿宋" w:cs="Times New Roman"/>
      <w:szCs w:val="20"/>
    </w:rPr>
  </w:style>
  <w:style w:type="character" w:customStyle="1" w:styleId="24">
    <w:name w:val="标题 字符"/>
    <w:basedOn w:val="20"/>
    <w:link w:val="16"/>
    <w:uiPriority w:val="10"/>
    <w:rPr>
      <w:rFonts w:eastAsia="宋体" w:asciiTheme="majorHAnsi" w:hAnsiTheme="majorHAnsi" w:cstheme="majorBidi"/>
      <w:b/>
      <w:sz w:val="28"/>
      <w:szCs w:val="32"/>
    </w:rPr>
  </w:style>
  <w:style w:type="character" w:customStyle="1" w:styleId="25">
    <w:name w:val="标题 1 字符"/>
    <w:basedOn w:val="20"/>
    <w:link w:val="2"/>
    <w:qFormat/>
    <w:uiPriority w:val="9"/>
    <w:rPr>
      <w:rFonts w:ascii="Times New Roman" w:hAnsi="Times New Roman" w:cs="Times New Roman"/>
      <w:b/>
      <w:bCs/>
      <w:kern w:val="44"/>
      <w:sz w:val="28"/>
      <w:szCs w:val="44"/>
    </w:rPr>
  </w:style>
  <w:style w:type="character" w:customStyle="1" w:styleId="26">
    <w:name w:val="标题 3 字符"/>
    <w:basedOn w:val="20"/>
    <w:link w:val="4"/>
    <w:qFormat/>
    <w:uiPriority w:val="9"/>
    <w:rPr>
      <w:rFonts w:ascii="Times New Roman" w:hAnsi="Times New Roman" w:eastAsia="宋体" w:cs="Times New Roman"/>
      <w:b/>
      <w:bCs/>
      <w:sz w:val="28"/>
      <w:szCs w:val="32"/>
    </w:rPr>
  </w:style>
  <w:style w:type="character" w:customStyle="1" w:styleId="27">
    <w:name w:val="纯文本 字符"/>
    <w:basedOn w:val="20"/>
    <w:semiHidden/>
    <w:uiPriority w:val="99"/>
    <w:rPr>
      <w:rFonts w:hAnsi="Courier New" w:cs="Courier New" w:asciiTheme="minorEastAsia" w:eastAsiaTheme="minorEastAsia"/>
    </w:rPr>
  </w:style>
  <w:style w:type="character" w:customStyle="1" w:styleId="28">
    <w:name w:val="纯文本 字符1"/>
    <w:link w:val="11"/>
    <w:locked/>
    <w:uiPriority w:val="99"/>
    <w:rPr>
      <w:rFonts w:ascii="宋体" w:hAnsi="Courier New" w:eastAsia="宋体" w:cs="Courier New"/>
      <w:szCs w:val="21"/>
    </w:rPr>
  </w:style>
  <w:style w:type="character" w:customStyle="1" w:styleId="29">
    <w:name w:val="纯文本 Char"/>
    <w:basedOn w:val="20"/>
    <w:qFormat/>
    <w:uiPriority w:val="99"/>
    <w:rPr>
      <w:rFonts w:ascii="宋体" w:hAnsi="Courier New" w:cs="Courier New"/>
      <w:kern w:val="2"/>
      <w:sz w:val="21"/>
      <w:szCs w:val="21"/>
    </w:rPr>
  </w:style>
  <w:style w:type="character" w:customStyle="1" w:styleId="30">
    <w:name w:val="正文文本缩进 字符"/>
    <w:basedOn w:val="20"/>
    <w:link w:val="10"/>
    <w:uiPriority w:val="0"/>
    <w:rPr>
      <w:rFonts w:ascii="宋体" w:hAnsi="宋体" w:eastAsia="宋体" w:cs="Times New Roman"/>
      <w:szCs w:val="24"/>
    </w:rPr>
  </w:style>
  <w:style w:type="character" w:customStyle="1" w:styleId="31">
    <w:name w:val="标题 4 字符"/>
    <w:basedOn w:val="20"/>
    <w:link w:val="5"/>
    <w:uiPriority w:val="9"/>
    <w:rPr>
      <w:rFonts w:ascii="仿宋_GB2312" w:hAnsiTheme="majorHAnsi" w:cstheme="majorBidi"/>
      <w:b/>
      <w:bCs/>
      <w:color w:val="000000" w:themeColor="text1"/>
      <w:sz w:val="28"/>
      <w:szCs w:val="28"/>
      <w14:textFill>
        <w14:solidFill>
          <w14:schemeClr w14:val="tx1"/>
        </w14:solidFill>
      </w14:textFill>
    </w:rPr>
  </w:style>
  <w:style w:type="character" w:customStyle="1" w:styleId="32">
    <w:name w:val="标题 5 字符"/>
    <w:basedOn w:val="20"/>
    <w:link w:val="6"/>
    <w:uiPriority w:val="9"/>
    <w:rPr>
      <w:rFonts w:ascii="Times New Roman" w:hAnsi="Times New Roman" w:cs="Times New Roman"/>
      <w:sz w:val="28"/>
      <w:szCs w:val="24"/>
    </w:rPr>
  </w:style>
  <w:style w:type="character" w:customStyle="1" w:styleId="33">
    <w:name w:val="标题 6 字符"/>
    <w:basedOn w:val="20"/>
    <w:link w:val="7"/>
    <w:qFormat/>
    <w:uiPriority w:val="9"/>
    <w:rPr>
      <w:rFonts w:asciiTheme="majorHAnsi" w:hAnsiTheme="majorHAnsi" w:cstheme="majorBidi"/>
      <w:bCs/>
      <w:sz w:val="28"/>
      <w:szCs w:val="24"/>
    </w:rPr>
  </w:style>
  <w:style w:type="character" w:customStyle="1" w:styleId="34">
    <w:name w:val="标题 7 字符"/>
    <w:basedOn w:val="20"/>
    <w:link w:val="8"/>
    <w:uiPriority w:val="9"/>
    <w:rPr>
      <w:rFonts w:ascii="Times New Roman" w:hAnsi="Times New Roman" w:eastAsia="宋体" w:cs="Times New Roman"/>
      <w:bCs/>
      <w:sz w:val="28"/>
      <w:szCs w:val="24"/>
    </w:rPr>
  </w:style>
  <w:style w:type="character" w:customStyle="1" w:styleId="35">
    <w:name w:val="页眉 字符"/>
    <w:basedOn w:val="20"/>
    <w:link w:val="14"/>
    <w:uiPriority w:val="99"/>
    <w:rPr>
      <w:rFonts w:ascii="Times New Roman" w:hAnsi="Times New Roman" w:eastAsia="宋体" w:cs="Times New Roman"/>
      <w:sz w:val="18"/>
      <w:szCs w:val="18"/>
    </w:rPr>
  </w:style>
  <w:style w:type="character" w:customStyle="1" w:styleId="36">
    <w:name w:val="页脚 字符"/>
    <w:basedOn w:val="20"/>
    <w:link w:val="13"/>
    <w:uiPriority w:val="99"/>
    <w:rPr>
      <w:rFonts w:ascii="Times New Roman" w:hAnsi="Times New Roman" w:eastAsia="宋体" w:cs="Times New Roman"/>
      <w:sz w:val="18"/>
      <w:szCs w:val="18"/>
    </w:rPr>
  </w:style>
  <w:style w:type="paragraph" w:styleId="37">
    <w:name w:val="List Paragraph"/>
    <w:basedOn w:val="1"/>
    <w:qFormat/>
    <w:uiPriority w:val="34"/>
    <w:pPr>
      <w:ind w:firstLine="420"/>
    </w:pPr>
  </w:style>
  <w:style w:type="character" w:customStyle="1" w:styleId="38">
    <w:name w:val="批注框文本 字符"/>
    <w:basedOn w:val="20"/>
    <w:link w:val="12"/>
    <w:semiHidden/>
    <w:uiPriority w:val="99"/>
    <w:rPr>
      <w:rFonts w:ascii="Times New Roman" w:hAnsi="Times New Roman" w:cs="Times New Roman"/>
      <w:sz w:val="18"/>
      <w:szCs w:val="18"/>
    </w:rPr>
  </w:style>
  <w:style w:type="character" w:customStyle="1" w:styleId="39">
    <w:name w:val="批注文字 字符"/>
    <w:basedOn w:val="20"/>
    <w:link w:val="9"/>
    <w:semiHidden/>
    <w:uiPriority w:val="99"/>
    <w:rPr>
      <w:rFonts w:ascii="Times New Roman" w:hAnsi="Times New Roman" w:cs="Times New Roman"/>
      <w:sz w:val="28"/>
      <w:szCs w:val="24"/>
    </w:rPr>
  </w:style>
  <w:style w:type="character" w:customStyle="1" w:styleId="40">
    <w:name w:val="批注主题 字符"/>
    <w:basedOn w:val="39"/>
    <w:link w:val="17"/>
    <w:semiHidden/>
    <w:uiPriority w:val="99"/>
    <w:rPr>
      <w:rFonts w:ascii="Times New Roman" w:hAnsi="Times New Roman" w:cs="Times New Roman"/>
      <w:b/>
      <w:bCs/>
      <w:sz w:val="2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161</Words>
  <Characters>919</Characters>
  <Lines>7</Lines>
  <Paragraphs>2</Paragraphs>
  <TotalTime>1550</TotalTime>
  <ScaleCrop>false</ScaleCrop>
  <LinksUpToDate>false</LinksUpToDate>
  <CharactersWithSpaces>1078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2020-03-28T01:54:00Z</dcterms:created>
  <dc:creator>曹俊</dc:creator>
  <cp:lastModifiedBy>宋超</cp:lastModifiedBy>
  <cp:lastPrinted>2021-04-20T09:00:00Z</cp:lastPrinted>
  <dcterms:modified xsi:type="dcterms:W3CDTF">2021-05-19T03:00:49Z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