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both"/>
        <w:rPr>
          <w:rFonts w:hint="default" w:eastAsia="方正小标宋简体" w:cs="方正仿宋简体"/>
          <w:color w:val="000000"/>
          <w:sz w:val="32"/>
          <w:szCs w:val="32"/>
          <w:lang w:val="en-US" w:eastAsia="zh-CN"/>
        </w:rPr>
      </w:pPr>
      <w:bookmarkStart w:id="0" w:name="_Hlk29479244"/>
      <w:r>
        <w:rPr>
          <w:rFonts w:hint="eastAsia" w:eastAsia="方正小标宋简体" w:cs="方正仿宋简体"/>
          <w:color w:val="000000"/>
          <w:sz w:val="32"/>
          <w:szCs w:val="32"/>
          <w:lang w:val="en-US" w:eastAsia="zh-CN"/>
        </w:rPr>
        <w:t>附件8</w:t>
      </w:r>
    </w:p>
    <w:p>
      <w:pPr>
        <w:adjustRightInd w:val="0"/>
        <w:snapToGrid w:val="0"/>
        <w:spacing w:line="594"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陕西省复混肥料</w:t>
      </w:r>
      <w:bookmarkEnd w:id="0"/>
      <w:r>
        <w:rPr>
          <w:rFonts w:hint="eastAsia" w:eastAsia="方正小标宋简体" w:cs="方正仿宋简体"/>
          <w:color w:val="000000"/>
          <w:sz w:val="32"/>
          <w:szCs w:val="32"/>
        </w:rPr>
        <w:t>产品质量监督抽查实施细则</w:t>
      </w:r>
    </w:p>
    <w:p>
      <w:pPr>
        <w:adjustRightInd w:val="0"/>
        <w:snapToGrid w:val="0"/>
        <w:spacing w:line="594" w:lineRule="exact"/>
        <w:jc w:val="center"/>
        <w:rPr>
          <w:rFonts w:hint="eastAsia" w:eastAsia="方正小标宋简体" w:cs="方正仿宋简体"/>
          <w:color w:val="000000"/>
          <w:sz w:val="32"/>
          <w:szCs w:val="32"/>
        </w:rPr>
      </w:pPr>
    </w:p>
    <w:p>
      <w:pPr>
        <w:snapToGrid w:val="0"/>
        <w:spacing w:line="440" w:lineRule="exact"/>
        <w:rPr>
          <w:rFonts w:ascii="黑体" w:hAnsi="黑体" w:eastAsia="黑体"/>
          <w:color w:val="000000"/>
          <w:szCs w:val="21"/>
        </w:rPr>
      </w:pPr>
      <w:r>
        <w:rPr>
          <w:rFonts w:hint="eastAsia" w:ascii="黑体" w:hAnsi="黑体" w:eastAsia="黑体"/>
          <w:color w:val="000000"/>
          <w:szCs w:val="21"/>
        </w:rPr>
        <w:t>1 抽样方法</w:t>
      </w:r>
    </w:p>
    <w:p>
      <w:pPr>
        <w:snapToGrid w:val="0"/>
        <w:spacing w:line="440" w:lineRule="exact"/>
        <w:ind w:firstLine="420" w:firstLineChars="200"/>
        <w:rPr>
          <w:color w:val="000000"/>
          <w:szCs w:val="21"/>
        </w:rPr>
      </w:pPr>
      <w:r>
        <w:rPr>
          <w:rFonts w:hint="eastAsia"/>
          <w:color w:val="000000"/>
          <w:szCs w:val="21"/>
        </w:rPr>
        <w:t>以随机抽样的方式在被抽样生产者的成品库中抽取。</w:t>
      </w:r>
    </w:p>
    <w:p>
      <w:pPr>
        <w:snapToGrid w:val="0"/>
        <w:spacing w:line="440" w:lineRule="exact"/>
        <w:ind w:firstLine="420" w:firstLineChars="200"/>
        <w:rPr>
          <w:color w:val="000000"/>
          <w:szCs w:val="21"/>
        </w:rPr>
      </w:pPr>
      <w:r>
        <w:rPr>
          <w:rFonts w:hint="eastAsia"/>
          <w:color w:val="000000"/>
          <w:szCs w:val="21"/>
        </w:rPr>
        <w:t>随机数使用随机数表方法产生。</w:t>
      </w:r>
    </w:p>
    <w:p>
      <w:pPr>
        <w:snapToGrid w:val="0"/>
        <w:spacing w:line="440" w:lineRule="exact"/>
        <w:rPr>
          <w:rFonts w:ascii="黑体" w:hAnsi="宋体" w:eastAsia="黑体"/>
          <w:szCs w:val="21"/>
        </w:rPr>
      </w:pPr>
      <w:r>
        <w:rPr>
          <w:rFonts w:hint="eastAsia" w:ascii="黑体" w:hAnsi="宋体" w:eastAsia="黑体"/>
          <w:szCs w:val="21"/>
        </w:rPr>
        <w:t>2 检验依据</w:t>
      </w:r>
    </w:p>
    <w:p>
      <w:pPr>
        <w:tabs>
          <w:tab w:val="left" w:pos="6490"/>
        </w:tabs>
        <w:spacing w:line="440" w:lineRule="exact"/>
        <w:jc w:val="center"/>
        <w:rPr>
          <w:rFonts w:ascii="宋体" w:hAnsi="宋体"/>
          <w:szCs w:val="21"/>
        </w:rPr>
      </w:pPr>
      <w:r>
        <w:rPr>
          <w:rFonts w:hint="eastAsia" w:ascii="宋体" w:hAnsi="宋体"/>
          <w:szCs w:val="21"/>
        </w:rPr>
        <w:t>表1  复合肥料检验项目</w:t>
      </w:r>
    </w:p>
    <w:tbl>
      <w:tblPr>
        <w:tblStyle w:val="4"/>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62"/>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08" w:type="dxa"/>
            <w:vMerge w:val="restart"/>
            <w:vAlign w:val="center"/>
          </w:tcPr>
          <w:p>
            <w:pPr>
              <w:spacing w:line="360" w:lineRule="exact"/>
              <w:jc w:val="center"/>
              <w:rPr>
                <w:rFonts w:ascii="宋体" w:hAnsi="宋体"/>
                <w:szCs w:val="21"/>
              </w:rPr>
            </w:pPr>
            <w:r>
              <w:rPr>
                <w:rFonts w:hint="eastAsia" w:ascii="宋体" w:hAnsi="宋体"/>
                <w:szCs w:val="21"/>
              </w:rPr>
              <w:t>序号</w:t>
            </w:r>
          </w:p>
        </w:tc>
        <w:tc>
          <w:tcPr>
            <w:tcW w:w="2562" w:type="dxa"/>
            <w:vMerge w:val="restart"/>
            <w:vAlign w:val="center"/>
          </w:tcPr>
          <w:p>
            <w:pPr>
              <w:spacing w:line="360" w:lineRule="exact"/>
              <w:jc w:val="center"/>
              <w:rPr>
                <w:rFonts w:ascii="宋体" w:hAnsi="宋体"/>
                <w:szCs w:val="21"/>
              </w:rPr>
            </w:pPr>
            <w:r>
              <w:rPr>
                <w:rFonts w:hint="eastAsia" w:ascii="宋体" w:hAnsi="宋体"/>
                <w:szCs w:val="21"/>
              </w:rPr>
              <w:t>检验项目</w:t>
            </w:r>
          </w:p>
        </w:tc>
        <w:tc>
          <w:tcPr>
            <w:tcW w:w="2625" w:type="dxa"/>
            <w:vMerge w:val="restart"/>
            <w:vAlign w:val="center"/>
          </w:tcPr>
          <w:p>
            <w:pPr>
              <w:spacing w:line="36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08" w:type="dxa"/>
            <w:vMerge w:val="continue"/>
            <w:vAlign w:val="center"/>
          </w:tcPr>
          <w:p>
            <w:pPr>
              <w:spacing w:line="360" w:lineRule="exact"/>
              <w:jc w:val="center"/>
              <w:rPr>
                <w:rFonts w:ascii="宋体" w:hAnsi="宋体"/>
                <w:szCs w:val="21"/>
              </w:rPr>
            </w:pPr>
          </w:p>
        </w:tc>
        <w:tc>
          <w:tcPr>
            <w:tcW w:w="2562" w:type="dxa"/>
            <w:vMerge w:val="continue"/>
            <w:vAlign w:val="center"/>
          </w:tcPr>
          <w:p>
            <w:pPr>
              <w:spacing w:line="360" w:lineRule="exact"/>
              <w:jc w:val="center"/>
              <w:rPr>
                <w:rFonts w:ascii="宋体" w:hAnsi="宋体"/>
                <w:szCs w:val="21"/>
              </w:rPr>
            </w:pPr>
          </w:p>
        </w:tc>
        <w:tc>
          <w:tcPr>
            <w:tcW w:w="2625"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ind w:left="-107" w:leftChars="-51" w:right="-107" w:rightChars="-51"/>
              <w:jc w:val="center"/>
              <w:rPr>
                <w:rFonts w:ascii="宋体" w:hAnsi="宋体"/>
                <w:szCs w:val="21"/>
              </w:rPr>
            </w:pPr>
            <w:r>
              <w:rPr>
                <w:rFonts w:hint="eastAsia" w:ascii="宋体" w:hAnsi="宋体"/>
                <w:szCs w:val="21"/>
              </w:rPr>
              <w:t>总氮</w:t>
            </w:r>
          </w:p>
        </w:tc>
        <w:tc>
          <w:tcPr>
            <w:tcW w:w="2625" w:type="dxa"/>
            <w:vAlign w:val="center"/>
          </w:tcPr>
          <w:p>
            <w:pPr>
              <w:spacing w:line="360" w:lineRule="exact"/>
              <w:jc w:val="center"/>
              <w:rPr>
                <w:rFonts w:ascii="宋体" w:hAnsi="宋体"/>
                <w:szCs w:val="21"/>
              </w:rPr>
            </w:pPr>
            <w:r>
              <w:rPr>
                <w:rFonts w:hint="eastAsia" w:ascii="宋体" w:hAnsi="宋体"/>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ind w:left="1" w:right="-107" w:rightChars="-51"/>
              <w:jc w:val="center"/>
              <w:rPr>
                <w:rFonts w:ascii="宋体" w:hAnsi="宋体"/>
                <w:szCs w:val="21"/>
              </w:rPr>
            </w:pPr>
            <w:r>
              <w:rPr>
                <w:rFonts w:hint="eastAsia" w:ascii="宋体" w:hAnsi="宋体"/>
                <w:szCs w:val="21"/>
              </w:rPr>
              <w:t>有效五氧化二磷</w:t>
            </w:r>
          </w:p>
        </w:tc>
        <w:tc>
          <w:tcPr>
            <w:tcW w:w="2625" w:type="dxa"/>
            <w:vAlign w:val="center"/>
          </w:tcPr>
          <w:p>
            <w:pPr>
              <w:spacing w:line="360" w:lineRule="exact"/>
              <w:jc w:val="center"/>
              <w:rPr>
                <w:rFonts w:ascii="宋体" w:hAnsi="宋体"/>
                <w:szCs w:val="21"/>
              </w:rPr>
            </w:pPr>
            <w:r>
              <w:rPr>
                <w:rFonts w:hint="eastAsia" w:ascii="宋体" w:hAnsi="宋体"/>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ind w:left="-107" w:leftChars="-51" w:right="-107" w:rightChars="-51"/>
              <w:jc w:val="center"/>
              <w:rPr>
                <w:rFonts w:ascii="宋体" w:hAnsi="宋体"/>
                <w:szCs w:val="21"/>
              </w:rPr>
            </w:pPr>
            <w:r>
              <w:rPr>
                <w:rFonts w:hint="eastAsia" w:ascii="宋体" w:hAnsi="宋体"/>
                <w:szCs w:val="21"/>
              </w:rPr>
              <w:t>氧化钾</w:t>
            </w:r>
          </w:p>
        </w:tc>
        <w:tc>
          <w:tcPr>
            <w:tcW w:w="2625" w:type="dxa"/>
            <w:vAlign w:val="center"/>
          </w:tcPr>
          <w:p>
            <w:pPr>
              <w:spacing w:line="360" w:lineRule="exact"/>
              <w:jc w:val="center"/>
              <w:rPr>
                <w:rFonts w:ascii="宋体" w:hAnsi="宋体"/>
                <w:szCs w:val="21"/>
              </w:rPr>
            </w:pPr>
            <w:r>
              <w:rPr>
                <w:rFonts w:hint="eastAsia" w:ascii="宋体" w:hAnsi="宋体"/>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ind w:left="-107" w:leftChars="-51" w:right="-107" w:rightChars="-51"/>
              <w:jc w:val="center"/>
              <w:rPr>
                <w:rFonts w:ascii="宋体" w:hAnsi="宋体"/>
                <w:szCs w:val="21"/>
              </w:rPr>
            </w:pPr>
            <w:r>
              <w:rPr>
                <w:rFonts w:hint="eastAsia" w:ascii="宋体" w:hAnsi="宋体"/>
                <w:szCs w:val="21"/>
              </w:rPr>
              <w:t>总养分</w:t>
            </w:r>
          </w:p>
        </w:tc>
        <w:tc>
          <w:tcPr>
            <w:tcW w:w="2625" w:type="dxa"/>
            <w:vAlign w:val="center"/>
          </w:tcPr>
          <w:p>
            <w:pPr>
              <w:spacing w:line="360" w:lineRule="exact"/>
              <w:jc w:val="center"/>
              <w:rPr>
                <w:rFonts w:ascii="宋体" w:hAnsi="宋体"/>
                <w:szCs w:val="21"/>
              </w:rPr>
            </w:pPr>
            <w:r>
              <w:rPr>
                <w:rFonts w:hint="eastAsia" w:ascii="宋体" w:hAnsi="宋体"/>
                <w:szCs w:val="21"/>
              </w:rPr>
              <w:t>以上三个标准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jc w:val="center"/>
              <w:rPr>
                <w:rFonts w:ascii="宋体" w:hAnsi="宋体"/>
                <w:szCs w:val="21"/>
              </w:rPr>
            </w:pPr>
            <w:r>
              <w:rPr>
                <w:rFonts w:hint="eastAsia" w:ascii="宋体" w:hAnsi="宋体"/>
                <w:szCs w:val="21"/>
              </w:rPr>
              <w:t>水溶性磷占有效磷百分率</w:t>
            </w:r>
          </w:p>
        </w:tc>
        <w:tc>
          <w:tcPr>
            <w:tcW w:w="2625" w:type="dxa"/>
            <w:vAlign w:val="center"/>
          </w:tcPr>
          <w:p>
            <w:pPr>
              <w:spacing w:line="360" w:lineRule="exact"/>
              <w:jc w:val="center"/>
              <w:rPr>
                <w:rFonts w:ascii="宋体" w:hAnsi="宋体"/>
                <w:szCs w:val="21"/>
              </w:rPr>
            </w:pPr>
            <w:r>
              <w:rPr>
                <w:rFonts w:hint="eastAsia" w:ascii="宋体" w:hAnsi="宋体"/>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jc w:val="center"/>
              <w:rPr>
                <w:rFonts w:ascii="宋体" w:hAnsi="宋体"/>
                <w:szCs w:val="21"/>
              </w:rPr>
            </w:pPr>
            <w:r>
              <w:rPr>
                <w:rFonts w:hint="eastAsia" w:ascii="宋体" w:hAnsi="宋体"/>
                <w:szCs w:val="21"/>
              </w:rPr>
              <w:t>氯离子</w:t>
            </w:r>
          </w:p>
        </w:tc>
        <w:tc>
          <w:tcPr>
            <w:tcW w:w="2625" w:type="dxa"/>
            <w:vAlign w:val="center"/>
          </w:tcPr>
          <w:p>
            <w:pPr>
              <w:spacing w:line="360" w:lineRule="exact"/>
              <w:jc w:val="center"/>
              <w:rPr>
                <w:rFonts w:ascii="宋体" w:hAnsi="宋体"/>
                <w:szCs w:val="21"/>
              </w:rPr>
            </w:pPr>
            <w:r>
              <w:rPr>
                <w:rFonts w:hint="eastAsia" w:ascii="宋体" w:hAnsi="宋体"/>
                <w:szCs w:val="21"/>
              </w:rPr>
              <w:t>GB/T 15063-2009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jc w:val="center"/>
              <w:rPr>
                <w:rFonts w:ascii="宋体" w:hAnsi="宋体"/>
                <w:szCs w:val="21"/>
              </w:rPr>
            </w:pPr>
            <w:r>
              <w:rPr>
                <w:rFonts w:hint="eastAsia" w:ascii="宋体" w:hAnsi="宋体"/>
                <w:szCs w:val="21"/>
              </w:rPr>
              <w:t>粒度</w:t>
            </w:r>
          </w:p>
        </w:tc>
        <w:tc>
          <w:tcPr>
            <w:tcW w:w="2625" w:type="dxa"/>
            <w:vAlign w:val="center"/>
          </w:tcPr>
          <w:p>
            <w:pPr>
              <w:spacing w:line="360" w:lineRule="exact"/>
              <w:jc w:val="center"/>
              <w:rPr>
                <w:rFonts w:ascii="宋体" w:hAnsi="宋体"/>
                <w:szCs w:val="21"/>
              </w:rPr>
            </w:pPr>
            <w:r>
              <w:rPr>
                <w:rFonts w:hint="eastAsia" w:ascii="宋体" w:hAnsi="宋体"/>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jc w:val="center"/>
              <w:rPr>
                <w:rFonts w:ascii="宋体" w:hAnsi="宋体"/>
                <w:szCs w:val="21"/>
              </w:rPr>
            </w:pPr>
            <w:r>
              <w:rPr>
                <w:rFonts w:hint="eastAsia" w:ascii="宋体" w:hAnsi="宋体"/>
                <w:szCs w:val="21"/>
              </w:rPr>
              <w:t>包装标识</w:t>
            </w:r>
          </w:p>
        </w:tc>
        <w:tc>
          <w:tcPr>
            <w:tcW w:w="2625" w:type="dxa"/>
            <w:vAlign w:val="center"/>
          </w:tcPr>
          <w:p>
            <w:pPr>
              <w:spacing w:line="360" w:lineRule="exact"/>
              <w:jc w:val="center"/>
              <w:rPr>
                <w:rFonts w:ascii="宋体" w:hAnsi="宋体"/>
                <w:szCs w:val="21"/>
              </w:rPr>
            </w:pPr>
            <w:r>
              <w:rPr>
                <w:rFonts w:hint="eastAsia" w:ascii="宋体" w:hAnsi="宋体"/>
                <w:szCs w:val="21"/>
              </w:rPr>
              <w:t>GB 18382-2001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总铅（Pb）</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总镉（Cd）</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总砷（As）</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总铬（Cr）</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总汞（Hg）</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jc w:val="center"/>
              <w:rPr>
                <w:rFonts w:ascii="宋体" w:hAnsi="宋体"/>
                <w:szCs w:val="21"/>
              </w:rPr>
            </w:pPr>
            <w:r>
              <w:rPr>
                <w:rFonts w:hint="eastAsia" w:ascii="宋体" w:hAnsi="宋体"/>
                <w:szCs w:val="21"/>
              </w:rPr>
              <w:t>缩二脲</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08" w:type="dxa"/>
            <w:vAlign w:val="center"/>
          </w:tcPr>
          <w:p>
            <w:pPr>
              <w:numPr>
                <w:ilvl w:val="0"/>
                <w:numId w:val="1"/>
              </w:numPr>
              <w:spacing w:line="360" w:lineRule="exact"/>
              <w:jc w:val="center"/>
              <w:rPr>
                <w:rFonts w:ascii="宋体" w:hAnsi="宋体"/>
                <w:szCs w:val="21"/>
              </w:rPr>
            </w:pPr>
          </w:p>
        </w:tc>
        <w:tc>
          <w:tcPr>
            <w:tcW w:w="2562" w:type="dxa"/>
            <w:vAlign w:val="center"/>
          </w:tcPr>
          <w:p>
            <w:pPr>
              <w:spacing w:line="360" w:lineRule="exact"/>
              <w:jc w:val="center"/>
              <w:rPr>
                <w:rFonts w:ascii="宋体" w:hAnsi="宋体"/>
                <w:szCs w:val="21"/>
              </w:rPr>
            </w:pPr>
            <w:r>
              <w:rPr>
                <w:rFonts w:hint="eastAsia" w:ascii="宋体" w:hAnsi="宋体"/>
                <w:szCs w:val="21"/>
              </w:rPr>
              <w:t>总铊</w:t>
            </w:r>
          </w:p>
        </w:tc>
        <w:tc>
          <w:tcPr>
            <w:tcW w:w="2625" w:type="dxa"/>
            <w:vAlign w:val="center"/>
          </w:tcPr>
          <w:p>
            <w:pPr>
              <w:spacing w:line="360" w:lineRule="exact"/>
              <w:jc w:val="center"/>
              <w:rPr>
                <w:rFonts w:ascii="宋体" w:hAnsi="宋体"/>
                <w:szCs w:val="21"/>
              </w:rPr>
            </w:pPr>
            <w:r>
              <w:rPr>
                <w:rFonts w:hint="eastAsia" w:ascii="宋体" w:hAnsi="宋体"/>
                <w:szCs w:val="21"/>
              </w:rPr>
              <w:t>GB38400-2019</w:t>
            </w:r>
          </w:p>
        </w:tc>
      </w:tr>
    </w:tbl>
    <w:p>
      <w:pPr>
        <w:pStyle w:val="8"/>
        <w:spacing w:line="440" w:lineRule="exact"/>
        <w:ind w:firstLine="0" w:firstLineChars="0"/>
        <w:jc w:val="center"/>
        <w:rPr>
          <w:rFonts w:ascii="宋体" w:hAnsi="宋体" w:eastAsia="宋体"/>
          <w:sz w:val="21"/>
          <w:szCs w:val="21"/>
        </w:rPr>
      </w:pPr>
    </w:p>
    <w:p>
      <w:pPr>
        <w:pStyle w:val="8"/>
        <w:spacing w:line="440" w:lineRule="exact"/>
        <w:ind w:firstLine="0" w:firstLineChars="0"/>
        <w:jc w:val="center"/>
        <w:rPr>
          <w:rFonts w:ascii="宋体" w:hAnsi="宋体" w:eastAsia="宋体"/>
          <w:sz w:val="21"/>
          <w:szCs w:val="21"/>
        </w:rPr>
      </w:pPr>
    </w:p>
    <w:p>
      <w:pPr>
        <w:pStyle w:val="8"/>
        <w:spacing w:line="440" w:lineRule="exact"/>
        <w:ind w:firstLine="0" w:firstLineChars="0"/>
        <w:jc w:val="center"/>
        <w:rPr>
          <w:rFonts w:ascii="宋体" w:hAnsi="宋体" w:eastAsia="宋体"/>
          <w:snapToGrid/>
          <w:kern w:val="2"/>
          <w:sz w:val="21"/>
          <w:szCs w:val="21"/>
        </w:rPr>
      </w:pPr>
      <w:r>
        <w:rPr>
          <w:rFonts w:hint="eastAsia" w:ascii="宋体" w:hAnsi="宋体" w:eastAsia="宋体"/>
          <w:sz w:val="21"/>
          <w:szCs w:val="21"/>
        </w:rPr>
        <w:t xml:space="preserve">表2  </w:t>
      </w:r>
      <w:r>
        <w:rPr>
          <w:rFonts w:hint="eastAsia" w:ascii="宋体" w:hAnsi="宋体" w:eastAsia="宋体"/>
          <w:snapToGrid/>
          <w:kern w:val="2"/>
          <w:sz w:val="21"/>
          <w:szCs w:val="21"/>
        </w:rPr>
        <w:t>掺混肥料</w:t>
      </w:r>
      <w:r>
        <w:rPr>
          <w:rFonts w:hint="eastAsia" w:ascii="宋体" w:hAnsi="宋体" w:eastAsia="宋体"/>
          <w:sz w:val="21"/>
          <w:szCs w:val="21"/>
        </w:rPr>
        <w:t>检验项目</w:t>
      </w:r>
    </w:p>
    <w:tbl>
      <w:tblPr>
        <w:tblStyle w:val="4"/>
        <w:tblW w:w="7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633"/>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Merge w:val="restart"/>
            <w:vAlign w:val="center"/>
          </w:tcPr>
          <w:p>
            <w:pPr>
              <w:spacing w:line="320" w:lineRule="exact"/>
              <w:jc w:val="center"/>
              <w:rPr>
                <w:rFonts w:ascii="宋体" w:hAnsi="宋体"/>
                <w:szCs w:val="21"/>
              </w:rPr>
            </w:pPr>
            <w:r>
              <w:rPr>
                <w:rFonts w:hint="eastAsia" w:ascii="宋体" w:hAnsi="宋体"/>
                <w:szCs w:val="21"/>
              </w:rPr>
              <w:t>序号</w:t>
            </w:r>
          </w:p>
        </w:tc>
        <w:tc>
          <w:tcPr>
            <w:tcW w:w="2633" w:type="dxa"/>
            <w:vMerge w:val="restart"/>
            <w:vAlign w:val="center"/>
          </w:tcPr>
          <w:p>
            <w:pPr>
              <w:spacing w:line="320" w:lineRule="exact"/>
              <w:jc w:val="center"/>
              <w:rPr>
                <w:rFonts w:ascii="宋体" w:hAnsi="宋体"/>
                <w:szCs w:val="21"/>
              </w:rPr>
            </w:pPr>
            <w:r>
              <w:rPr>
                <w:rFonts w:hint="eastAsia" w:ascii="宋体" w:hAnsi="宋体"/>
                <w:szCs w:val="21"/>
              </w:rPr>
              <w:t>检验项目</w:t>
            </w:r>
          </w:p>
        </w:tc>
        <w:tc>
          <w:tcPr>
            <w:tcW w:w="2562" w:type="dxa"/>
            <w:vMerge w:val="restart"/>
            <w:vAlign w:val="center"/>
          </w:tcPr>
          <w:p>
            <w:pPr>
              <w:spacing w:line="32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Merge w:val="continue"/>
            <w:vAlign w:val="center"/>
          </w:tcPr>
          <w:p>
            <w:pPr>
              <w:spacing w:line="320" w:lineRule="exact"/>
              <w:jc w:val="center"/>
              <w:rPr>
                <w:rFonts w:ascii="宋体" w:hAnsi="宋体"/>
                <w:szCs w:val="21"/>
              </w:rPr>
            </w:pPr>
          </w:p>
        </w:tc>
        <w:tc>
          <w:tcPr>
            <w:tcW w:w="2633" w:type="dxa"/>
            <w:vMerge w:val="continue"/>
            <w:vAlign w:val="center"/>
          </w:tcPr>
          <w:p>
            <w:pPr>
              <w:spacing w:line="320" w:lineRule="exact"/>
              <w:jc w:val="center"/>
              <w:rPr>
                <w:rFonts w:ascii="宋体" w:hAnsi="宋体"/>
                <w:szCs w:val="21"/>
              </w:rPr>
            </w:pPr>
          </w:p>
        </w:tc>
        <w:tc>
          <w:tcPr>
            <w:tcW w:w="2562" w:type="dxa"/>
            <w:vMerge w:val="continue"/>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ind w:left="-107" w:leftChars="-51" w:right="-107" w:rightChars="-51"/>
              <w:jc w:val="center"/>
              <w:rPr>
                <w:rFonts w:ascii="宋体" w:hAnsi="宋体"/>
                <w:szCs w:val="21"/>
              </w:rPr>
            </w:pPr>
            <w:r>
              <w:rPr>
                <w:rFonts w:hint="eastAsia" w:ascii="宋体" w:hAnsi="宋体"/>
                <w:szCs w:val="21"/>
              </w:rPr>
              <w:t>总氮</w:t>
            </w:r>
          </w:p>
        </w:tc>
        <w:tc>
          <w:tcPr>
            <w:tcW w:w="2562" w:type="dxa"/>
            <w:vAlign w:val="center"/>
          </w:tcPr>
          <w:p>
            <w:pPr>
              <w:spacing w:line="320" w:lineRule="exact"/>
              <w:jc w:val="center"/>
              <w:rPr>
                <w:rFonts w:ascii="宋体" w:hAnsi="宋体"/>
                <w:szCs w:val="21"/>
              </w:rPr>
            </w:pPr>
            <w:r>
              <w:rPr>
                <w:rFonts w:hint="eastAsia" w:ascii="宋体" w:hAnsi="宋体"/>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ind w:left="1" w:right="-107" w:rightChars="-51"/>
              <w:jc w:val="center"/>
              <w:rPr>
                <w:rFonts w:ascii="宋体" w:hAnsi="宋体"/>
                <w:szCs w:val="21"/>
              </w:rPr>
            </w:pPr>
            <w:r>
              <w:rPr>
                <w:rFonts w:hint="eastAsia" w:ascii="宋体" w:hAnsi="宋体"/>
                <w:szCs w:val="21"/>
              </w:rPr>
              <w:t>有效五氧化二磷</w:t>
            </w:r>
          </w:p>
        </w:tc>
        <w:tc>
          <w:tcPr>
            <w:tcW w:w="2562" w:type="dxa"/>
            <w:vAlign w:val="center"/>
          </w:tcPr>
          <w:p>
            <w:pPr>
              <w:spacing w:line="320" w:lineRule="exact"/>
              <w:jc w:val="center"/>
              <w:rPr>
                <w:rFonts w:ascii="宋体" w:hAnsi="宋体"/>
                <w:szCs w:val="21"/>
              </w:rPr>
            </w:pPr>
            <w:r>
              <w:rPr>
                <w:rFonts w:hint="eastAsia" w:ascii="宋体" w:hAnsi="宋体"/>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ind w:left="-107" w:leftChars="-51" w:right="-107" w:rightChars="-51"/>
              <w:jc w:val="center"/>
              <w:rPr>
                <w:rFonts w:ascii="宋体" w:hAnsi="宋体"/>
                <w:szCs w:val="21"/>
              </w:rPr>
            </w:pPr>
            <w:r>
              <w:rPr>
                <w:rFonts w:hint="eastAsia" w:ascii="宋体" w:hAnsi="宋体"/>
                <w:szCs w:val="21"/>
              </w:rPr>
              <w:t>氧化钾</w:t>
            </w:r>
          </w:p>
        </w:tc>
        <w:tc>
          <w:tcPr>
            <w:tcW w:w="2562" w:type="dxa"/>
            <w:vAlign w:val="center"/>
          </w:tcPr>
          <w:p>
            <w:pPr>
              <w:spacing w:line="320" w:lineRule="exact"/>
              <w:jc w:val="center"/>
              <w:rPr>
                <w:rFonts w:ascii="宋体" w:hAnsi="宋体"/>
                <w:szCs w:val="21"/>
              </w:rPr>
            </w:pPr>
            <w:r>
              <w:rPr>
                <w:rFonts w:hint="eastAsia" w:ascii="宋体" w:hAnsi="宋体"/>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ind w:left="-107" w:leftChars="-51" w:right="-107" w:rightChars="-51"/>
              <w:jc w:val="center"/>
              <w:rPr>
                <w:rFonts w:ascii="宋体" w:hAnsi="宋体"/>
                <w:szCs w:val="21"/>
              </w:rPr>
            </w:pPr>
            <w:r>
              <w:rPr>
                <w:rFonts w:hint="eastAsia" w:ascii="宋体" w:hAnsi="宋体"/>
                <w:szCs w:val="21"/>
              </w:rPr>
              <w:t>总养分</w:t>
            </w:r>
          </w:p>
        </w:tc>
        <w:tc>
          <w:tcPr>
            <w:tcW w:w="2562" w:type="dxa"/>
            <w:vAlign w:val="center"/>
          </w:tcPr>
          <w:p>
            <w:pPr>
              <w:spacing w:line="320" w:lineRule="exact"/>
              <w:jc w:val="center"/>
              <w:rPr>
                <w:rFonts w:ascii="宋体" w:hAnsi="宋体"/>
                <w:szCs w:val="21"/>
              </w:rPr>
            </w:pPr>
            <w:r>
              <w:rPr>
                <w:rFonts w:hint="eastAsia" w:ascii="宋体" w:hAnsi="宋体"/>
                <w:szCs w:val="21"/>
              </w:rPr>
              <w:t>以上三个标准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jc w:val="center"/>
              <w:rPr>
                <w:rFonts w:ascii="宋体" w:hAnsi="宋体"/>
                <w:szCs w:val="21"/>
              </w:rPr>
            </w:pPr>
            <w:r>
              <w:rPr>
                <w:rFonts w:hint="eastAsia" w:ascii="宋体" w:hAnsi="宋体"/>
                <w:szCs w:val="21"/>
              </w:rPr>
              <w:t>水溶性磷占有效磷百分率</w:t>
            </w:r>
          </w:p>
        </w:tc>
        <w:tc>
          <w:tcPr>
            <w:tcW w:w="2562" w:type="dxa"/>
            <w:vAlign w:val="center"/>
          </w:tcPr>
          <w:p>
            <w:pPr>
              <w:spacing w:line="320" w:lineRule="exact"/>
              <w:jc w:val="center"/>
              <w:rPr>
                <w:rFonts w:ascii="宋体" w:hAnsi="宋体"/>
                <w:szCs w:val="21"/>
              </w:rPr>
            </w:pPr>
            <w:r>
              <w:rPr>
                <w:rFonts w:hint="eastAsia" w:ascii="宋体" w:hAnsi="宋体"/>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jc w:val="center"/>
              <w:rPr>
                <w:rFonts w:ascii="宋体" w:hAnsi="宋体"/>
                <w:szCs w:val="21"/>
              </w:rPr>
            </w:pPr>
            <w:r>
              <w:rPr>
                <w:rFonts w:hint="eastAsia" w:ascii="宋体" w:hAnsi="宋体"/>
                <w:szCs w:val="21"/>
              </w:rPr>
              <w:t>氯离子</w:t>
            </w:r>
          </w:p>
        </w:tc>
        <w:tc>
          <w:tcPr>
            <w:tcW w:w="2562" w:type="dxa"/>
            <w:vAlign w:val="center"/>
          </w:tcPr>
          <w:p>
            <w:pPr>
              <w:spacing w:line="320" w:lineRule="exact"/>
              <w:jc w:val="center"/>
              <w:rPr>
                <w:rFonts w:ascii="宋体" w:hAnsi="宋体"/>
                <w:szCs w:val="21"/>
              </w:rPr>
            </w:pPr>
            <w:r>
              <w:rPr>
                <w:rFonts w:hint="eastAsia" w:ascii="宋体" w:hAnsi="宋体"/>
                <w:szCs w:val="21"/>
              </w:rPr>
              <w:t>GB/T 15063-2009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20" w:lineRule="exact"/>
              <w:jc w:val="center"/>
              <w:rPr>
                <w:rFonts w:ascii="宋体" w:hAnsi="宋体"/>
                <w:szCs w:val="21"/>
              </w:rPr>
            </w:pPr>
            <w:r>
              <w:rPr>
                <w:rFonts w:hint="eastAsia" w:ascii="宋体" w:hAnsi="宋体"/>
                <w:szCs w:val="21"/>
              </w:rPr>
              <w:t>粒度</w:t>
            </w:r>
          </w:p>
        </w:tc>
        <w:tc>
          <w:tcPr>
            <w:tcW w:w="2562" w:type="dxa"/>
            <w:vAlign w:val="center"/>
          </w:tcPr>
          <w:p>
            <w:pPr>
              <w:spacing w:line="320" w:lineRule="exact"/>
              <w:jc w:val="center"/>
              <w:rPr>
                <w:rFonts w:ascii="宋体" w:hAnsi="宋体"/>
                <w:szCs w:val="21"/>
              </w:rPr>
            </w:pPr>
            <w:r>
              <w:rPr>
                <w:rFonts w:hint="eastAsia" w:ascii="宋体" w:hAnsi="宋体"/>
                <w:szCs w:val="21"/>
              </w:rPr>
              <w:t>GB/T 21633-2008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60" w:lineRule="exact"/>
              <w:jc w:val="center"/>
              <w:rPr>
                <w:rFonts w:ascii="宋体" w:hAnsi="宋体"/>
                <w:szCs w:val="21"/>
              </w:rPr>
            </w:pPr>
            <w:r>
              <w:rPr>
                <w:rFonts w:hint="eastAsia" w:ascii="宋体" w:hAnsi="宋体"/>
                <w:szCs w:val="21"/>
              </w:rPr>
              <w:t>包装标识</w:t>
            </w:r>
          </w:p>
        </w:tc>
        <w:tc>
          <w:tcPr>
            <w:tcW w:w="2562" w:type="dxa"/>
            <w:vAlign w:val="center"/>
          </w:tcPr>
          <w:p>
            <w:pPr>
              <w:spacing w:line="360" w:lineRule="exact"/>
              <w:jc w:val="center"/>
              <w:rPr>
                <w:rFonts w:ascii="宋体" w:hAnsi="宋体"/>
                <w:szCs w:val="21"/>
              </w:rPr>
            </w:pPr>
            <w:r>
              <w:rPr>
                <w:rFonts w:hint="eastAsia" w:ascii="宋体" w:hAnsi="宋体"/>
                <w:szCs w:val="21"/>
              </w:rPr>
              <w:t>GB 18382-2001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总铅（Pb）</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总镉（Cd）</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总砷（As）</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总铬（Cr）</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tabs>
                <w:tab w:val="left" w:pos="6490"/>
              </w:tabs>
              <w:ind w:right="42" w:rightChars="20" w:firstLine="415" w:firstLineChars="198"/>
              <w:jc w:val="center"/>
              <w:rPr>
                <w:rFonts w:ascii="宋体" w:hAnsi="宋体"/>
                <w:szCs w:val="21"/>
              </w:rPr>
            </w:pPr>
            <w:r>
              <w:rPr>
                <w:rFonts w:hint="eastAsia" w:ascii="宋体" w:hAnsi="宋体"/>
                <w:szCs w:val="21"/>
              </w:rPr>
              <w:t>总汞（Hg）</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60" w:lineRule="exact"/>
              <w:jc w:val="center"/>
              <w:rPr>
                <w:rFonts w:ascii="宋体" w:hAnsi="宋体"/>
                <w:szCs w:val="21"/>
              </w:rPr>
            </w:pPr>
            <w:r>
              <w:rPr>
                <w:rFonts w:hint="eastAsia" w:ascii="宋体" w:hAnsi="宋体"/>
                <w:szCs w:val="21"/>
              </w:rPr>
              <w:t>缩二脲</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891" w:type="dxa"/>
            <w:vAlign w:val="center"/>
          </w:tcPr>
          <w:p>
            <w:pPr>
              <w:numPr>
                <w:ilvl w:val="0"/>
                <w:numId w:val="2"/>
              </w:numPr>
              <w:spacing w:line="320" w:lineRule="exact"/>
              <w:jc w:val="center"/>
              <w:rPr>
                <w:rFonts w:ascii="宋体" w:hAnsi="宋体"/>
                <w:szCs w:val="21"/>
              </w:rPr>
            </w:pPr>
          </w:p>
        </w:tc>
        <w:tc>
          <w:tcPr>
            <w:tcW w:w="2633" w:type="dxa"/>
            <w:vAlign w:val="center"/>
          </w:tcPr>
          <w:p>
            <w:pPr>
              <w:spacing w:line="360" w:lineRule="exact"/>
              <w:jc w:val="center"/>
              <w:rPr>
                <w:rFonts w:ascii="宋体" w:hAnsi="宋体"/>
                <w:szCs w:val="21"/>
              </w:rPr>
            </w:pPr>
            <w:r>
              <w:rPr>
                <w:rFonts w:hint="eastAsia" w:ascii="宋体" w:hAnsi="宋体"/>
                <w:szCs w:val="21"/>
              </w:rPr>
              <w:t>总铊</w:t>
            </w:r>
          </w:p>
        </w:tc>
        <w:tc>
          <w:tcPr>
            <w:tcW w:w="2562" w:type="dxa"/>
            <w:vAlign w:val="center"/>
          </w:tcPr>
          <w:p>
            <w:pPr>
              <w:spacing w:line="360" w:lineRule="exact"/>
              <w:jc w:val="center"/>
              <w:rPr>
                <w:rFonts w:ascii="宋体" w:hAnsi="宋体"/>
                <w:szCs w:val="21"/>
              </w:rPr>
            </w:pPr>
            <w:r>
              <w:rPr>
                <w:rFonts w:hint="eastAsia" w:ascii="宋体" w:hAnsi="宋体"/>
                <w:szCs w:val="21"/>
              </w:rPr>
              <w:t>GB38400-2019</w:t>
            </w:r>
          </w:p>
        </w:tc>
      </w:tr>
    </w:tbl>
    <w:p>
      <w:pPr>
        <w:pStyle w:val="8"/>
        <w:spacing w:line="440" w:lineRule="exact"/>
        <w:ind w:firstLine="0" w:firstLineChars="0"/>
        <w:jc w:val="center"/>
        <w:rPr>
          <w:rFonts w:ascii="宋体" w:hAnsi="宋体" w:eastAsia="宋体"/>
          <w:snapToGrid/>
          <w:kern w:val="2"/>
          <w:sz w:val="21"/>
          <w:szCs w:val="21"/>
        </w:rPr>
      </w:pPr>
      <w:r>
        <w:rPr>
          <w:rFonts w:hint="eastAsia" w:ascii="宋体" w:hAnsi="宋体" w:eastAsia="宋体"/>
          <w:sz w:val="21"/>
          <w:szCs w:val="21"/>
        </w:rPr>
        <w:t xml:space="preserve">表3  </w:t>
      </w:r>
      <w:r>
        <w:rPr>
          <w:rFonts w:hint="eastAsia" w:ascii="宋体" w:hAnsi="宋体" w:eastAsia="宋体"/>
          <w:snapToGrid/>
          <w:kern w:val="2"/>
          <w:sz w:val="21"/>
          <w:szCs w:val="21"/>
        </w:rPr>
        <w:t>有机-无机复混肥料</w:t>
      </w:r>
      <w:r>
        <w:rPr>
          <w:rFonts w:hint="eastAsia" w:ascii="宋体" w:hAnsi="宋体" w:eastAsia="宋体"/>
          <w:sz w:val="21"/>
          <w:szCs w:val="21"/>
        </w:rPr>
        <w:t>检验项目</w:t>
      </w:r>
    </w:p>
    <w:tbl>
      <w:tblPr>
        <w:tblStyle w:val="4"/>
        <w:tblW w:w="7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616"/>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933" w:type="dxa"/>
            <w:vMerge w:val="restart"/>
            <w:vAlign w:val="center"/>
          </w:tcPr>
          <w:p>
            <w:pPr>
              <w:spacing w:line="320" w:lineRule="exact"/>
              <w:jc w:val="center"/>
              <w:rPr>
                <w:rFonts w:ascii="宋体" w:hAnsi="宋体"/>
                <w:szCs w:val="21"/>
              </w:rPr>
            </w:pPr>
            <w:r>
              <w:rPr>
                <w:rFonts w:ascii="宋体" w:hAnsi="宋体"/>
                <w:szCs w:val="21"/>
              </w:rPr>
              <w:t>序号</w:t>
            </w:r>
          </w:p>
        </w:tc>
        <w:tc>
          <w:tcPr>
            <w:tcW w:w="2616" w:type="dxa"/>
            <w:vMerge w:val="restart"/>
            <w:vAlign w:val="center"/>
          </w:tcPr>
          <w:p>
            <w:pPr>
              <w:spacing w:line="320" w:lineRule="exact"/>
              <w:jc w:val="center"/>
              <w:rPr>
                <w:rFonts w:ascii="宋体" w:hAnsi="宋体"/>
                <w:szCs w:val="21"/>
              </w:rPr>
            </w:pPr>
            <w:r>
              <w:rPr>
                <w:rFonts w:ascii="宋体" w:hAnsi="宋体"/>
                <w:szCs w:val="21"/>
              </w:rPr>
              <w:t>检验项目</w:t>
            </w:r>
          </w:p>
        </w:tc>
        <w:tc>
          <w:tcPr>
            <w:tcW w:w="2568" w:type="dxa"/>
            <w:vMerge w:val="restart"/>
            <w:vAlign w:val="center"/>
          </w:tcPr>
          <w:p>
            <w:pPr>
              <w:spacing w:line="320" w:lineRule="exact"/>
              <w:jc w:val="center"/>
              <w:rPr>
                <w:rFonts w:ascii="宋体" w:hAnsi="宋体"/>
                <w:szCs w:val="21"/>
              </w:rPr>
            </w:pPr>
            <w:r>
              <w:rPr>
                <w:rFonts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933" w:type="dxa"/>
            <w:vMerge w:val="continue"/>
            <w:vAlign w:val="center"/>
          </w:tcPr>
          <w:p>
            <w:pPr>
              <w:spacing w:line="320" w:lineRule="exact"/>
              <w:ind w:left="-107" w:leftChars="-51" w:right="-107" w:rightChars="-51"/>
              <w:jc w:val="center"/>
              <w:rPr>
                <w:rFonts w:ascii="宋体" w:hAnsi="宋体"/>
                <w:sz w:val="18"/>
                <w:szCs w:val="18"/>
              </w:rPr>
            </w:pPr>
          </w:p>
        </w:tc>
        <w:tc>
          <w:tcPr>
            <w:tcW w:w="2616" w:type="dxa"/>
            <w:vMerge w:val="continue"/>
            <w:vAlign w:val="center"/>
          </w:tcPr>
          <w:p>
            <w:pPr>
              <w:spacing w:line="320" w:lineRule="exact"/>
              <w:jc w:val="center"/>
              <w:rPr>
                <w:rFonts w:ascii="宋体" w:hAnsi="宋体"/>
                <w:sz w:val="18"/>
                <w:szCs w:val="18"/>
              </w:rPr>
            </w:pPr>
          </w:p>
        </w:tc>
        <w:tc>
          <w:tcPr>
            <w:tcW w:w="2568" w:type="dxa"/>
            <w:vMerge w:val="continue"/>
            <w:vAlign w:val="center"/>
          </w:tcPr>
          <w:p>
            <w:pPr>
              <w:spacing w:line="320" w:lineRule="exact"/>
              <w:ind w:left="-107" w:lef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总氮</w:t>
            </w:r>
          </w:p>
        </w:tc>
        <w:tc>
          <w:tcPr>
            <w:tcW w:w="2568" w:type="dxa"/>
            <w:vAlign w:val="center"/>
          </w:tcPr>
          <w:p>
            <w:pPr>
              <w:jc w:val="center"/>
              <w:rPr>
                <w:rFonts w:ascii="宋体" w:hAnsi="宋体"/>
                <w:szCs w:val="21"/>
              </w:rPr>
            </w:pPr>
            <w:r>
              <w:rPr>
                <w:rFonts w:hint="eastAsia" w:ascii="宋体" w:hAnsi="宋体"/>
                <w:szCs w:val="21"/>
              </w:rPr>
              <w:t>GB/T 17767.1-2008或</w:t>
            </w:r>
          </w:p>
          <w:p>
            <w:pPr>
              <w:jc w:val="center"/>
              <w:rPr>
                <w:rFonts w:ascii="宋体" w:hAnsi="宋体"/>
                <w:szCs w:val="21"/>
              </w:rPr>
            </w:pPr>
            <w:r>
              <w:rPr>
                <w:rFonts w:hint="eastAsia" w:ascii="宋体" w:hAnsi="宋体"/>
                <w:szCs w:val="21"/>
              </w:rPr>
              <w:t>GB/T 22923-2008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有效五氧化二磷</w:t>
            </w:r>
          </w:p>
        </w:tc>
        <w:tc>
          <w:tcPr>
            <w:tcW w:w="2568" w:type="dxa"/>
            <w:vAlign w:val="center"/>
          </w:tcPr>
          <w:p>
            <w:pPr>
              <w:jc w:val="center"/>
              <w:rPr>
                <w:rFonts w:ascii="宋体" w:hAnsi="宋体"/>
                <w:szCs w:val="21"/>
              </w:rPr>
            </w:pPr>
            <w:r>
              <w:rPr>
                <w:rFonts w:hint="eastAsia" w:ascii="宋体" w:hAnsi="宋体"/>
                <w:szCs w:val="21"/>
              </w:rPr>
              <w:t>GB/T 8573-2010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总氧化钾</w:t>
            </w:r>
          </w:p>
        </w:tc>
        <w:tc>
          <w:tcPr>
            <w:tcW w:w="2568" w:type="dxa"/>
            <w:vAlign w:val="center"/>
          </w:tcPr>
          <w:p>
            <w:pPr>
              <w:jc w:val="center"/>
              <w:rPr>
                <w:rFonts w:ascii="宋体" w:hAnsi="宋体"/>
                <w:szCs w:val="21"/>
              </w:rPr>
            </w:pPr>
            <w:r>
              <w:rPr>
                <w:rFonts w:hint="eastAsia" w:ascii="宋体" w:hAnsi="宋体"/>
                <w:szCs w:val="21"/>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总养分</w:t>
            </w:r>
          </w:p>
        </w:tc>
        <w:tc>
          <w:tcPr>
            <w:tcW w:w="2568" w:type="dxa"/>
            <w:vAlign w:val="center"/>
          </w:tcPr>
          <w:p>
            <w:pPr>
              <w:jc w:val="center"/>
              <w:rPr>
                <w:rFonts w:ascii="宋体" w:hAnsi="宋体"/>
                <w:szCs w:val="21"/>
              </w:rPr>
            </w:pPr>
            <w:r>
              <w:rPr>
                <w:rFonts w:hint="eastAsia" w:ascii="宋体" w:hAnsi="宋体"/>
                <w:szCs w:val="21"/>
              </w:rPr>
              <w:t>以上三个标准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氯离子</w:t>
            </w:r>
          </w:p>
        </w:tc>
        <w:tc>
          <w:tcPr>
            <w:tcW w:w="2568" w:type="dxa"/>
            <w:vAlign w:val="center"/>
          </w:tcPr>
          <w:p>
            <w:pPr>
              <w:jc w:val="center"/>
              <w:rPr>
                <w:rFonts w:ascii="宋体" w:hAnsi="宋体"/>
                <w:szCs w:val="21"/>
              </w:rPr>
            </w:pPr>
            <w:r>
              <w:rPr>
                <w:rFonts w:hint="eastAsia" w:ascii="宋体" w:hAnsi="宋体"/>
                <w:szCs w:val="21"/>
              </w:rPr>
              <w:t>GB/T 18877-2009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有机质</w:t>
            </w:r>
          </w:p>
        </w:tc>
        <w:tc>
          <w:tcPr>
            <w:tcW w:w="2568" w:type="dxa"/>
            <w:vAlign w:val="center"/>
          </w:tcPr>
          <w:p>
            <w:pPr>
              <w:jc w:val="center"/>
              <w:rPr>
                <w:rFonts w:ascii="宋体" w:hAnsi="宋体"/>
                <w:szCs w:val="21"/>
              </w:rPr>
            </w:pPr>
            <w:r>
              <w:rPr>
                <w:rFonts w:hint="eastAsia" w:ascii="宋体" w:hAnsi="宋体"/>
                <w:szCs w:val="21"/>
              </w:rPr>
              <w:t>GB/T 18877-2009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酸碱度</w:t>
            </w:r>
          </w:p>
        </w:tc>
        <w:tc>
          <w:tcPr>
            <w:tcW w:w="2568" w:type="dxa"/>
            <w:vAlign w:val="center"/>
          </w:tcPr>
          <w:p>
            <w:pPr>
              <w:jc w:val="center"/>
              <w:rPr>
                <w:rFonts w:ascii="宋体" w:hAnsi="宋体"/>
                <w:szCs w:val="21"/>
              </w:rPr>
            </w:pPr>
            <w:r>
              <w:rPr>
                <w:rFonts w:hint="eastAsia" w:ascii="宋体" w:hAnsi="宋体"/>
                <w:szCs w:val="21"/>
              </w:rPr>
              <w:t>GB/T 18877-2009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蛔虫卵死亡率</w:t>
            </w:r>
          </w:p>
        </w:tc>
        <w:tc>
          <w:tcPr>
            <w:tcW w:w="2568" w:type="dxa"/>
            <w:vAlign w:val="center"/>
          </w:tcPr>
          <w:p>
            <w:pPr>
              <w:jc w:val="center"/>
              <w:rPr>
                <w:rFonts w:ascii="宋体" w:hAnsi="宋体"/>
                <w:szCs w:val="21"/>
              </w:rPr>
            </w:pPr>
            <w:r>
              <w:rPr>
                <w:rFonts w:hint="eastAsia" w:ascii="宋体" w:hAnsi="宋体"/>
                <w:szCs w:val="21"/>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粪大肠菌群数</w:t>
            </w:r>
          </w:p>
        </w:tc>
        <w:tc>
          <w:tcPr>
            <w:tcW w:w="2568" w:type="dxa"/>
            <w:vAlign w:val="center"/>
          </w:tcPr>
          <w:p>
            <w:pPr>
              <w:jc w:val="center"/>
              <w:rPr>
                <w:rFonts w:ascii="宋体" w:hAnsi="宋体"/>
                <w:szCs w:val="21"/>
              </w:rPr>
            </w:pPr>
            <w:r>
              <w:rPr>
                <w:rFonts w:hint="eastAsia" w:ascii="宋体" w:hAnsi="宋体"/>
                <w:szCs w:val="21"/>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铅（Pb）含量</w:t>
            </w:r>
          </w:p>
        </w:tc>
        <w:tc>
          <w:tcPr>
            <w:tcW w:w="2568" w:type="dxa"/>
            <w:vAlign w:val="center"/>
          </w:tcPr>
          <w:p>
            <w:pPr>
              <w:jc w:val="center"/>
              <w:rPr>
                <w:rFonts w:ascii="宋体" w:hAnsi="宋体"/>
                <w:szCs w:val="21"/>
              </w:rPr>
            </w:pPr>
            <w:r>
              <w:rPr>
                <w:rFonts w:hint="eastAsia" w:ascii="宋体" w:hAnsi="宋体"/>
                <w:szCs w:val="21"/>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镉（Cd）含量</w:t>
            </w:r>
          </w:p>
        </w:tc>
        <w:tc>
          <w:tcPr>
            <w:tcW w:w="2568" w:type="dxa"/>
            <w:vAlign w:val="center"/>
          </w:tcPr>
          <w:p>
            <w:pPr>
              <w:jc w:val="center"/>
              <w:rPr>
                <w:rFonts w:ascii="宋体" w:hAnsi="宋体"/>
                <w:szCs w:val="21"/>
              </w:rPr>
            </w:pPr>
            <w:r>
              <w:rPr>
                <w:rFonts w:hint="eastAsia" w:ascii="宋体" w:hAnsi="宋体"/>
                <w:szCs w:val="21"/>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砷（As）含量</w:t>
            </w:r>
          </w:p>
        </w:tc>
        <w:tc>
          <w:tcPr>
            <w:tcW w:w="2568" w:type="dxa"/>
            <w:vAlign w:val="center"/>
          </w:tcPr>
          <w:p>
            <w:pPr>
              <w:jc w:val="center"/>
              <w:rPr>
                <w:rFonts w:ascii="宋体" w:hAnsi="宋体"/>
                <w:szCs w:val="21"/>
              </w:rPr>
            </w:pPr>
            <w:r>
              <w:rPr>
                <w:rFonts w:hint="eastAsia" w:ascii="宋体" w:hAnsi="宋体"/>
                <w:szCs w:val="21"/>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铬（Cr）含量</w:t>
            </w:r>
          </w:p>
        </w:tc>
        <w:tc>
          <w:tcPr>
            <w:tcW w:w="2568" w:type="dxa"/>
            <w:vAlign w:val="center"/>
          </w:tcPr>
          <w:p>
            <w:pPr>
              <w:jc w:val="center"/>
              <w:rPr>
                <w:rFonts w:ascii="宋体" w:hAnsi="宋体"/>
                <w:szCs w:val="21"/>
              </w:rPr>
            </w:pPr>
            <w:r>
              <w:rPr>
                <w:rFonts w:hint="eastAsia" w:ascii="宋体" w:hAnsi="宋体"/>
                <w:szCs w:val="21"/>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汞（Hg）含量</w:t>
            </w:r>
          </w:p>
        </w:tc>
        <w:tc>
          <w:tcPr>
            <w:tcW w:w="2568" w:type="dxa"/>
            <w:vAlign w:val="center"/>
          </w:tcPr>
          <w:p>
            <w:pPr>
              <w:jc w:val="center"/>
              <w:rPr>
                <w:rFonts w:ascii="宋体" w:hAnsi="宋体"/>
                <w:szCs w:val="21"/>
              </w:rPr>
            </w:pPr>
            <w:r>
              <w:rPr>
                <w:rFonts w:hint="eastAsia" w:ascii="宋体" w:hAnsi="宋体"/>
                <w:szCs w:val="21"/>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粒度</w:t>
            </w:r>
          </w:p>
        </w:tc>
        <w:tc>
          <w:tcPr>
            <w:tcW w:w="2568" w:type="dxa"/>
            <w:vAlign w:val="center"/>
          </w:tcPr>
          <w:p>
            <w:pPr>
              <w:jc w:val="center"/>
              <w:rPr>
                <w:rFonts w:ascii="宋体" w:hAnsi="宋体"/>
                <w:szCs w:val="21"/>
              </w:rPr>
            </w:pPr>
            <w:r>
              <w:rPr>
                <w:rFonts w:ascii="宋体" w:hAnsi="宋体"/>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20" w:lineRule="exact"/>
              <w:jc w:val="center"/>
              <w:rPr>
                <w:rFonts w:ascii="宋体" w:hAnsi="宋体"/>
                <w:szCs w:val="21"/>
              </w:rPr>
            </w:pPr>
            <w:r>
              <w:rPr>
                <w:rFonts w:hint="eastAsia" w:ascii="宋体" w:hAnsi="宋体"/>
                <w:szCs w:val="21"/>
              </w:rPr>
              <w:t>包装标识</w:t>
            </w:r>
          </w:p>
        </w:tc>
        <w:tc>
          <w:tcPr>
            <w:tcW w:w="2568" w:type="dxa"/>
            <w:vAlign w:val="center"/>
          </w:tcPr>
          <w:p>
            <w:pPr>
              <w:jc w:val="center"/>
              <w:rPr>
                <w:rFonts w:ascii="宋体" w:hAnsi="宋体"/>
                <w:szCs w:val="21"/>
              </w:rPr>
            </w:pPr>
            <w:r>
              <w:rPr>
                <w:rFonts w:hint="eastAsia" w:ascii="宋体" w:hAnsi="宋体"/>
                <w:szCs w:val="21"/>
              </w:rPr>
              <w:t>GB 18382-2001</w:t>
            </w:r>
          </w:p>
          <w:p>
            <w:pPr>
              <w:jc w:val="center"/>
              <w:rPr>
                <w:rFonts w:ascii="宋体" w:hAnsi="宋体"/>
                <w:szCs w:val="21"/>
              </w:rPr>
            </w:pPr>
            <w:r>
              <w:rPr>
                <w:rFonts w:hint="eastAsia" w:ascii="宋体" w:hAnsi="宋体"/>
                <w:szCs w:val="21"/>
              </w:rPr>
              <w:t>GB/T 18877-2009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60" w:lineRule="exact"/>
              <w:jc w:val="center"/>
              <w:rPr>
                <w:rFonts w:ascii="宋体" w:hAnsi="宋体"/>
                <w:szCs w:val="21"/>
              </w:rPr>
            </w:pPr>
            <w:r>
              <w:rPr>
                <w:rFonts w:hint="eastAsia" w:ascii="宋体" w:hAnsi="宋体"/>
                <w:szCs w:val="21"/>
              </w:rPr>
              <w:t>缩二脲</w:t>
            </w:r>
          </w:p>
        </w:tc>
        <w:tc>
          <w:tcPr>
            <w:tcW w:w="2568" w:type="dxa"/>
            <w:vAlign w:val="center"/>
          </w:tcPr>
          <w:p>
            <w:pPr>
              <w:spacing w:line="360" w:lineRule="exact"/>
              <w:jc w:val="center"/>
              <w:rPr>
                <w:rFonts w:ascii="宋体" w:hAnsi="宋体"/>
                <w:szCs w:val="21"/>
              </w:rPr>
            </w:pPr>
            <w:r>
              <w:rPr>
                <w:rFonts w:hint="eastAsia" w:ascii="宋体" w:hAnsi="宋体"/>
                <w:szCs w:val="21"/>
              </w:rPr>
              <w:t>GB/T22924-2008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3" w:type="dxa"/>
            <w:vAlign w:val="center"/>
          </w:tcPr>
          <w:p>
            <w:pPr>
              <w:numPr>
                <w:ilvl w:val="0"/>
                <w:numId w:val="3"/>
              </w:numPr>
              <w:spacing w:line="320" w:lineRule="exact"/>
              <w:jc w:val="center"/>
              <w:rPr>
                <w:rFonts w:ascii="宋体" w:hAnsi="宋体"/>
                <w:szCs w:val="21"/>
              </w:rPr>
            </w:pPr>
          </w:p>
        </w:tc>
        <w:tc>
          <w:tcPr>
            <w:tcW w:w="2616" w:type="dxa"/>
            <w:vAlign w:val="center"/>
          </w:tcPr>
          <w:p>
            <w:pPr>
              <w:spacing w:line="360" w:lineRule="exact"/>
              <w:jc w:val="center"/>
              <w:rPr>
                <w:rFonts w:ascii="宋体" w:hAnsi="宋体"/>
                <w:szCs w:val="21"/>
              </w:rPr>
            </w:pPr>
            <w:r>
              <w:rPr>
                <w:rFonts w:hint="eastAsia" w:ascii="宋体" w:hAnsi="宋体"/>
                <w:szCs w:val="21"/>
              </w:rPr>
              <w:t>总铊</w:t>
            </w:r>
          </w:p>
        </w:tc>
        <w:tc>
          <w:tcPr>
            <w:tcW w:w="2568" w:type="dxa"/>
            <w:vAlign w:val="center"/>
          </w:tcPr>
          <w:p>
            <w:pPr>
              <w:spacing w:line="360" w:lineRule="exact"/>
              <w:jc w:val="center"/>
              <w:rPr>
                <w:rFonts w:ascii="宋体" w:hAnsi="宋体"/>
                <w:szCs w:val="21"/>
              </w:rPr>
            </w:pPr>
            <w:r>
              <w:rPr>
                <w:rFonts w:hint="eastAsia" w:ascii="宋体" w:hAnsi="宋体"/>
                <w:szCs w:val="21"/>
              </w:rPr>
              <w:t>GB38400-2019</w:t>
            </w:r>
          </w:p>
        </w:tc>
      </w:tr>
    </w:tbl>
    <w:p/>
    <w:p>
      <w:pPr>
        <w:spacing w:line="360" w:lineRule="auto"/>
        <w:rPr>
          <w:rFonts w:ascii="黑体" w:hAnsi="黑体" w:eastAsia="黑体"/>
          <w:szCs w:val="21"/>
        </w:rPr>
      </w:pPr>
      <w:r>
        <w:rPr>
          <w:rFonts w:hint="eastAsia" w:ascii="黑体" w:hAnsi="黑体" w:eastAsia="黑体"/>
          <w:szCs w:val="21"/>
        </w:rPr>
        <w:t>3 判定规则</w:t>
      </w:r>
    </w:p>
    <w:p>
      <w:pPr>
        <w:snapToGrid w:val="0"/>
        <w:spacing w:line="360" w:lineRule="auto"/>
        <w:rPr>
          <w:rFonts w:ascii="宋体" w:hAnsi="宋体"/>
          <w:szCs w:val="21"/>
        </w:rPr>
      </w:pPr>
      <w:r>
        <w:rPr>
          <w:rFonts w:hint="eastAsia" w:ascii="宋体" w:hAnsi="宋体"/>
          <w:szCs w:val="21"/>
        </w:rPr>
        <w:t>3.1依据标准</w:t>
      </w:r>
    </w:p>
    <w:p>
      <w:pPr>
        <w:spacing w:line="360" w:lineRule="auto"/>
        <w:rPr>
          <w:rFonts w:ascii="宋体" w:hAnsi="宋体" w:cs="宋体"/>
          <w:snapToGrid w:val="0"/>
          <w:szCs w:val="21"/>
        </w:rPr>
      </w:pPr>
      <w:r>
        <w:rPr>
          <w:rFonts w:hint="eastAsia" w:ascii="宋体" w:hAnsi="宋体" w:cs="宋体"/>
          <w:snapToGrid w:val="0"/>
          <w:szCs w:val="21"/>
        </w:rPr>
        <w:t>GB/T 15063-2020     复合肥料</w:t>
      </w:r>
    </w:p>
    <w:p>
      <w:pPr>
        <w:spacing w:line="360" w:lineRule="auto"/>
        <w:rPr>
          <w:rFonts w:ascii="宋体" w:hAnsi="宋体" w:cs="宋体"/>
          <w:snapToGrid w:val="0"/>
          <w:szCs w:val="21"/>
        </w:rPr>
      </w:pPr>
      <w:r>
        <w:rPr>
          <w:rFonts w:hint="eastAsia" w:ascii="宋体" w:hAnsi="宋体" w:cs="宋体"/>
          <w:snapToGrid w:val="0"/>
          <w:szCs w:val="21"/>
        </w:rPr>
        <w:t>GB/T 21633-2020     掺混肥料（BB肥）</w:t>
      </w:r>
    </w:p>
    <w:p>
      <w:pPr>
        <w:spacing w:line="360" w:lineRule="auto"/>
        <w:rPr>
          <w:rFonts w:ascii="宋体" w:hAnsi="宋体" w:cs="宋体"/>
          <w:snapToGrid w:val="0"/>
          <w:szCs w:val="21"/>
        </w:rPr>
      </w:pPr>
      <w:r>
        <w:rPr>
          <w:rFonts w:hint="eastAsia" w:ascii="宋体" w:hAnsi="宋体" w:cs="宋体"/>
          <w:snapToGrid w:val="0"/>
          <w:szCs w:val="21"/>
        </w:rPr>
        <w:t>GB/T 18877-2020     有机-无机复混肥料</w:t>
      </w:r>
    </w:p>
    <w:p>
      <w:pPr>
        <w:spacing w:line="360" w:lineRule="auto"/>
        <w:ind w:right="42" w:rightChars="20"/>
        <w:jc w:val="left"/>
        <w:rPr>
          <w:rFonts w:ascii="宋体" w:hAnsi="宋体" w:cs="宋体"/>
          <w:snapToGrid w:val="0"/>
          <w:szCs w:val="21"/>
        </w:rPr>
      </w:pPr>
      <w:r>
        <w:rPr>
          <w:rFonts w:hint="eastAsia" w:ascii="宋体" w:hAnsi="宋体" w:cs="宋体"/>
          <w:snapToGrid w:val="0"/>
          <w:szCs w:val="21"/>
        </w:rPr>
        <w:t>GB 18382-2001       肥料标识 内容和要求</w:t>
      </w:r>
    </w:p>
    <w:p>
      <w:pPr>
        <w:snapToGrid w:val="0"/>
        <w:spacing w:line="360" w:lineRule="auto"/>
        <w:ind w:firstLine="420" w:firstLineChars="200"/>
        <w:rPr>
          <w:rFonts w:ascii="宋体" w:hAnsi="宋体"/>
          <w:szCs w:val="21"/>
        </w:rPr>
      </w:pPr>
      <w:r>
        <w:rPr>
          <w:rFonts w:hint="eastAsia" w:ascii="宋体" w:hAnsi="宋体"/>
          <w:szCs w:val="21"/>
        </w:rPr>
        <w:t>现行有效的企业标准及产品明示质量要求</w:t>
      </w:r>
    </w:p>
    <w:p>
      <w:pPr>
        <w:snapToGrid w:val="0"/>
        <w:spacing w:line="360" w:lineRule="auto"/>
        <w:rPr>
          <w:rFonts w:ascii="宋体" w:hAnsi="宋体"/>
          <w:szCs w:val="21"/>
        </w:rPr>
      </w:pPr>
      <w:r>
        <w:rPr>
          <w:rFonts w:hint="eastAsia" w:ascii="宋体" w:hAnsi="宋体"/>
          <w:szCs w:val="21"/>
        </w:rPr>
        <w:t>3.2判定原则</w:t>
      </w:r>
    </w:p>
    <w:p>
      <w:pPr>
        <w:spacing w:line="360" w:lineRule="auto"/>
        <w:ind w:right="42" w:rightChars="20" w:firstLine="415" w:firstLineChars="198"/>
        <w:jc w:val="left"/>
        <w:rPr>
          <w:rFonts w:ascii="宋体" w:hAnsi="宋体"/>
          <w:szCs w:val="21"/>
        </w:rPr>
      </w:pPr>
      <w:r>
        <w:rPr>
          <w:rFonts w:hint="eastAsia" w:ascii="宋体" w:hAnsi="宋体"/>
          <w:szCs w:val="21"/>
        </w:rPr>
        <w:t>经检验，检验项目全部合格，判定为被抽查产品未发现不合格；检验项目中任一项或一项以上不合格，判定为被抽查产品不合格。</w:t>
      </w:r>
    </w:p>
    <w:p>
      <w:pPr>
        <w:snapToGrid w:val="0"/>
        <w:spacing w:line="360" w:lineRule="auto"/>
        <w:ind w:firstLine="417" w:firstLineChars="199"/>
        <w:rPr>
          <w:rFonts w:ascii="宋体" w:hAnsi="宋体"/>
          <w:szCs w:val="21"/>
        </w:rPr>
      </w:pPr>
      <w:r>
        <w:rPr>
          <w:rFonts w:hint="eastAsia" w:ascii="宋体" w:hAnsi="宋体"/>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hAnsi="宋体"/>
          <w:szCs w:val="21"/>
        </w:rPr>
      </w:pPr>
      <w:r>
        <w:rPr>
          <w:rFonts w:hint="eastAsia" w:ascii="宋体" w:hAnsi="宋体"/>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若被检产品明示的质量要求低于或包含本细则中检验项目依据的推荐性标准要求时，应以被检产品明示的质量要求判定，但应在检验报告备注中进行说明。</w:t>
      </w:r>
    </w:p>
    <w:p>
      <w:pPr>
        <w:snapToGrid w:val="0"/>
        <w:spacing w:line="360" w:lineRule="auto"/>
        <w:ind w:firstLine="417" w:firstLineChars="199"/>
        <w:rPr>
          <w:rFonts w:ascii="宋体" w:hAnsi="宋体"/>
          <w:szCs w:val="21"/>
        </w:rPr>
      </w:pPr>
      <w:r>
        <w:rPr>
          <w:rFonts w:hint="eastAsia" w:ascii="宋体" w:hAnsi="宋体"/>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宋体" w:hAnsi="宋体"/>
          <w:szCs w:val="21"/>
        </w:rPr>
      </w:pPr>
      <w:r>
        <w:rPr>
          <w:rFonts w:hint="eastAsia" w:ascii="宋体" w:hAnsi="宋体"/>
          <w:szCs w:val="21"/>
        </w:rPr>
        <w:t>若被检产品明示的质量要求缺少本细则中检验项目依据的推荐性标准要求时，该项目不参与判定，但应在检验报告备注中进行说明。</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书宋二">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EBA"/>
    <w:multiLevelType w:val="multilevel"/>
    <w:tmpl w:val="01A94E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8E6E88"/>
    <w:multiLevelType w:val="multilevel"/>
    <w:tmpl w:val="438E6E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003227"/>
    <w:multiLevelType w:val="multilevel"/>
    <w:tmpl w:val="6B00322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A0"/>
    <w:rsid w:val="000B0AEC"/>
    <w:rsid w:val="000F4E56"/>
    <w:rsid w:val="001067F9"/>
    <w:rsid w:val="0012727D"/>
    <w:rsid w:val="001B2A3B"/>
    <w:rsid w:val="001F39DD"/>
    <w:rsid w:val="002E7B69"/>
    <w:rsid w:val="00313607"/>
    <w:rsid w:val="003F40CE"/>
    <w:rsid w:val="0045799D"/>
    <w:rsid w:val="00595BCA"/>
    <w:rsid w:val="005B1A3E"/>
    <w:rsid w:val="005F71CE"/>
    <w:rsid w:val="007068EE"/>
    <w:rsid w:val="00754245"/>
    <w:rsid w:val="008018CD"/>
    <w:rsid w:val="00861E66"/>
    <w:rsid w:val="00937D99"/>
    <w:rsid w:val="00960EC9"/>
    <w:rsid w:val="0098187F"/>
    <w:rsid w:val="00A97F73"/>
    <w:rsid w:val="00AF0F3D"/>
    <w:rsid w:val="00B653A3"/>
    <w:rsid w:val="00BF6052"/>
    <w:rsid w:val="00C216A0"/>
    <w:rsid w:val="00D06176"/>
    <w:rsid w:val="00DD7DC9"/>
    <w:rsid w:val="00ED0772"/>
    <w:rsid w:val="00FA781A"/>
    <w:rsid w:val="17B77197"/>
    <w:rsid w:val="312D54C9"/>
    <w:rsid w:val="46D6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肥料正文"/>
    <w:basedOn w:val="1"/>
    <w:uiPriority w:val="0"/>
    <w:pPr>
      <w:adjustRightInd w:val="0"/>
      <w:snapToGrid w:val="0"/>
      <w:spacing w:line="317" w:lineRule="auto"/>
      <w:ind w:firstLine="200" w:firstLineChars="200"/>
    </w:pPr>
    <w:rPr>
      <w:rFonts w:eastAsia="汉鼎简书宋二"/>
      <w:snapToGrid w:val="0"/>
      <w:spacing w:val="2"/>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399</Words>
  <Characters>2278</Characters>
  <Lines>18</Lines>
  <Paragraphs>5</Paragraphs>
  <TotalTime>5</TotalTime>
  <ScaleCrop>false</ScaleCrop>
  <LinksUpToDate>false</LinksUpToDate>
  <CharactersWithSpaces>2672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2022-03-22T08:46:00Z</dcterms:created>
  <dc:creator>lenovo</dc:creator>
  <cp:lastModifiedBy>宋超</cp:lastModifiedBy>
  <dcterms:modified xsi:type="dcterms:W3CDTF">2022-03-29T01:29:10Z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