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both"/>
        <w:rPr>
          <w:rFonts w:hint="default" w:ascii="方正小标宋简体" w:hAnsi="仿宋" w:eastAsia="方正小标宋简体" w:cs="方正仿宋简体"/>
          <w:color w:val="auto"/>
          <w:sz w:val="32"/>
          <w:szCs w:val="32"/>
          <w:lang w:val="en-US" w:eastAsia="zh-CN"/>
        </w:rPr>
      </w:pPr>
      <w:r>
        <w:rPr>
          <w:rFonts w:hint="eastAsia" w:ascii="方正小标宋简体" w:hAnsi="仿宋" w:eastAsia="方正小标宋简体" w:cs="方正仿宋简体"/>
          <w:color w:val="auto"/>
          <w:sz w:val="32"/>
          <w:szCs w:val="32"/>
          <w:lang w:val="en-US" w:eastAsia="zh-CN"/>
        </w:rPr>
        <w:t>附件14</w:t>
      </w:r>
      <w:bookmarkStart w:id="0" w:name="_GoBack"/>
      <w:bookmarkEnd w:id="0"/>
    </w:p>
    <w:p>
      <w:pPr>
        <w:snapToGrid w:val="0"/>
        <w:spacing w:line="360" w:lineRule="auto"/>
        <w:jc w:val="center"/>
        <w:rPr>
          <w:rFonts w:hint="eastAsia" w:ascii="方正小标宋简体" w:hAnsi="仿宋" w:eastAsia="方正小标宋简体" w:cs="方正仿宋简体"/>
          <w:color w:val="000000"/>
          <w:sz w:val="32"/>
          <w:szCs w:val="32"/>
        </w:rPr>
      </w:pPr>
      <w:r>
        <w:rPr>
          <w:rFonts w:hint="eastAsia" w:ascii="方正小标宋简体" w:hAnsi="仿宋" w:eastAsia="方正小标宋简体" w:cs="方正仿宋简体"/>
          <w:color w:val="auto"/>
          <w:sz w:val="32"/>
          <w:szCs w:val="32"/>
          <w:lang w:val="en-US" w:eastAsia="zh-CN"/>
        </w:rPr>
        <w:t>陕西省</w:t>
      </w:r>
      <w:r>
        <w:rPr>
          <w:rFonts w:hint="eastAsia" w:ascii="方正小标宋简体" w:hAnsi="仿宋" w:eastAsia="方正小标宋简体" w:cs="方正仿宋简体"/>
          <w:color w:val="000000"/>
          <w:sz w:val="32"/>
          <w:szCs w:val="32"/>
          <w:lang w:val="en-US" w:eastAsia="zh-CN"/>
        </w:rPr>
        <w:t>摩托车乘员头盔</w:t>
      </w:r>
      <w:r>
        <w:rPr>
          <w:rFonts w:hint="eastAsia" w:ascii="方正小标宋简体" w:hAnsi="仿宋" w:eastAsia="方正小标宋简体" w:cs="方正仿宋简体"/>
          <w:color w:val="000000"/>
          <w:sz w:val="32"/>
          <w:szCs w:val="32"/>
        </w:rPr>
        <w:t>产品质量监督抽查实施细则</w:t>
      </w:r>
    </w:p>
    <w:p>
      <w:pPr>
        <w:snapToGrid w:val="0"/>
        <w:spacing w:line="360" w:lineRule="auto"/>
        <w:jc w:val="center"/>
        <w:rPr>
          <w:rFonts w:hint="eastAsia" w:ascii="宋体" w:hAnsi="宋体" w:cs="方正仿宋简体"/>
          <w:b/>
          <w:color w:val="000000"/>
          <w:kern w:val="0"/>
          <w:sz w:val="32"/>
          <w:szCs w:val="32"/>
        </w:rPr>
      </w:pPr>
    </w:p>
    <w:p>
      <w:pPr>
        <w:snapToGrid w:val="0"/>
        <w:spacing w:line="440" w:lineRule="exact"/>
        <w:rPr>
          <w:rFonts w:ascii="宋体" w:hAnsi="宋体"/>
          <w:b/>
          <w:color w:val="000000"/>
          <w:szCs w:val="21"/>
        </w:rPr>
      </w:pPr>
      <w:r>
        <w:rPr>
          <w:rFonts w:hint="eastAsia" w:ascii="宋体" w:hAnsi="宋体"/>
          <w:b/>
          <w:color w:val="000000"/>
          <w:szCs w:val="21"/>
        </w:rPr>
        <w:t>1 抽样方法</w:t>
      </w:r>
    </w:p>
    <w:p>
      <w:pPr>
        <w:snapToGrid w:val="0"/>
        <w:spacing w:line="440" w:lineRule="exact"/>
        <w:ind w:firstLine="420" w:firstLineChars="200"/>
        <w:rPr>
          <w:color w:val="000000"/>
          <w:szCs w:val="21"/>
        </w:rPr>
      </w:pPr>
      <w:r>
        <w:rPr>
          <w:rFonts w:hAnsi="宋体"/>
          <w:color w:val="000000"/>
          <w:szCs w:val="21"/>
        </w:rPr>
        <w:t>以随机抽样的方式在被抽样生产者、销售者的待销产品中抽取。</w:t>
      </w:r>
    </w:p>
    <w:p>
      <w:pPr>
        <w:snapToGrid w:val="0"/>
        <w:spacing w:line="440" w:lineRule="exact"/>
        <w:ind w:firstLine="420" w:firstLineChars="200"/>
        <w:rPr>
          <w:rFonts w:hAnsi="宋体"/>
          <w:color w:val="000000"/>
          <w:szCs w:val="21"/>
        </w:rPr>
      </w:pPr>
      <w:r>
        <w:rPr>
          <w:rFonts w:hint="eastAsia" w:hAnsi="宋体"/>
          <w:color w:val="000000"/>
          <w:szCs w:val="21"/>
        </w:rPr>
        <w:t>随机数一般可使用随机数表等方法产生。</w:t>
      </w:r>
    </w:p>
    <w:p>
      <w:pPr>
        <w:snapToGrid w:val="0"/>
        <w:spacing w:line="440" w:lineRule="exact"/>
        <w:ind w:firstLine="420" w:firstLineChars="200"/>
        <w:rPr>
          <w:rFonts w:hAnsi="宋体"/>
          <w:color w:val="000000"/>
          <w:szCs w:val="21"/>
        </w:rPr>
      </w:pPr>
      <w:r>
        <w:rPr>
          <w:rFonts w:hAnsi="宋体"/>
          <w:color w:val="000000"/>
          <w:szCs w:val="21"/>
        </w:rPr>
        <w:t>每批次抽取样品2顶，其中检验样品1顶，备用样品1顶。</w:t>
      </w:r>
    </w:p>
    <w:p>
      <w:pPr>
        <w:snapToGrid w:val="0"/>
        <w:spacing w:line="440" w:lineRule="exact"/>
        <w:rPr>
          <w:rFonts w:hint="default" w:ascii="宋体" w:hAnsi="宋体" w:eastAsia="宋体"/>
          <w:b/>
          <w:color w:val="000000"/>
          <w:szCs w:val="21"/>
          <w:lang w:val="en-US" w:eastAsia="zh-CN"/>
        </w:rPr>
      </w:pPr>
      <w:r>
        <w:rPr>
          <w:rFonts w:hint="eastAsia" w:ascii="宋体" w:hAnsi="宋体"/>
          <w:b/>
          <w:color w:val="000000"/>
          <w:szCs w:val="21"/>
        </w:rPr>
        <w:t xml:space="preserve">2 </w:t>
      </w:r>
      <w:r>
        <w:rPr>
          <w:rFonts w:hint="eastAsia" w:ascii="宋体" w:hAnsi="宋体"/>
          <w:b/>
          <w:color w:val="000000"/>
          <w:szCs w:val="21"/>
          <w:lang w:val="en-US" w:eastAsia="zh-CN"/>
        </w:rPr>
        <w:t>检验项目及检验方法</w:t>
      </w:r>
    </w:p>
    <w:p>
      <w:pPr>
        <w:snapToGrid w:val="0"/>
        <w:spacing w:line="440" w:lineRule="exact"/>
        <w:jc w:val="center"/>
        <w:rPr>
          <w:rFonts w:hint="default" w:ascii="宋体" w:hAnsi="宋体" w:eastAsia="宋体"/>
          <w:color w:val="000000"/>
          <w:szCs w:val="21"/>
          <w:lang w:val="en-US" w:eastAsia="zh-CN"/>
        </w:rPr>
      </w:pPr>
      <w:r>
        <w:rPr>
          <w:rFonts w:hint="eastAsia" w:ascii="宋体" w:hAnsi="宋体"/>
          <w:color w:val="000000"/>
          <w:szCs w:val="21"/>
        </w:rPr>
        <w:t>表1 摩托车乘员头盔产品检验项目</w:t>
      </w:r>
      <w:r>
        <w:rPr>
          <w:rFonts w:hint="eastAsia" w:ascii="宋体" w:hAnsi="宋体"/>
          <w:color w:val="000000"/>
          <w:szCs w:val="21"/>
          <w:lang w:eastAsia="zh-CN"/>
        </w:rPr>
        <w:t>、</w:t>
      </w:r>
      <w:r>
        <w:rPr>
          <w:rFonts w:hint="eastAsia" w:ascii="宋体" w:hAnsi="宋体"/>
          <w:color w:val="000000"/>
          <w:szCs w:val="21"/>
          <w:lang w:val="en-US" w:eastAsia="zh-CN"/>
        </w:rPr>
        <w:t>检验依据及检验方法</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2348"/>
        <w:gridCol w:w="2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712" w:type="dxa"/>
            <w:noWrap w:val="0"/>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序号</w:t>
            </w:r>
          </w:p>
        </w:tc>
        <w:tc>
          <w:tcPr>
            <w:tcW w:w="2348" w:type="dxa"/>
            <w:noWrap w:val="0"/>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检验项目</w:t>
            </w:r>
          </w:p>
        </w:tc>
        <w:tc>
          <w:tcPr>
            <w:tcW w:w="2759" w:type="dxa"/>
            <w:noWrap w:val="0"/>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712" w:type="dxa"/>
            <w:noWrap w:val="0"/>
            <w:vAlign w:val="center"/>
          </w:tcPr>
          <w:p>
            <w:pPr>
              <w:snapToGrid w:val="0"/>
              <w:spacing w:line="400" w:lineRule="exact"/>
              <w:jc w:val="center"/>
              <w:rPr>
                <w:rFonts w:hint="eastAsia" w:ascii="宋体" w:hAnsi="宋体"/>
                <w:color w:val="000000"/>
                <w:szCs w:val="21"/>
              </w:rPr>
            </w:pPr>
            <w:r>
              <w:rPr>
                <w:rFonts w:hint="eastAsia" w:ascii="宋体" w:hAnsi="宋体"/>
                <w:color w:val="000000"/>
                <w:szCs w:val="21"/>
              </w:rPr>
              <w:t>1</w:t>
            </w:r>
          </w:p>
        </w:tc>
        <w:tc>
          <w:tcPr>
            <w:tcW w:w="2348" w:type="dxa"/>
            <w:noWrap w:val="0"/>
            <w:vAlign w:val="center"/>
          </w:tcPr>
          <w:p>
            <w:pPr>
              <w:snapToGrid w:val="0"/>
              <w:jc w:val="center"/>
              <w:rPr>
                <w:rFonts w:hint="eastAsia" w:ascii="宋体" w:hAnsi="宋体"/>
                <w:szCs w:val="21"/>
              </w:rPr>
            </w:pPr>
            <w:r>
              <w:rPr>
                <w:rFonts w:hint="eastAsia" w:ascii="宋体" w:hAnsi="宋体" w:eastAsia="宋体"/>
                <w:color w:val="000000"/>
                <w:szCs w:val="21"/>
                <w:lang w:val="en-US" w:eastAsia="zh-CN"/>
              </w:rPr>
              <w:t>结构</w:t>
            </w:r>
          </w:p>
        </w:tc>
        <w:tc>
          <w:tcPr>
            <w:tcW w:w="2759" w:type="dxa"/>
            <w:noWrap w:val="0"/>
            <w:vAlign w:val="center"/>
          </w:tcPr>
          <w:p>
            <w:pPr>
              <w:jc w:val="center"/>
              <w:rPr>
                <w:rFonts w:hint="default" w:ascii="宋体" w:hAnsi="宋体"/>
                <w:kern w:val="0"/>
                <w:szCs w:val="21"/>
                <w:lang w:val="en-US"/>
              </w:rPr>
            </w:pPr>
            <w:r>
              <w:rPr>
                <w:rFonts w:hint="eastAsia" w:ascii="宋体" w:hAnsi="宋体"/>
                <w:kern w:val="0"/>
                <w:szCs w:val="21"/>
                <w:lang w:val="en-US" w:eastAsia="zh-CN"/>
              </w:rPr>
              <w:t>GB 811-2010 中5.2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712" w:type="dxa"/>
            <w:noWrap w:val="0"/>
            <w:vAlign w:val="center"/>
          </w:tcPr>
          <w:p>
            <w:pPr>
              <w:snapToGrid w:val="0"/>
              <w:spacing w:line="400" w:lineRule="exact"/>
              <w:jc w:val="center"/>
              <w:rPr>
                <w:rFonts w:hint="eastAsia" w:ascii="宋体" w:hAnsi="宋体"/>
                <w:color w:val="000000"/>
                <w:szCs w:val="21"/>
              </w:rPr>
            </w:pPr>
            <w:r>
              <w:rPr>
                <w:rFonts w:hint="eastAsia" w:ascii="宋体" w:hAnsi="宋体"/>
                <w:color w:val="000000"/>
                <w:szCs w:val="21"/>
              </w:rPr>
              <w:t>2</w:t>
            </w:r>
          </w:p>
        </w:tc>
        <w:tc>
          <w:tcPr>
            <w:tcW w:w="2348" w:type="dxa"/>
            <w:noWrap w:val="0"/>
            <w:vAlign w:val="center"/>
          </w:tcPr>
          <w:p>
            <w:pPr>
              <w:snapToGrid w:val="0"/>
              <w:jc w:val="center"/>
              <w:rPr>
                <w:rStyle w:val="9"/>
                <w:rFonts w:hint="eastAsia" w:ascii="宋体" w:hAnsi="宋体"/>
                <w:szCs w:val="21"/>
              </w:rPr>
            </w:pPr>
            <w:r>
              <w:rPr>
                <w:rFonts w:hint="eastAsia" w:eastAsia="宋体"/>
                <w:lang w:val="en-US" w:eastAsia="zh-CN"/>
              </w:rPr>
              <w:t>头盔质量</w:t>
            </w:r>
          </w:p>
        </w:tc>
        <w:tc>
          <w:tcPr>
            <w:tcW w:w="2759" w:type="dxa"/>
            <w:noWrap w:val="0"/>
            <w:vAlign w:val="center"/>
          </w:tcPr>
          <w:p>
            <w:pPr>
              <w:jc w:val="center"/>
              <w:rPr>
                <w:rFonts w:hint="default" w:ascii="宋体" w:hAnsi="宋体"/>
                <w:kern w:val="0"/>
                <w:szCs w:val="21"/>
                <w:lang w:val="en-US"/>
              </w:rPr>
            </w:pPr>
            <w:r>
              <w:rPr>
                <w:rFonts w:hint="eastAsia" w:ascii="宋体" w:hAnsi="宋体"/>
                <w:kern w:val="0"/>
                <w:szCs w:val="21"/>
                <w:lang w:val="en-US" w:eastAsia="zh-CN"/>
              </w:rPr>
              <w:t>GB 811-2010 中5.3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712" w:type="dxa"/>
            <w:noWrap w:val="0"/>
            <w:vAlign w:val="center"/>
          </w:tcPr>
          <w:p>
            <w:pPr>
              <w:snapToGrid w:val="0"/>
              <w:spacing w:line="400" w:lineRule="exact"/>
              <w:jc w:val="center"/>
              <w:rPr>
                <w:rFonts w:hint="eastAsia" w:ascii="宋体" w:hAnsi="宋体"/>
                <w:color w:val="000000"/>
                <w:szCs w:val="21"/>
              </w:rPr>
            </w:pPr>
            <w:r>
              <w:rPr>
                <w:rFonts w:hint="eastAsia" w:ascii="宋体" w:hAnsi="宋体"/>
                <w:color w:val="000000"/>
                <w:szCs w:val="21"/>
              </w:rPr>
              <w:t>3</w:t>
            </w:r>
          </w:p>
        </w:tc>
        <w:tc>
          <w:tcPr>
            <w:tcW w:w="2348" w:type="dxa"/>
            <w:noWrap w:val="0"/>
            <w:vAlign w:val="center"/>
          </w:tcPr>
          <w:p>
            <w:pPr>
              <w:snapToGrid w:val="0"/>
              <w:jc w:val="center"/>
              <w:rPr>
                <w:rFonts w:hint="eastAsia" w:ascii="宋体" w:hAnsi="宋体"/>
                <w:kern w:val="2"/>
                <w:sz w:val="21"/>
                <w:szCs w:val="21"/>
                <w:lang w:val="en-US" w:eastAsia="zh-CN" w:bidi="ar-SA"/>
              </w:rPr>
            </w:pPr>
            <w:r>
              <w:rPr>
                <w:rFonts w:hint="eastAsia" w:ascii="宋体" w:hAnsi="宋体"/>
                <w:color w:val="000000"/>
                <w:szCs w:val="21"/>
                <w:lang w:val="en-US" w:eastAsia="zh-CN"/>
              </w:rPr>
              <w:t>头盔视野</w:t>
            </w:r>
          </w:p>
        </w:tc>
        <w:tc>
          <w:tcPr>
            <w:tcW w:w="2759" w:type="dxa"/>
            <w:noWrap w:val="0"/>
            <w:vAlign w:val="center"/>
          </w:tcPr>
          <w:p>
            <w:pPr>
              <w:jc w:val="center"/>
              <w:rPr>
                <w:rFonts w:hint="default" w:ascii="宋体" w:hAnsi="宋体"/>
                <w:kern w:val="0"/>
                <w:sz w:val="21"/>
                <w:szCs w:val="21"/>
                <w:lang w:val="en-US" w:eastAsia="zh-CN" w:bidi="ar-SA"/>
              </w:rPr>
            </w:pPr>
            <w:r>
              <w:rPr>
                <w:rFonts w:hint="eastAsia" w:ascii="宋体" w:hAnsi="宋体"/>
                <w:kern w:val="0"/>
                <w:szCs w:val="21"/>
                <w:lang w:val="en-US" w:eastAsia="zh-CN"/>
              </w:rPr>
              <w:t>GB 811-2010 中5.4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12" w:type="dxa"/>
            <w:noWrap w:val="0"/>
            <w:vAlign w:val="center"/>
          </w:tcPr>
          <w:p>
            <w:pPr>
              <w:snapToGrid w:val="0"/>
              <w:spacing w:line="400" w:lineRule="exact"/>
              <w:jc w:val="center"/>
              <w:rPr>
                <w:rFonts w:hint="eastAsia" w:ascii="宋体" w:hAnsi="宋体"/>
                <w:color w:val="000000"/>
                <w:szCs w:val="21"/>
              </w:rPr>
            </w:pPr>
            <w:r>
              <w:rPr>
                <w:rFonts w:hint="eastAsia" w:ascii="宋体" w:hAnsi="宋体"/>
                <w:color w:val="000000"/>
                <w:szCs w:val="21"/>
              </w:rPr>
              <w:t>4</w:t>
            </w:r>
          </w:p>
        </w:tc>
        <w:tc>
          <w:tcPr>
            <w:tcW w:w="2348" w:type="dxa"/>
            <w:noWrap w:val="0"/>
            <w:vAlign w:val="center"/>
          </w:tcPr>
          <w:p>
            <w:pPr>
              <w:snapToGrid w:val="0"/>
              <w:jc w:val="center"/>
              <w:rPr>
                <w:rFonts w:hint="eastAsia" w:ascii="宋体" w:hAnsi="宋体" w:eastAsia="宋体" w:cs="Times New Roman"/>
                <w:kern w:val="2"/>
                <w:sz w:val="21"/>
                <w:szCs w:val="21"/>
                <w:lang w:val="en-US" w:eastAsia="zh-CN" w:bidi="ar-SA"/>
              </w:rPr>
            </w:pPr>
            <w:r>
              <w:rPr>
                <w:rFonts w:hint="eastAsia"/>
                <w:lang w:val="en-US" w:eastAsia="zh-CN"/>
              </w:rPr>
              <w:t>头盔佩戴装置强度性能</w:t>
            </w:r>
          </w:p>
        </w:tc>
        <w:tc>
          <w:tcPr>
            <w:tcW w:w="2759" w:type="dxa"/>
            <w:noWrap w:val="0"/>
            <w:vAlign w:val="center"/>
          </w:tcPr>
          <w:p>
            <w:pPr>
              <w:jc w:val="center"/>
              <w:rPr>
                <w:rFonts w:hint="default" w:ascii="宋体" w:hAnsi="宋体" w:eastAsia="宋体" w:cs="Times New Roman"/>
                <w:kern w:val="2"/>
                <w:sz w:val="21"/>
                <w:szCs w:val="21"/>
                <w:lang w:val="en-US" w:eastAsia="zh-CN" w:bidi="ar-SA"/>
              </w:rPr>
            </w:pPr>
            <w:r>
              <w:rPr>
                <w:rFonts w:hint="eastAsia" w:ascii="宋体" w:hAnsi="宋体"/>
                <w:kern w:val="0"/>
                <w:szCs w:val="21"/>
                <w:lang w:val="en-US" w:eastAsia="zh-CN"/>
              </w:rPr>
              <w:t>GB 811-2010 中5.8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712" w:type="dxa"/>
            <w:noWrap w:val="0"/>
            <w:vAlign w:val="center"/>
          </w:tcPr>
          <w:p>
            <w:pPr>
              <w:snapToGrid w:val="0"/>
              <w:spacing w:line="400" w:lineRule="exact"/>
              <w:jc w:val="center"/>
              <w:rPr>
                <w:rFonts w:hint="eastAsia" w:ascii="宋体" w:hAnsi="宋体"/>
                <w:color w:val="000000"/>
                <w:szCs w:val="21"/>
              </w:rPr>
            </w:pPr>
            <w:r>
              <w:rPr>
                <w:rFonts w:hint="eastAsia" w:ascii="宋体" w:hAnsi="宋体"/>
                <w:color w:val="000000"/>
                <w:szCs w:val="21"/>
              </w:rPr>
              <w:t>5</w:t>
            </w:r>
          </w:p>
        </w:tc>
        <w:tc>
          <w:tcPr>
            <w:tcW w:w="2348" w:type="dxa"/>
            <w:noWrap w:val="0"/>
            <w:vAlign w:val="center"/>
          </w:tcPr>
          <w:p>
            <w:pPr>
              <w:snapToGrid w:val="0"/>
              <w:jc w:val="center"/>
              <w:rPr>
                <w:rFonts w:hint="eastAsia" w:ascii="宋体" w:hAnsi="宋体" w:eastAsia="宋体" w:cs="宋体"/>
                <w:kern w:val="2"/>
                <w:sz w:val="21"/>
                <w:szCs w:val="21"/>
                <w:lang w:val="en-US" w:eastAsia="zh-CN" w:bidi="ar-SA"/>
              </w:rPr>
            </w:pPr>
            <w:r>
              <w:rPr>
                <w:rFonts w:hint="eastAsia"/>
                <w:lang w:val="en-US" w:eastAsia="zh-CN"/>
              </w:rPr>
              <w:t>头盔吸收碰撞能量性能（低温）</w:t>
            </w:r>
          </w:p>
        </w:tc>
        <w:tc>
          <w:tcPr>
            <w:tcW w:w="2759" w:type="dxa"/>
            <w:noWrap w:val="0"/>
            <w:vAlign w:val="center"/>
          </w:tcPr>
          <w:p>
            <w:pPr>
              <w:jc w:val="center"/>
              <w:rPr>
                <w:rFonts w:hint="default" w:ascii="宋体" w:hAnsi="宋体" w:eastAsia="宋体" w:cs="Times New Roman"/>
                <w:kern w:val="0"/>
                <w:sz w:val="21"/>
                <w:szCs w:val="21"/>
                <w:lang w:val="en-US" w:eastAsia="zh-CN" w:bidi="ar-SA"/>
              </w:rPr>
            </w:pPr>
            <w:r>
              <w:rPr>
                <w:rFonts w:hint="eastAsia" w:ascii="宋体" w:hAnsi="宋体"/>
                <w:kern w:val="0"/>
                <w:szCs w:val="21"/>
                <w:lang w:val="en-US" w:eastAsia="zh-CN"/>
              </w:rPr>
              <w:t>GB 811-2010 中5.9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712" w:type="dxa"/>
            <w:noWrap w:val="0"/>
            <w:vAlign w:val="center"/>
          </w:tcPr>
          <w:p>
            <w:pPr>
              <w:snapToGrid w:val="0"/>
              <w:spacing w:line="400" w:lineRule="exact"/>
              <w:jc w:val="center"/>
              <w:rPr>
                <w:rFonts w:hint="eastAsia" w:ascii="宋体" w:hAnsi="宋体"/>
                <w:color w:val="000000"/>
                <w:szCs w:val="21"/>
              </w:rPr>
            </w:pPr>
            <w:r>
              <w:rPr>
                <w:rFonts w:hint="eastAsia" w:ascii="宋体" w:hAnsi="宋体"/>
                <w:color w:val="000000"/>
                <w:szCs w:val="21"/>
              </w:rPr>
              <w:t>6</w:t>
            </w:r>
          </w:p>
        </w:tc>
        <w:tc>
          <w:tcPr>
            <w:tcW w:w="2348" w:type="dxa"/>
            <w:noWrap w:val="0"/>
            <w:vAlign w:val="center"/>
          </w:tcPr>
          <w:p>
            <w:pPr>
              <w:spacing w:line="240" w:lineRule="exact"/>
              <w:jc w:val="center"/>
              <w:rPr>
                <w:rFonts w:hint="eastAsia" w:ascii="宋体" w:hAnsi="宋体" w:eastAsia="宋体" w:cs="Times New Roman"/>
                <w:kern w:val="2"/>
                <w:sz w:val="21"/>
                <w:szCs w:val="21"/>
                <w:lang w:val="en-US" w:eastAsia="zh-CN" w:bidi="ar-SA"/>
              </w:rPr>
            </w:pPr>
            <w:r>
              <w:rPr>
                <w:rFonts w:hint="eastAsia" w:ascii="宋体" w:hAnsi="宋体"/>
                <w:color w:val="000000"/>
                <w:szCs w:val="21"/>
                <w:lang w:val="en-US" w:eastAsia="zh-CN"/>
              </w:rPr>
              <w:t>头盔耐穿透性能（低温）</w:t>
            </w:r>
          </w:p>
        </w:tc>
        <w:tc>
          <w:tcPr>
            <w:tcW w:w="2759" w:type="dxa"/>
            <w:noWrap w:val="0"/>
            <w:vAlign w:val="center"/>
          </w:tcPr>
          <w:p>
            <w:pPr>
              <w:snapToGrid w:val="0"/>
              <w:jc w:val="center"/>
              <w:rPr>
                <w:rFonts w:hint="default" w:ascii="宋体" w:hAnsi="宋体" w:eastAsia="宋体" w:cs="Times New Roman"/>
                <w:kern w:val="2"/>
                <w:sz w:val="21"/>
                <w:szCs w:val="21"/>
                <w:lang w:val="en-US" w:eastAsia="zh-CN" w:bidi="ar-SA"/>
              </w:rPr>
            </w:pPr>
            <w:r>
              <w:rPr>
                <w:rFonts w:hint="eastAsia" w:ascii="宋体" w:hAnsi="宋体"/>
                <w:kern w:val="0"/>
                <w:szCs w:val="21"/>
                <w:lang w:val="en-US" w:eastAsia="zh-CN"/>
              </w:rPr>
              <w:t>GB 811-2010 中5.10</w:t>
            </w:r>
          </w:p>
        </w:tc>
      </w:tr>
    </w:tbl>
    <w:p>
      <w:pPr>
        <w:spacing w:line="360" w:lineRule="auto"/>
        <w:rPr>
          <w:rFonts w:hint="eastAsia" w:ascii="宋体" w:hAnsi="宋体"/>
          <w:b/>
          <w:color w:val="000000"/>
          <w:szCs w:val="21"/>
        </w:rPr>
      </w:pPr>
      <w:r>
        <w:rPr>
          <w:rFonts w:hint="eastAsia" w:ascii="宋体" w:hAnsi="宋体"/>
          <w:b/>
          <w:color w:val="000000"/>
          <w:szCs w:val="21"/>
        </w:rPr>
        <w:t>3 判定规则</w:t>
      </w:r>
    </w:p>
    <w:p>
      <w:pPr>
        <w:snapToGrid w:val="0"/>
        <w:spacing w:line="440" w:lineRule="exact"/>
        <w:rPr>
          <w:rFonts w:ascii="宋体" w:hAnsi="宋体"/>
          <w:color w:val="000000"/>
          <w:szCs w:val="21"/>
        </w:rPr>
      </w:pPr>
      <w:r>
        <w:rPr>
          <w:rFonts w:hint="eastAsia" w:ascii="宋体" w:hAnsi="宋体"/>
          <w:color w:val="000000"/>
          <w:szCs w:val="21"/>
        </w:rPr>
        <w:t>3.1依据标准</w:t>
      </w:r>
    </w:p>
    <w:p>
      <w:pPr>
        <w:snapToGrid w:val="0"/>
        <w:spacing w:line="440" w:lineRule="exact"/>
        <w:ind w:firstLine="420" w:firstLineChars="200"/>
        <w:rPr>
          <w:rFonts w:hint="default" w:ascii="宋体" w:hAnsi="宋体" w:eastAsia="宋体"/>
          <w:color w:val="000000"/>
          <w:szCs w:val="21"/>
          <w:lang w:val="en-US" w:eastAsia="zh-CN"/>
        </w:rPr>
      </w:pPr>
      <w:r>
        <w:rPr>
          <w:rFonts w:hint="eastAsia" w:ascii="宋体" w:hAnsi="宋体"/>
          <w:color w:val="000000"/>
          <w:szCs w:val="21"/>
          <w:lang w:val="en-US" w:eastAsia="zh-CN"/>
        </w:rPr>
        <w:t>GB 811-2010《摩托车乘员头盔》</w:t>
      </w:r>
    </w:p>
    <w:p>
      <w:pPr>
        <w:snapToGrid w:val="0"/>
        <w:spacing w:line="440" w:lineRule="exact"/>
        <w:ind w:firstLine="420" w:firstLineChars="200"/>
        <w:rPr>
          <w:rFonts w:hint="eastAsia" w:ascii="宋体" w:hAnsi="宋体"/>
          <w:color w:val="000000"/>
          <w:szCs w:val="21"/>
        </w:rPr>
      </w:pPr>
      <w:r>
        <w:rPr>
          <w:rFonts w:hint="eastAsia" w:ascii="宋体" w:hAnsi="宋体"/>
          <w:color w:val="000000"/>
          <w:szCs w:val="21"/>
        </w:rPr>
        <w:t>现行有效的企业标准及产品明示</w:t>
      </w:r>
      <w:r>
        <w:rPr>
          <w:rFonts w:hint="eastAsia" w:ascii="宋体" w:hAnsi="宋体"/>
          <w:color w:val="000000"/>
          <w:szCs w:val="21"/>
          <w:lang w:val="en-US" w:eastAsia="zh-CN"/>
        </w:rPr>
        <w:t>的</w:t>
      </w:r>
      <w:r>
        <w:rPr>
          <w:rFonts w:hint="eastAsia" w:ascii="宋体" w:hAnsi="宋体"/>
          <w:color w:val="000000"/>
          <w:szCs w:val="21"/>
        </w:rPr>
        <w:t>质量要求</w:t>
      </w:r>
    </w:p>
    <w:p>
      <w:pPr>
        <w:snapToGrid w:val="0"/>
        <w:spacing w:line="440" w:lineRule="exact"/>
        <w:rPr>
          <w:rFonts w:ascii="宋体" w:hAnsi="宋体"/>
          <w:color w:val="000000"/>
          <w:szCs w:val="21"/>
        </w:rPr>
      </w:pPr>
      <w:r>
        <w:rPr>
          <w:rFonts w:hint="eastAsia" w:ascii="宋体" w:hAnsi="宋体"/>
          <w:color w:val="000000"/>
          <w:szCs w:val="21"/>
        </w:rPr>
        <w:t>3.2判定原则</w:t>
      </w:r>
    </w:p>
    <w:p>
      <w:pPr>
        <w:snapToGrid w:val="0"/>
        <w:spacing w:line="440" w:lineRule="exact"/>
        <w:ind w:firstLine="420" w:firstLineChars="200"/>
        <w:rPr>
          <w:rFonts w:ascii="宋体" w:hAnsi="宋体"/>
          <w:color w:val="000000"/>
          <w:szCs w:val="21"/>
        </w:rPr>
      </w:pPr>
      <w:r>
        <w:rPr>
          <w:rFonts w:hint="eastAsia" w:ascii="宋体" w:hAnsi="宋体"/>
          <w:color w:val="000000"/>
          <w:szCs w:val="21"/>
        </w:rPr>
        <w:t>经检验，检验项目全部合格，判定为被抽查产品所检项目未发现不合格；检验项目中任一项或一项以上不合格，判定为被抽查产品不合格。</w:t>
      </w:r>
    </w:p>
    <w:p>
      <w:pPr>
        <w:snapToGrid w:val="0"/>
        <w:spacing w:line="440" w:lineRule="exact"/>
        <w:ind w:firstLine="417" w:firstLineChars="199"/>
        <w:rPr>
          <w:rFonts w:ascii="宋体" w:hAnsi="宋体"/>
          <w:color w:val="000000"/>
          <w:szCs w:val="21"/>
        </w:rPr>
      </w:pPr>
      <w:r>
        <w:rPr>
          <w:rFonts w:hint="eastAsia" w:ascii="宋体" w:hAnsi="宋体"/>
          <w:color w:val="000000"/>
          <w:szCs w:val="21"/>
        </w:rPr>
        <w:t>若被检产品明示的质量要求高于本细则中检验项目依据的标准要求时，应按被检产品明示的质量要求判定。</w:t>
      </w:r>
    </w:p>
    <w:p>
      <w:pPr>
        <w:snapToGrid w:val="0"/>
        <w:spacing w:line="440" w:lineRule="exact"/>
        <w:ind w:firstLine="417" w:firstLineChars="199"/>
        <w:rPr>
          <w:rFonts w:ascii="宋体" w:hAnsi="宋体"/>
          <w:color w:val="000000"/>
          <w:szCs w:val="21"/>
        </w:rPr>
      </w:pPr>
      <w:r>
        <w:rPr>
          <w:rFonts w:hint="eastAsia" w:ascii="宋体" w:hAnsi="宋体"/>
          <w:color w:val="000000"/>
          <w:szCs w:val="21"/>
        </w:rPr>
        <w:t>若被检产品明示的质量要求低于本细则中检验项目依据的强制性标准要求时，应按照强制性标准要求判定。</w:t>
      </w:r>
    </w:p>
    <w:p>
      <w:pPr>
        <w:snapToGrid w:val="0"/>
        <w:spacing w:line="440" w:lineRule="exact"/>
        <w:ind w:firstLine="417" w:firstLineChars="199"/>
        <w:rPr>
          <w:rFonts w:ascii="宋体" w:hAnsi="宋体"/>
          <w:color w:val="000000"/>
          <w:szCs w:val="21"/>
        </w:rPr>
      </w:pPr>
      <w:r>
        <w:rPr>
          <w:rFonts w:hint="eastAsia" w:ascii="宋体" w:hAnsi="宋体"/>
          <w:color w:val="000000"/>
          <w:szCs w:val="21"/>
        </w:rPr>
        <w:t>若被检产品明示的质量要求低于或包含本细则中检验项目依据的推荐性标准要求时，应以被检产品明示的质量要求判定。</w:t>
      </w:r>
    </w:p>
    <w:p>
      <w:pPr>
        <w:snapToGrid w:val="0"/>
        <w:spacing w:line="440" w:lineRule="exact"/>
        <w:ind w:firstLine="417" w:firstLineChars="199"/>
        <w:rPr>
          <w:rFonts w:ascii="宋体" w:hAnsi="宋体"/>
          <w:color w:val="000000"/>
          <w:szCs w:val="21"/>
        </w:rPr>
      </w:pPr>
      <w:r>
        <w:rPr>
          <w:rFonts w:hint="eastAsia" w:ascii="宋体" w:hAnsi="宋体"/>
          <w:color w:val="000000"/>
          <w:szCs w:val="21"/>
        </w:rPr>
        <w:t>若被检产品明示的质量要求缺少本细则中检验项目依据的强制性标准要求时，应按照强制性标准要求判定。</w:t>
      </w:r>
    </w:p>
    <w:p>
      <w:pPr>
        <w:snapToGrid w:val="0"/>
        <w:spacing w:line="440" w:lineRule="exact"/>
        <w:ind w:firstLine="417" w:firstLineChars="199"/>
        <w:rPr>
          <w:rFonts w:ascii="宋体" w:hAnsi="宋体"/>
          <w:color w:val="000000"/>
          <w:szCs w:val="21"/>
        </w:rPr>
      </w:pPr>
      <w:r>
        <w:rPr>
          <w:rFonts w:hint="eastAsia" w:ascii="宋体" w:hAnsi="宋体"/>
          <w:color w:val="000000"/>
          <w:szCs w:val="21"/>
        </w:rPr>
        <w:t>若被检产品明示的质量要求缺少本细则中检验项目依据的推荐性标准要求时，该项目不参与判定。</w:t>
      </w:r>
    </w:p>
    <w:p>
      <w:pPr>
        <w:snapToGrid w:val="0"/>
        <w:spacing w:line="440" w:lineRule="exact"/>
        <w:rPr>
          <w:rFonts w:ascii="宋体" w:hAnsi="宋体"/>
          <w:color w:val="FF0000"/>
          <w:szCs w:val="21"/>
        </w:rPr>
      </w:pPr>
    </w:p>
    <w:p>
      <w:pPr>
        <w:snapToGrid w:val="0"/>
        <w:spacing w:line="440" w:lineRule="exact"/>
        <w:ind w:firstLine="417" w:firstLineChars="199"/>
        <w:rPr>
          <w:rFonts w:hint="eastAsia" w:ascii="宋体" w:hAnsi="宋体"/>
          <w:color w:val="000000"/>
          <w:szCs w:val="21"/>
        </w:rPr>
      </w:pPr>
    </w:p>
    <w:p>
      <w:pPr>
        <w:snapToGrid w:val="0"/>
        <w:spacing w:line="440" w:lineRule="exact"/>
        <w:rPr>
          <w:rFonts w:ascii="宋体" w:hAnsi="宋体"/>
          <w:color w:val="000000"/>
          <w:szCs w:val="21"/>
        </w:rPr>
      </w:pPr>
    </w:p>
    <w:sectPr>
      <w:headerReference r:id="rId3" w:type="default"/>
      <w:footerReference r:id="rId4" w:type="default"/>
      <w:footerReference r:id="rId5" w:type="even"/>
      <w:pgSz w:w="11906" w:h="16838"/>
      <w:pgMar w:top="1417" w:right="1417" w:bottom="1361"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微软雅黑"/>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lang w:val="zh-CN"/>
      </w:rPr>
      <w:fldChar w:fldCharType="begin"/>
    </w:r>
    <w:r>
      <w:rPr>
        <w:lang w:val="zh-CN"/>
      </w:rPr>
      <w:instrText xml:space="preserve"> PAGE   \* MERGEFORMAT </w:instrText>
    </w:r>
    <w:r>
      <w:rPr>
        <w:lang w:val="zh-CN"/>
      </w:rPr>
      <w:fldChar w:fldCharType="separate"/>
    </w:r>
    <w:r>
      <w:t>1</w:t>
    </w:r>
    <w:r>
      <w:rPr>
        <w:lang w:val="zh-CN"/>
      </w:rPr>
      <w:fldChar w:fldCharType="end"/>
    </w: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2</w:t>
    </w:r>
    <w:r>
      <w:fldChar w:fldCharType="end"/>
    </w:r>
  </w:p>
  <w:p>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D20"/>
    <w:rsid w:val="000175DC"/>
    <w:rsid w:val="00017A19"/>
    <w:rsid w:val="000F65B0"/>
    <w:rsid w:val="001934E3"/>
    <w:rsid w:val="00216042"/>
    <w:rsid w:val="002169C6"/>
    <w:rsid w:val="00226A05"/>
    <w:rsid w:val="00275F46"/>
    <w:rsid w:val="00282940"/>
    <w:rsid w:val="0031383C"/>
    <w:rsid w:val="003479A2"/>
    <w:rsid w:val="00477D20"/>
    <w:rsid w:val="004F5359"/>
    <w:rsid w:val="0051721A"/>
    <w:rsid w:val="005336EE"/>
    <w:rsid w:val="005521F7"/>
    <w:rsid w:val="00554982"/>
    <w:rsid w:val="005579DD"/>
    <w:rsid w:val="00580BBE"/>
    <w:rsid w:val="00602391"/>
    <w:rsid w:val="00610788"/>
    <w:rsid w:val="00621F8C"/>
    <w:rsid w:val="006360E1"/>
    <w:rsid w:val="00642905"/>
    <w:rsid w:val="00652F2A"/>
    <w:rsid w:val="00674599"/>
    <w:rsid w:val="006A26AF"/>
    <w:rsid w:val="007910A9"/>
    <w:rsid w:val="008C1C2D"/>
    <w:rsid w:val="00912C15"/>
    <w:rsid w:val="00972EF8"/>
    <w:rsid w:val="009847A1"/>
    <w:rsid w:val="00991DD9"/>
    <w:rsid w:val="009F548F"/>
    <w:rsid w:val="00A4775E"/>
    <w:rsid w:val="00AB64E9"/>
    <w:rsid w:val="00B44D21"/>
    <w:rsid w:val="00C039FA"/>
    <w:rsid w:val="00C348BE"/>
    <w:rsid w:val="00C72637"/>
    <w:rsid w:val="00CB224E"/>
    <w:rsid w:val="00CD0A14"/>
    <w:rsid w:val="00D20042"/>
    <w:rsid w:val="00D21D86"/>
    <w:rsid w:val="00D5652E"/>
    <w:rsid w:val="00D66D56"/>
    <w:rsid w:val="00D94795"/>
    <w:rsid w:val="00DA2BCC"/>
    <w:rsid w:val="00E20617"/>
    <w:rsid w:val="00E831E6"/>
    <w:rsid w:val="00ED7C90"/>
    <w:rsid w:val="00EF62A6"/>
    <w:rsid w:val="00EF6961"/>
    <w:rsid w:val="00F0003C"/>
    <w:rsid w:val="00F14A73"/>
    <w:rsid w:val="00F56895"/>
    <w:rsid w:val="00FA302F"/>
    <w:rsid w:val="00FC4301"/>
    <w:rsid w:val="00FD6953"/>
    <w:rsid w:val="043C3FA9"/>
    <w:rsid w:val="04D013FB"/>
    <w:rsid w:val="054B1BAE"/>
    <w:rsid w:val="07FE5054"/>
    <w:rsid w:val="09970AA4"/>
    <w:rsid w:val="0B5A008B"/>
    <w:rsid w:val="0B727678"/>
    <w:rsid w:val="104F1261"/>
    <w:rsid w:val="15395C4B"/>
    <w:rsid w:val="16261EC2"/>
    <w:rsid w:val="16E1349A"/>
    <w:rsid w:val="19EA445D"/>
    <w:rsid w:val="1D580513"/>
    <w:rsid w:val="20C32878"/>
    <w:rsid w:val="21916FFD"/>
    <w:rsid w:val="21E15814"/>
    <w:rsid w:val="225A4E27"/>
    <w:rsid w:val="233A71D5"/>
    <w:rsid w:val="237F6BD3"/>
    <w:rsid w:val="254601CF"/>
    <w:rsid w:val="25EB6D29"/>
    <w:rsid w:val="27215B0F"/>
    <w:rsid w:val="295A20B7"/>
    <w:rsid w:val="2C390A1E"/>
    <w:rsid w:val="2D663EF1"/>
    <w:rsid w:val="2DF06A93"/>
    <w:rsid w:val="2FB163B2"/>
    <w:rsid w:val="32D00F4F"/>
    <w:rsid w:val="339733E4"/>
    <w:rsid w:val="39EC12FD"/>
    <w:rsid w:val="3A137D1B"/>
    <w:rsid w:val="3DEC5A6A"/>
    <w:rsid w:val="42962485"/>
    <w:rsid w:val="42C527C6"/>
    <w:rsid w:val="45ED750B"/>
    <w:rsid w:val="4714170D"/>
    <w:rsid w:val="49C45FA3"/>
    <w:rsid w:val="4A9E75CF"/>
    <w:rsid w:val="4D6F041F"/>
    <w:rsid w:val="4FF115AB"/>
    <w:rsid w:val="50DA1FE1"/>
    <w:rsid w:val="53C67906"/>
    <w:rsid w:val="54A50727"/>
    <w:rsid w:val="57E26DA5"/>
    <w:rsid w:val="580E182A"/>
    <w:rsid w:val="5A144651"/>
    <w:rsid w:val="5A982033"/>
    <w:rsid w:val="5BCD4CF1"/>
    <w:rsid w:val="5FA73D0C"/>
    <w:rsid w:val="5FD2673C"/>
    <w:rsid w:val="60B13DAE"/>
    <w:rsid w:val="62AC0477"/>
    <w:rsid w:val="62B025AF"/>
    <w:rsid w:val="62FC4DA3"/>
    <w:rsid w:val="67906973"/>
    <w:rsid w:val="6816756A"/>
    <w:rsid w:val="68F311CA"/>
    <w:rsid w:val="6BD45FCE"/>
    <w:rsid w:val="70A232C0"/>
    <w:rsid w:val="72B01573"/>
    <w:rsid w:val="74504A1E"/>
    <w:rsid w:val="754C656F"/>
    <w:rsid w:val="756C58C4"/>
    <w:rsid w:val="78EB037C"/>
    <w:rsid w:val="79630DE8"/>
    <w:rsid w:val="7F3B296B"/>
    <w:rsid w:val="7FAF534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spacing w:before="100" w:beforeAutospacing="1" w:after="10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alloon Text"/>
    <w:basedOn w:val="1"/>
    <w:unhideWhenUsed/>
    <w:uiPriority w:val="0"/>
    <w:rPr>
      <w:sz w:val="18"/>
      <w:szCs w:val="18"/>
    </w:rPr>
  </w:style>
  <w:style w:type="paragraph" w:styleId="4">
    <w:name w:val="footer"/>
    <w:basedOn w:val="1"/>
    <w:unhideWhenUsed/>
    <w:qFormat/>
    <w:uiPriority w:val="0"/>
    <w:pPr>
      <w:tabs>
        <w:tab w:val="center" w:pos="4153"/>
        <w:tab w:val="right" w:pos="8306"/>
      </w:tabs>
      <w:snapToGrid w:val="0"/>
      <w:jc w:val="left"/>
    </w:pPr>
    <w:rPr>
      <w:sz w:val="18"/>
      <w:szCs w:val="18"/>
    </w:rPr>
  </w:style>
  <w:style w:type="paragraph" w:styleId="5">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pPr>
      <w:widowControl/>
      <w:spacing w:before="100" w:beforeAutospacing="1" w:after="100" w:afterAutospacing="1"/>
      <w:jc w:val="left"/>
    </w:pPr>
    <w:rPr>
      <w:rFonts w:ascii="宋体" w:hAnsi="宋体" w:cs="宋体"/>
      <w:kern w:val="0"/>
      <w:sz w:val="24"/>
    </w:rPr>
  </w:style>
  <w:style w:type="character" w:styleId="9">
    <w:name w:val="page number"/>
    <w:qFormat/>
    <w:uiPriority w:val="0"/>
  </w:style>
  <w:style w:type="paragraph" w:customStyle="1" w:styleId="10">
    <w:name w:val="列出段落1"/>
    <w:basedOn w:val="1"/>
    <w:qFormat/>
    <w:uiPriority w:val="0"/>
    <w:pPr>
      <w:ind w:firstLine="420" w:firstLineChars="200"/>
    </w:pPr>
    <w:rPr>
      <w:rFonts w:ascii="Calibri" w:hAnsi="Calibri"/>
      <w:szCs w:val="22"/>
    </w:rPr>
  </w:style>
  <w:style w:type="character" w:customStyle="1" w:styleId="11">
    <w:name w:val="页眉 Char"/>
    <w:semiHidden/>
    <w:qFormat/>
    <w:uiPriority w:val="0"/>
    <w:rPr>
      <w:kern w:val="2"/>
      <w:sz w:val="18"/>
      <w:szCs w:val="18"/>
    </w:rPr>
  </w:style>
  <w:style w:type="character" w:customStyle="1" w:styleId="12">
    <w:name w:val="页脚 Char"/>
    <w:qFormat/>
    <w:uiPriority w:val="0"/>
    <w:rPr>
      <w:kern w:val="2"/>
      <w:sz w:val="18"/>
      <w:szCs w:val="18"/>
    </w:rPr>
  </w:style>
  <w:style w:type="character" w:customStyle="1" w:styleId="13">
    <w:name w:val="批注框文本 Char"/>
    <w:semiHidden/>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Legend (Beijing) Limited</Company>
  <Pages>2</Pages>
  <Words>169</Words>
  <Characters>968</Characters>
  <Lines>8</Lines>
  <Paragraphs>2</Paragraphs>
  <TotalTime>0</TotalTime>
  <ScaleCrop>false</ScaleCrop>
  <LinksUpToDate>false</LinksUpToDate>
  <CharactersWithSpaces>1135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2021-07-07T09:01:00Z</dcterms:created>
  <dc:creator>Legend User</dc:creator>
  <cp:lastModifiedBy>宋超</cp:lastModifiedBy>
  <cp:lastPrinted>2019-12-05T07:53:00Z</cp:lastPrinted>
  <dcterms:modified xsi:type="dcterms:W3CDTF">2022-03-29T02:27:31Z</dcterms:modified>
  <dc:title>××产品质量监督抽查实施细则</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82E2C4C9D7534996B2F758C5C11A1330</vt:lpwstr>
  </property>
</Properties>
</file>