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sz w:val="32"/>
          <w:szCs w:val="32"/>
          <w:lang w:val="en-US" w:eastAsia="zh-CN"/>
        </w:rPr>
      </w:pPr>
      <w:r>
        <w:rPr>
          <w:rFonts w:hint="eastAsia" w:ascii="方正小标宋简体" w:hAnsi="仿宋" w:eastAsia="方正小标宋简体" w:cs="方正仿宋简体"/>
          <w:sz w:val="32"/>
          <w:szCs w:val="32"/>
          <w:lang w:val="en-US" w:eastAsia="zh-CN"/>
        </w:rPr>
        <w:t>附件5</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sz w:val="32"/>
          <w:szCs w:val="32"/>
        </w:rPr>
        <w:t>陕西省</w:t>
      </w:r>
      <w:r>
        <w:rPr>
          <w:rFonts w:hint="eastAsia" w:ascii="方正小标宋简体" w:hAnsi="仿宋" w:eastAsia="方正小标宋简体" w:cs="方正仿宋简体"/>
          <w:color w:val="000000"/>
          <w:sz w:val="32"/>
          <w:szCs w:val="32"/>
        </w:rPr>
        <w:t>木地板产品质量监督抽查实施细则</w:t>
      </w:r>
    </w:p>
    <w:p>
      <w:pPr>
        <w:snapToGrid w:val="0"/>
        <w:spacing w:line="440" w:lineRule="exact"/>
        <w:ind w:firstLine="359" w:firstLineChars="171"/>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每批次抽样数量，见表1</w:t>
      </w:r>
    </w:p>
    <w:p>
      <w:pPr>
        <w:snapToGrid w:val="0"/>
        <w:spacing w:line="440" w:lineRule="exact"/>
        <w:ind w:firstLine="3150" w:firstLineChars="1500"/>
        <w:rPr>
          <w:rFonts w:ascii="宋体" w:hAnsi="宋体"/>
          <w:color w:val="000000"/>
          <w:szCs w:val="21"/>
        </w:rPr>
      </w:pPr>
      <w:r>
        <w:rPr>
          <w:rFonts w:hint="eastAsia" w:ascii="宋体" w:hAnsi="宋体"/>
          <w:color w:val="000000"/>
          <w:szCs w:val="21"/>
        </w:rPr>
        <w:t>表1　地板类抽样数量                     单位为平方米　</w:t>
      </w:r>
    </w:p>
    <w:tbl>
      <w:tblPr>
        <w:tblStyle w:val="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50"/>
        <w:gridCol w:w="2116"/>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45" w:type="pct"/>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产品名称</w:t>
            </w:r>
          </w:p>
        </w:tc>
        <w:tc>
          <w:tcPr>
            <w:tcW w:w="1203" w:type="pct"/>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初检样品数量</w:t>
            </w:r>
          </w:p>
        </w:tc>
        <w:tc>
          <w:tcPr>
            <w:tcW w:w="1184" w:type="pct"/>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复验样品数量</w:t>
            </w:r>
          </w:p>
        </w:tc>
        <w:tc>
          <w:tcPr>
            <w:tcW w:w="1166" w:type="pct"/>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45" w:type="pct"/>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实木地板</w:t>
            </w:r>
          </w:p>
        </w:tc>
        <w:tc>
          <w:tcPr>
            <w:tcW w:w="1203"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0.5</w:t>
            </w:r>
          </w:p>
        </w:tc>
        <w:tc>
          <w:tcPr>
            <w:tcW w:w="1184"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166"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45" w:type="pct"/>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实木复合地板</w:t>
            </w:r>
          </w:p>
        </w:tc>
        <w:tc>
          <w:tcPr>
            <w:tcW w:w="1203"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1.4</w:t>
            </w:r>
          </w:p>
        </w:tc>
        <w:tc>
          <w:tcPr>
            <w:tcW w:w="1184"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2.8</w:t>
            </w:r>
          </w:p>
        </w:tc>
        <w:tc>
          <w:tcPr>
            <w:tcW w:w="1166"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5" w:type="pct"/>
            <w:vAlign w:val="center"/>
          </w:tcPr>
          <w:p>
            <w:pPr>
              <w:snapToGrid w:val="0"/>
              <w:spacing w:line="440" w:lineRule="exact"/>
              <w:ind w:firstLine="420" w:firstLineChars="200"/>
              <w:rPr>
                <w:rFonts w:ascii="宋体" w:hAnsi="宋体"/>
                <w:color w:val="000000"/>
                <w:szCs w:val="21"/>
              </w:rPr>
            </w:pPr>
            <w:bookmarkStart w:id="0" w:name="OLE_LINK3"/>
            <w:r>
              <w:rPr>
                <w:rFonts w:hint="eastAsia" w:ascii="宋体" w:hAnsi="宋体"/>
                <w:color w:val="000000"/>
                <w:szCs w:val="21"/>
              </w:rPr>
              <w:t>浸渍纸层压木质地板</w:t>
            </w:r>
            <w:bookmarkEnd w:id="0"/>
          </w:p>
        </w:tc>
        <w:tc>
          <w:tcPr>
            <w:tcW w:w="1203"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1.3</w:t>
            </w:r>
          </w:p>
        </w:tc>
        <w:tc>
          <w:tcPr>
            <w:tcW w:w="1184"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2.6</w:t>
            </w:r>
          </w:p>
        </w:tc>
        <w:tc>
          <w:tcPr>
            <w:tcW w:w="1166" w:type="pct"/>
            <w:vAlign w:val="center"/>
          </w:tcPr>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不小于</w:t>
            </w:r>
            <w:r>
              <w:rPr>
                <w:rFonts w:hint="eastAsia" w:ascii="宋体" w:hAnsi="宋体"/>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vAlign w:val="center"/>
          </w:tcPr>
          <w:p>
            <w:pPr>
              <w:snapToGrid w:val="0"/>
              <w:spacing w:line="440" w:lineRule="exact"/>
              <w:ind w:firstLine="420" w:firstLineChars="200"/>
              <w:rPr>
                <w:rFonts w:ascii="宋体" w:hAnsi="宋体"/>
                <w:color w:val="000000"/>
                <w:szCs w:val="21"/>
              </w:rPr>
            </w:pPr>
            <w:r>
              <w:rPr>
                <w:rFonts w:hint="eastAsia" w:ascii="宋体" w:hAnsi="宋体"/>
                <w:color w:val="000000"/>
                <w:szCs w:val="21"/>
              </w:rPr>
              <w:t>抽样时，以样品的实际尺寸计算面积，以最接近的样品块数为样品初检数量，但样品数量不少于3块，复验和备样按倍数计算</w:t>
            </w:r>
          </w:p>
        </w:tc>
      </w:tr>
    </w:tbl>
    <w:p>
      <w:pPr>
        <w:snapToGrid w:val="0"/>
        <w:spacing w:line="440" w:lineRule="exact"/>
        <w:rPr>
          <w:rFonts w:ascii="宋体" w:hAnsi="宋体"/>
          <w:color w:val="000000"/>
          <w:szCs w:val="21"/>
        </w:rPr>
      </w:pPr>
      <w:r>
        <w:rPr>
          <w:rFonts w:hint="eastAsia" w:ascii="宋体" w:hAnsi="宋体"/>
          <w:color w:val="000000"/>
          <w:szCs w:val="21"/>
        </w:rPr>
        <w:t>说明：a）所抽样品分为初检样品、复验样品和备样。初检样品和复验样品用于产品标准中要求的初检和复验，备样仅用于异议处理时进行的复检，备样检验为2份，做2份试验。</w:t>
      </w:r>
    </w:p>
    <w:p>
      <w:pPr>
        <w:snapToGrid w:val="0"/>
        <w:spacing w:line="440" w:lineRule="exact"/>
        <w:ind w:firstLine="630" w:firstLineChars="300"/>
        <w:rPr>
          <w:rFonts w:ascii="宋体" w:hAnsi="宋体"/>
          <w:color w:val="000000"/>
          <w:szCs w:val="21"/>
        </w:rPr>
      </w:pPr>
      <w:r>
        <w:rPr>
          <w:rFonts w:hint="eastAsia" w:ascii="宋体" w:hAnsi="宋体"/>
          <w:color w:val="000000"/>
          <w:szCs w:val="21"/>
        </w:rPr>
        <w:t>b）地板类产品抽样后将初检样品、复验样品直接封装；备样封存于受检企业。</w:t>
      </w:r>
    </w:p>
    <w:p>
      <w:pPr>
        <w:snapToGrid w:val="0"/>
        <w:spacing w:line="440" w:lineRule="exact"/>
        <w:ind w:firstLine="630" w:firstLineChars="300"/>
        <w:rPr>
          <w:rFonts w:ascii="宋体" w:hAnsi="宋体"/>
          <w:color w:val="000000"/>
          <w:szCs w:val="21"/>
        </w:rPr>
      </w:pPr>
      <w:r>
        <w:rPr>
          <w:rFonts w:hint="eastAsia" w:ascii="宋体" w:hAnsi="宋体"/>
          <w:color w:val="000000"/>
          <w:szCs w:val="21"/>
        </w:rPr>
        <w:t>c）对封存于企业的备样，企业有妥善保存的义务，若有损坏遗失等造成不能进行复检的情况，视同企业放弃复检的权利。</w:t>
      </w:r>
    </w:p>
    <w:p>
      <w:pPr>
        <w:snapToGrid w:val="0"/>
        <w:spacing w:line="440" w:lineRule="exact"/>
        <w:rPr>
          <w:rFonts w:ascii="黑体" w:hAnsi="宋体" w:eastAsia="黑体"/>
          <w:color w:val="000000"/>
          <w:szCs w:val="21"/>
        </w:rPr>
      </w:pPr>
      <w:r>
        <w:rPr>
          <w:rFonts w:hint="eastAsia" w:ascii="黑体" w:hAnsi="宋体" w:eastAsia="黑体"/>
          <w:color w:val="000000"/>
          <w:szCs w:val="21"/>
        </w:rPr>
        <w:t>2检验依据</w:t>
      </w:r>
      <w:bookmarkStart w:id="1" w:name="_GoBack"/>
      <w:bookmarkEnd w:id="1"/>
    </w:p>
    <w:p>
      <w:pPr>
        <w:snapToGrid w:val="0"/>
        <w:spacing w:line="440" w:lineRule="exact"/>
        <w:ind w:firstLine="3360" w:firstLineChars="1600"/>
        <w:rPr>
          <w:rFonts w:asciiTheme="minorEastAsia" w:hAnsiTheme="minorEastAsia" w:eastAsiaTheme="minorEastAsia"/>
          <w:szCs w:val="21"/>
        </w:rPr>
      </w:pPr>
      <w:r>
        <w:rPr>
          <w:rFonts w:hint="eastAsia" w:asciiTheme="minorEastAsia" w:hAnsiTheme="minorEastAsia" w:eastAsiaTheme="minorEastAsia"/>
          <w:szCs w:val="21"/>
        </w:rPr>
        <w:t>表2  实木复合地板</w:t>
      </w:r>
    </w:p>
    <w:tbl>
      <w:tblPr>
        <w:tblStyle w:val="5"/>
        <w:tblW w:w="876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726"/>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序号</w:t>
            </w:r>
          </w:p>
        </w:tc>
        <w:tc>
          <w:tcPr>
            <w:tcW w:w="3726" w:type="dxa"/>
          </w:tcPr>
          <w:p>
            <w:pPr>
              <w:snapToGrid w:val="0"/>
              <w:spacing w:line="440" w:lineRule="exact"/>
              <w:jc w:val="center"/>
              <w:rPr>
                <w:rFonts w:ascii="宋体" w:hAnsi="宋体"/>
                <w:szCs w:val="21"/>
              </w:rPr>
            </w:pPr>
            <w:r>
              <w:rPr>
                <w:rFonts w:hint="eastAsia" w:ascii="宋体" w:hAnsi="宋体"/>
                <w:szCs w:val="21"/>
              </w:rPr>
              <w:t>检验项目</w:t>
            </w:r>
          </w:p>
        </w:tc>
        <w:tc>
          <w:tcPr>
            <w:tcW w:w="4306"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1</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2</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浸渍剥离</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18103-2013 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3</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静曲强度</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4</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弹性模量</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5</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表面耐磨</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15036.2-2009 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6</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漆膜附着力</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4893.4-1985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7</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表面耐污染腐蚀</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17657-1999 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8</w:t>
            </w:r>
          </w:p>
        </w:tc>
        <w:tc>
          <w:tcPr>
            <w:tcW w:w="3726"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4306" w:type="dxa"/>
            <w:vAlign w:val="center"/>
          </w:tcPr>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GB/T 17657-2013 4.60</w:t>
            </w:r>
          </w:p>
        </w:tc>
      </w:tr>
    </w:tbl>
    <w:p/>
    <w:p>
      <w:pPr>
        <w:snapToGrid w:val="0"/>
        <w:spacing w:line="440" w:lineRule="exact"/>
        <w:jc w:val="center"/>
        <w:rPr>
          <w:rFonts w:asciiTheme="minorEastAsia" w:hAnsiTheme="minorEastAsia" w:eastAsiaTheme="minorEastAsia"/>
          <w:szCs w:val="21"/>
        </w:rPr>
      </w:pPr>
    </w:p>
    <w:p>
      <w:pPr>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表3  浸渍纸层压木质地板</w:t>
      </w:r>
    </w:p>
    <w:tbl>
      <w:tblPr>
        <w:tblStyle w:val="5"/>
        <w:tblW w:w="876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73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napToGrid w:val="0"/>
              <w:spacing w:line="440" w:lineRule="exact"/>
              <w:jc w:val="center"/>
              <w:rPr>
                <w:rFonts w:ascii="宋体" w:hAnsi="宋体"/>
                <w:szCs w:val="21"/>
              </w:rPr>
            </w:pPr>
            <w:r>
              <w:rPr>
                <w:rFonts w:hint="eastAsia" w:ascii="宋体" w:hAnsi="宋体"/>
                <w:szCs w:val="21"/>
              </w:rPr>
              <w:t>序号</w:t>
            </w:r>
          </w:p>
        </w:tc>
        <w:tc>
          <w:tcPr>
            <w:tcW w:w="3737" w:type="dxa"/>
          </w:tcPr>
          <w:p>
            <w:pPr>
              <w:snapToGrid w:val="0"/>
              <w:spacing w:line="440" w:lineRule="exact"/>
              <w:jc w:val="center"/>
              <w:rPr>
                <w:rFonts w:ascii="宋体" w:hAnsi="宋体"/>
                <w:szCs w:val="21"/>
              </w:rPr>
            </w:pPr>
            <w:r>
              <w:rPr>
                <w:rFonts w:hint="eastAsia" w:ascii="宋体" w:hAnsi="宋体"/>
                <w:szCs w:val="21"/>
              </w:rPr>
              <w:t>检验项目</w:t>
            </w:r>
          </w:p>
        </w:tc>
        <w:tc>
          <w:tcPr>
            <w:tcW w:w="4295"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4295" w:type="dxa"/>
          </w:tcPr>
          <w:p>
            <w:pPr>
              <w:snapToGrid w:val="0"/>
              <w:spacing w:line="440" w:lineRule="exact"/>
              <w:jc w:val="left"/>
              <w:rPr>
                <w:rFonts w:ascii="宋体" w:hAnsi="宋体"/>
                <w:szCs w:val="21"/>
              </w:rPr>
            </w:pPr>
            <w:r>
              <w:rPr>
                <w:rFonts w:ascii="宋体" w:hAnsi="宋体"/>
                <w:szCs w:val="21"/>
              </w:rPr>
              <w:t>GB/T</w:t>
            </w:r>
            <w:r>
              <w:rPr>
                <w:rFonts w:hint="eastAsia" w:ascii="宋体" w:hAnsi="宋体"/>
                <w:szCs w:val="21"/>
              </w:rPr>
              <w:t xml:space="preserve"> </w:t>
            </w:r>
            <w:r>
              <w:rPr>
                <w:rFonts w:ascii="宋体" w:hAnsi="宋体"/>
                <w:szCs w:val="21"/>
              </w:rPr>
              <w:t>17657-</w:t>
            </w:r>
            <w:r>
              <w:rPr>
                <w:rFonts w:hint="eastAsia" w:ascii="宋体" w:hAnsi="宋体"/>
                <w:szCs w:val="21"/>
              </w:rPr>
              <w:t>2013</w:t>
            </w:r>
            <w:r>
              <w:rPr>
                <w:rFonts w:ascii="宋体" w:hAnsi="宋体"/>
                <w:szCs w:val="21"/>
              </w:rPr>
              <w:t xml:space="preserv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吸水厚度膨胀率</w:t>
            </w:r>
          </w:p>
        </w:tc>
        <w:tc>
          <w:tcPr>
            <w:tcW w:w="4295" w:type="dxa"/>
          </w:tcPr>
          <w:p>
            <w:pPr>
              <w:snapToGrid w:val="0"/>
              <w:spacing w:line="440" w:lineRule="exact"/>
              <w:jc w:val="left"/>
              <w:rPr>
                <w:rFonts w:ascii="宋体" w:hAnsi="宋体" w:eastAsiaTheme="minorEastAsia"/>
                <w:szCs w:val="21"/>
              </w:rPr>
            </w:pPr>
            <w:r>
              <w:rPr>
                <w:rFonts w:hint="eastAsia" w:asciiTheme="minorEastAsia" w:hAnsiTheme="minorEastAsia" w:eastAsiaTheme="minorEastAsia"/>
                <w:szCs w:val="21"/>
              </w:rPr>
              <w:t>GB/T 17657-2013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表面胶合强度</w:t>
            </w:r>
          </w:p>
        </w:tc>
        <w:tc>
          <w:tcPr>
            <w:tcW w:w="4295"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17657-2013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内结合强度</w:t>
            </w:r>
          </w:p>
        </w:tc>
        <w:tc>
          <w:tcPr>
            <w:tcW w:w="4295"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17657-2013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表面耐磨</w:t>
            </w:r>
          </w:p>
        </w:tc>
        <w:tc>
          <w:tcPr>
            <w:tcW w:w="4295"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17657-2013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表面耐污染腐蚀</w:t>
            </w:r>
          </w:p>
        </w:tc>
        <w:tc>
          <w:tcPr>
            <w:tcW w:w="4295"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17657-2013 4.40.1-4.40.5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3737" w:type="dxa"/>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甲醛释放量</w:t>
            </w:r>
          </w:p>
        </w:tc>
        <w:tc>
          <w:tcPr>
            <w:tcW w:w="4295"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17657-2013 4.60</w:t>
            </w:r>
          </w:p>
        </w:tc>
      </w:tr>
    </w:tbl>
    <w:p>
      <w:pPr>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表4  实木地板</w:t>
      </w:r>
    </w:p>
    <w:tbl>
      <w:tblPr>
        <w:tblStyle w:val="5"/>
        <w:tblW w:w="8752"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4"/>
        <w:gridCol w:w="2542"/>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napToGrid w:val="0"/>
              <w:spacing w:line="440" w:lineRule="exact"/>
              <w:jc w:val="center"/>
              <w:rPr>
                <w:rFonts w:ascii="宋体" w:hAnsi="宋体"/>
                <w:szCs w:val="21"/>
              </w:rPr>
            </w:pPr>
            <w:r>
              <w:rPr>
                <w:rFonts w:hint="eastAsia" w:ascii="宋体" w:hAnsi="宋体"/>
                <w:szCs w:val="21"/>
              </w:rPr>
              <w:t>序号</w:t>
            </w:r>
          </w:p>
        </w:tc>
        <w:tc>
          <w:tcPr>
            <w:tcW w:w="3726" w:type="dxa"/>
            <w:gridSpan w:val="2"/>
          </w:tcPr>
          <w:p>
            <w:pPr>
              <w:snapToGrid w:val="0"/>
              <w:spacing w:line="440" w:lineRule="exact"/>
              <w:jc w:val="center"/>
              <w:rPr>
                <w:rFonts w:ascii="宋体" w:hAnsi="宋体"/>
                <w:szCs w:val="21"/>
              </w:rPr>
            </w:pPr>
            <w:r>
              <w:rPr>
                <w:rFonts w:hint="eastAsia" w:ascii="宋体" w:hAnsi="宋体"/>
                <w:szCs w:val="21"/>
              </w:rPr>
              <w:t>检验项目</w:t>
            </w:r>
          </w:p>
        </w:tc>
        <w:tc>
          <w:tcPr>
            <w:tcW w:w="4306"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726" w:type="dxa"/>
            <w:gridSpan w:val="2"/>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含水率</w:t>
            </w:r>
          </w:p>
        </w:tc>
        <w:tc>
          <w:tcPr>
            <w:tcW w:w="4306"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726" w:type="dxa"/>
            <w:gridSpan w:val="2"/>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漆膜表面耐磨</w:t>
            </w:r>
          </w:p>
        </w:tc>
        <w:tc>
          <w:tcPr>
            <w:tcW w:w="4306" w:type="dxa"/>
          </w:tcPr>
          <w:p>
            <w:pPr>
              <w:snapToGrid w:val="0"/>
              <w:spacing w:line="440" w:lineRule="exact"/>
              <w:jc w:val="left"/>
              <w:rPr>
                <w:rFonts w:ascii="宋体" w:hAnsi="宋体" w:eastAsiaTheme="minorEastAsia"/>
                <w:szCs w:val="21"/>
              </w:rPr>
            </w:pPr>
            <w:r>
              <w:rPr>
                <w:rFonts w:hint="eastAsia" w:asciiTheme="minorEastAsia" w:hAnsiTheme="minorEastAsia" w:eastAsiaTheme="minorEastAsia"/>
                <w:szCs w:val="21"/>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726" w:type="dxa"/>
            <w:gridSpan w:val="2"/>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漆膜附着力</w:t>
            </w:r>
          </w:p>
        </w:tc>
        <w:tc>
          <w:tcPr>
            <w:tcW w:w="4306"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3726" w:type="dxa"/>
            <w:gridSpan w:val="2"/>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漆膜硬度</w:t>
            </w:r>
          </w:p>
        </w:tc>
        <w:tc>
          <w:tcPr>
            <w:tcW w:w="4306"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3726" w:type="dxa"/>
            <w:gridSpan w:val="2"/>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漆膜表面耐污染</w:t>
            </w:r>
          </w:p>
        </w:tc>
        <w:tc>
          <w:tcPr>
            <w:tcW w:w="4306" w:type="dxa"/>
          </w:tcPr>
          <w:p>
            <w:pPr>
              <w:snapToGrid w:val="0"/>
              <w:spacing w:line="440" w:lineRule="exact"/>
              <w:jc w:val="left"/>
              <w:rPr>
                <w:rFonts w:ascii="宋体" w:hAnsi="宋体"/>
                <w:szCs w:val="21"/>
              </w:rPr>
            </w:pPr>
            <w:r>
              <w:rPr>
                <w:rFonts w:hint="eastAsia" w:asciiTheme="minorEastAsia" w:hAnsiTheme="minorEastAsia" w:eastAsiaTheme="minorEastAsia"/>
                <w:szCs w:val="21"/>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84" w:type="dxa"/>
            <w:vMerge w:val="restart"/>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重金属含量（限色漆）</w:t>
            </w:r>
          </w:p>
        </w:tc>
        <w:tc>
          <w:tcPr>
            <w:tcW w:w="2542"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可溶性铅</w:t>
            </w:r>
          </w:p>
        </w:tc>
        <w:tc>
          <w:tcPr>
            <w:tcW w:w="4306" w:type="dxa"/>
            <w:vMerge w:val="restart"/>
          </w:tcPr>
          <w:p>
            <w:pPr>
              <w:snapToGrid w:val="0"/>
              <w:spacing w:line="440" w:lineRule="exact"/>
              <w:jc w:val="left"/>
              <w:rPr>
                <w:rFonts w:asciiTheme="minorEastAsia" w:hAnsiTheme="minorEastAsia" w:eastAsiaTheme="minorEastAsia"/>
                <w:szCs w:val="21"/>
              </w:rPr>
            </w:pPr>
          </w:p>
          <w:p>
            <w:pPr>
              <w:snapToGrid w:val="0"/>
              <w:spacing w:line="440" w:lineRule="exact"/>
              <w:jc w:val="left"/>
              <w:rPr>
                <w:rFonts w:ascii="宋体" w:hAnsi="宋体"/>
                <w:szCs w:val="21"/>
              </w:rPr>
            </w:pPr>
            <w:r>
              <w:rPr>
                <w:rFonts w:hint="eastAsia" w:asciiTheme="minorEastAsia" w:hAnsiTheme="minorEastAsia" w:eastAsiaTheme="minorEastAsia"/>
                <w:szCs w:val="21"/>
              </w:rPr>
              <w:t>GB18584-2001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napToGrid w:val="0"/>
              <w:spacing w:line="320" w:lineRule="exact"/>
              <w:jc w:val="center"/>
              <w:rPr>
                <w:rFonts w:asciiTheme="minorEastAsia" w:hAnsiTheme="minorEastAsia" w:eastAsiaTheme="minorEastAsia"/>
                <w:szCs w:val="21"/>
              </w:rPr>
            </w:pPr>
          </w:p>
        </w:tc>
        <w:tc>
          <w:tcPr>
            <w:tcW w:w="1184" w:type="dxa"/>
            <w:vMerge w:val="continue"/>
            <w:vAlign w:val="center"/>
          </w:tcPr>
          <w:p>
            <w:pPr>
              <w:snapToGrid w:val="0"/>
              <w:spacing w:line="320" w:lineRule="exact"/>
              <w:rPr>
                <w:rFonts w:asciiTheme="minorEastAsia" w:hAnsiTheme="minorEastAsia" w:eastAsiaTheme="minorEastAsia"/>
                <w:szCs w:val="21"/>
              </w:rPr>
            </w:pPr>
          </w:p>
        </w:tc>
        <w:tc>
          <w:tcPr>
            <w:tcW w:w="2542"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可溶性汞</w:t>
            </w:r>
          </w:p>
        </w:tc>
        <w:tc>
          <w:tcPr>
            <w:tcW w:w="4306" w:type="dxa"/>
            <w:vMerge w:val="continue"/>
          </w:tcPr>
          <w:p>
            <w:pPr>
              <w:snapToGrid w:val="0"/>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napToGrid w:val="0"/>
              <w:spacing w:line="320" w:lineRule="exact"/>
              <w:jc w:val="center"/>
              <w:rPr>
                <w:rFonts w:asciiTheme="minorEastAsia" w:hAnsiTheme="minorEastAsia" w:eastAsiaTheme="minorEastAsia"/>
                <w:szCs w:val="21"/>
              </w:rPr>
            </w:pPr>
          </w:p>
        </w:tc>
        <w:tc>
          <w:tcPr>
            <w:tcW w:w="1184" w:type="dxa"/>
            <w:vMerge w:val="continue"/>
            <w:vAlign w:val="center"/>
          </w:tcPr>
          <w:p>
            <w:pPr>
              <w:snapToGrid w:val="0"/>
              <w:spacing w:line="320" w:lineRule="exact"/>
              <w:rPr>
                <w:rFonts w:asciiTheme="minorEastAsia" w:hAnsiTheme="minorEastAsia" w:eastAsiaTheme="minorEastAsia"/>
                <w:szCs w:val="21"/>
              </w:rPr>
            </w:pPr>
          </w:p>
        </w:tc>
        <w:tc>
          <w:tcPr>
            <w:tcW w:w="2542"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可溶性铬</w:t>
            </w:r>
          </w:p>
        </w:tc>
        <w:tc>
          <w:tcPr>
            <w:tcW w:w="4306" w:type="dxa"/>
            <w:vMerge w:val="continue"/>
          </w:tcPr>
          <w:p>
            <w:pPr>
              <w:snapToGrid w:val="0"/>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napToGrid w:val="0"/>
              <w:spacing w:line="320" w:lineRule="exact"/>
              <w:jc w:val="center"/>
              <w:rPr>
                <w:rFonts w:asciiTheme="minorEastAsia" w:hAnsiTheme="minorEastAsia" w:eastAsiaTheme="minorEastAsia"/>
                <w:szCs w:val="21"/>
              </w:rPr>
            </w:pPr>
          </w:p>
        </w:tc>
        <w:tc>
          <w:tcPr>
            <w:tcW w:w="1184" w:type="dxa"/>
            <w:vMerge w:val="continue"/>
            <w:vAlign w:val="center"/>
          </w:tcPr>
          <w:p>
            <w:pPr>
              <w:snapToGrid w:val="0"/>
              <w:spacing w:line="320" w:lineRule="exact"/>
              <w:rPr>
                <w:rFonts w:asciiTheme="minorEastAsia" w:hAnsiTheme="minorEastAsia" w:eastAsiaTheme="minorEastAsia"/>
                <w:szCs w:val="21"/>
              </w:rPr>
            </w:pPr>
          </w:p>
        </w:tc>
        <w:tc>
          <w:tcPr>
            <w:tcW w:w="2542"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可溶性镉</w:t>
            </w:r>
          </w:p>
        </w:tc>
        <w:tc>
          <w:tcPr>
            <w:tcW w:w="4306" w:type="dxa"/>
            <w:vMerge w:val="continue"/>
          </w:tcPr>
          <w:p>
            <w:pPr>
              <w:snapToGrid w:val="0"/>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3726" w:type="dxa"/>
            <w:gridSpan w:val="2"/>
            <w:vAlign w:val="center"/>
          </w:tcPr>
          <w:p>
            <w:pPr>
              <w:snapToGrid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木材名称</w:t>
            </w:r>
          </w:p>
        </w:tc>
        <w:tc>
          <w:tcPr>
            <w:tcW w:w="4306" w:type="dxa"/>
          </w:tcPr>
          <w:p>
            <w:pPr>
              <w:snapToGrid w:val="0"/>
              <w:spacing w:line="440" w:lineRule="exact"/>
              <w:jc w:val="left"/>
              <w:rPr>
                <w:rFonts w:ascii="宋体" w:hAnsi="宋体"/>
                <w:szCs w:val="21"/>
              </w:rPr>
            </w:pPr>
            <w:r>
              <w:rPr>
                <w:rFonts w:hint="eastAsia" w:ascii="宋体" w:hAnsi="宋体"/>
                <w:szCs w:val="21"/>
              </w:rPr>
              <w:t>GB/T 29894-2013</w:t>
            </w:r>
          </w:p>
        </w:tc>
      </w:tr>
    </w:tbl>
    <w:p>
      <w:pPr>
        <w:snapToGrid w:val="0"/>
        <w:spacing w:line="440" w:lineRule="exact"/>
        <w:rPr>
          <w:rFonts w:ascii="黑体" w:hAnsi="宋体" w:eastAsia="黑体"/>
          <w:color w:val="000000"/>
          <w:szCs w:val="21"/>
        </w:rPr>
      </w:pPr>
      <w:r>
        <w:rPr>
          <w:rFonts w:hint="eastAsia" w:ascii="黑体" w:hAnsi="宋体" w:eastAsia="黑体"/>
          <w:color w:val="000000"/>
          <w:szCs w:val="21"/>
        </w:rPr>
        <w:t>3判定规则</w:t>
      </w:r>
    </w:p>
    <w:p>
      <w:pPr>
        <w:snapToGrid w:val="0"/>
        <w:spacing w:line="440" w:lineRule="exact"/>
        <w:rPr>
          <w:rFonts w:ascii="黑体" w:hAnsi="宋体" w:eastAsia="黑体"/>
          <w:color w:val="000000"/>
          <w:szCs w:val="21"/>
        </w:rPr>
      </w:pPr>
      <w:r>
        <w:rPr>
          <w:rFonts w:hint="eastAsia" w:ascii="黑体" w:hAnsi="宋体" w:eastAsia="黑体"/>
          <w:color w:val="000000"/>
          <w:szCs w:val="21"/>
        </w:rPr>
        <w:t>3.1依据标准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18103-2013《实木复合地板》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18102-2020 《浸渍纸层压木质地板》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 18580-2017《室内装饰装修材料 人造板及其制品中甲醛释放限量》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17657-2013《人造板及饰面人造板理化性能试验方法》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4893.4-1985《家具表面漆膜附着力交叉切割测定法》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15036.1-2018《实木地板 第1部分：技术要求》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15036.2-2018《实木地板 第2部分：检验方法》</w:t>
      </w:r>
    </w:p>
    <w:p>
      <w:pPr>
        <w:snapToGrid w:val="0"/>
        <w:spacing w:line="384" w:lineRule="auto"/>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rFonts w:ascii="黑体" w:hAnsi="宋体" w:eastAsia="黑体"/>
          <w:color w:val="000000"/>
          <w:szCs w:val="21"/>
        </w:rPr>
      </w:pPr>
      <w:r>
        <w:rPr>
          <w:rFonts w:hint="eastAsia" w:ascii="黑体" w:hAnsi="宋体" w:eastAsia="黑体"/>
          <w:color w:val="000000"/>
          <w:szCs w:val="21"/>
        </w:rPr>
        <w:t>3.2判定原则</w:t>
      </w:r>
    </w:p>
    <w:p>
      <w:pPr>
        <w:snapToGrid w:val="0"/>
        <w:spacing w:line="440" w:lineRule="exact"/>
        <w:rPr>
          <w:rFonts w:hint="default" w:ascii="黑体" w:hAnsi="宋体" w:eastAsia="黑体"/>
          <w:color w:val="000000"/>
          <w:szCs w:val="21"/>
          <w:lang w:val="en-US" w:eastAsia="zh-CN"/>
        </w:rPr>
      </w:pPr>
      <w:r>
        <w:rPr>
          <w:rFonts w:hint="eastAsia" w:ascii="黑体" w:hAnsi="宋体" w:eastAsia="黑体"/>
          <w:color w:val="000000"/>
          <w:szCs w:val="21"/>
          <w:lang w:val="en-US" w:eastAsia="zh-CN"/>
        </w:rPr>
        <w:t>3.2.1单项判定</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实木复合地板、浸渍纸层压木质地板：任一个检验项目初检样品不合格时，按产品标准要求进行一次双倍复验，当两个复验样品结果均合格时，判定该项目为合格；反之，判定该项目为不合格。</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实木地板：任一个检验项目初检样品合格时，判定该项目为合格；反之，判定该项目为不合格。</w:t>
      </w:r>
    </w:p>
    <w:p>
      <w:pPr>
        <w:snapToGrid w:val="0"/>
        <w:spacing w:line="440" w:lineRule="exact"/>
        <w:rPr>
          <w:rFonts w:hint="default" w:ascii="黑体" w:hAnsi="宋体" w:eastAsia="黑体"/>
          <w:color w:val="000000"/>
          <w:szCs w:val="21"/>
          <w:lang w:val="en-US" w:eastAsia="zh-CN"/>
        </w:rPr>
      </w:pPr>
      <w:r>
        <w:rPr>
          <w:rFonts w:hint="eastAsia" w:ascii="黑体" w:hAnsi="宋体" w:eastAsia="黑体"/>
          <w:color w:val="000000"/>
          <w:szCs w:val="21"/>
          <w:lang w:val="en-US" w:eastAsia="zh-CN"/>
        </w:rPr>
        <w:t>3.2.2综合判定</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r>
        <w:rPr>
          <w:rFonts w:hint="eastAsia" w:asciiTheme="minorEastAsia" w:hAnsiTheme="minorEastAsia" w:eastAsiaTheme="minorEastAsia"/>
          <w:szCs w:val="21"/>
        </w:rPr>
        <w:t>但应在检验报告备注中进行说明。</w:t>
      </w:r>
    </w:p>
    <w:p>
      <w:pPr>
        <w:spacing w:line="360" w:lineRule="auto"/>
        <w:ind w:firstLine="420" w:firstLineChars="200"/>
        <w:rPr>
          <w:rFonts w:asciiTheme="minorEastAsia" w:hAnsiTheme="minorEastAsia" w:eastAsiaTheme="minorEastAsia"/>
          <w:color w:val="FF0000"/>
          <w:szCs w:val="21"/>
        </w:rPr>
      </w:pPr>
    </w:p>
    <w:sectPr>
      <w:footerReference r:id="rId3" w:type="default"/>
      <w:pgSz w:w="11906" w:h="16838"/>
      <w:pgMar w:top="1417" w:right="1417"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48"/>
    <w:rsid w:val="000062EA"/>
    <w:rsid w:val="00011DA5"/>
    <w:rsid w:val="00014E07"/>
    <w:rsid w:val="00030CFD"/>
    <w:rsid w:val="00034F3D"/>
    <w:rsid w:val="00055C54"/>
    <w:rsid w:val="00064ED0"/>
    <w:rsid w:val="000679D7"/>
    <w:rsid w:val="00081820"/>
    <w:rsid w:val="000C5781"/>
    <w:rsid w:val="000C75FE"/>
    <w:rsid w:val="0012667E"/>
    <w:rsid w:val="001364C7"/>
    <w:rsid w:val="00136DB4"/>
    <w:rsid w:val="00182DA0"/>
    <w:rsid w:val="001B4337"/>
    <w:rsid w:val="001F02C9"/>
    <w:rsid w:val="001F367F"/>
    <w:rsid w:val="00210A6C"/>
    <w:rsid w:val="00230444"/>
    <w:rsid w:val="00232ABF"/>
    <w:rsid w:val="00235F2F"/>
    <w:rsid w:val="0024296C"/>
    <w:rsid w:val="002436A5"/>
    <w:rsid w:val="00245BF4"/>
    <w:rsid w:val="00264D9C"/>
    <w:rsid w:val="00283EFA"/>
    <w:rsid w:val="002901B8"/>
    <w:rsid w:val="002969CC"/>
    <w:rsid w:val="002A036E"/>
    <w:rsid w:val="002E6AFB"/>
    <w:rsid w:val="003114A4"/>
    <w:rsid w:val="003218A0"/>
    <w:rsid w:val="003404C2"/>
    <w:rsid w:val="00376396"/>
    <w:rsid w:val="003E2648"/>
    <w:rsid w:val="00432FE0"/>
    <w:rsid w:val="004421D8"/>
    <w:rsid w:val="00456EEF"/>
    <w:rsid w:val="004907F2"/>
    <w:rsid w:val="004A0950"/>
    <w:rsid w:val="004A3F7E"/>
    <w:rsid w:val="004A74F2"/>
    <w:rsid w:val="004E3859"/>
    <w:rsid w:val="005414C5"/>
    <w:rsid w:val="00571D18"/>
    <w:rsid w:val="005915E5"/>
    <w:rsid w:val="005953D9"/>
    <w:rsid w:val="005A57AD"/>
    <w:rsid w:val="005B294E"/>
    <w:rsid w:val="005C03E9"/>
    <w:rsid w:val="005C70EA"/>
    <w:rsid w:val="005D3766"/>
    <w:rsid w:val="00601A2A"/>
    <w:rsid w:val="006450FE"/>
    <w:rsid w:val="0066758D"/>
    <w:rsid w:val="006909AC"/>
    <w:rsid w:val="006C62EB"/>
    <w:rsid w:val="006E59E9"/>
    <w:rsid w:val="00704C03"/>
    <w:rsid w:val="007101CF"/>
    <w:rsid w:val="007273BE"/>
    <w:rsid w:val="00734A6D"/>
    <w:rsid w:val="00741E27"/>
    <w:rsid w:val="00742277"/>
    <w:rsid w:val="00767548"/>
    <w:rsid w:val="00790D8D"/>
    <w:rsid w:val="007A7558"/>
    <w:rsid w:val="007B0EA1"/>
    <w:rsid w:val="007B3F0B"/>
    <w:rsid w:val="007D28AE"/>
    <w:rsid w:val="007F3633"/>
    <w:rsid w:val="007F3929"/>
    <w:rsid w:val="008050C5"/>
    <w:rsid w:val="00823100"/>
    <w:rsid w:val="00832EE3"/>
    <w:rsid w:val="00851856"/>
    <w:rsid w:val="00857BA6"/>
    <w:rsid w:val="00897281"/>
    <w:rsid w:val="008A42BA"/>
    <w:rsid w:val="008B5F33"/>
    <w:rsid w:val="008D1F1D"/>
    <w:rsid w:val="008D4D0B"/>
    <w:rsid w:val="008E2EAB"/>
    <w:rsid w:val="0090258B"/>
    <w:rsid w:val="00930E3F"/>
    <w:rsid w:val="00950AAB"/>
    <w:rsid w:val="00963AC7"/>
    <w:rsid w:val="00987099"/>
    <w:rsid w:val="00A22954"/>
    <w:rsid w:val="00A35E20"/>
    <w:rsid w:val="00A445E1"/>
    <w:rsid w:val="00A603C1"/>
    <w:rsid w:val="00A670DF"/>
    <w:rsid w:val="00A73E4C"/>
    <w:rsid w:val="00AB49BC"/>
    <w:rsid w:val="00AE70A7"/>
    <w:rsid w:val="00AE7FEE"/>
    <w:rsid w:val="00AF62AD"/>
    <w:rsid w:val="00B13516"/>
    <w:rsid w:val="00B23ED5"/>
    <w:rsid w:val="00B32C7A"/>
    <w:rsid w:val="00B4435F"/>
    <w:rsid w:val="00B77224"/>
    <w:rsid w:val="00BA2FBF"/>
    <w:rsid w:val="00BA3EFD"/>
    <w:rsid w:val="00BC7D52"/>
    <w:rsid w:val="00BF528A"/>
    <w:rsid w:val="00C35942"/>
    <w:rsid w:val="00C44B9D"/>
    <w:rsid w:val="00C46AB8"/>
    <w:rsid w:val="00C5750B"/>
    <w:rsid w:val="00C73C1F"/>
    <w:rsid w:val="00C765DA"/>
    <w:rsid w:val="00CA3AD6"/>
    <w:rsid w:val="00CC7181"/>
    <w:rsid w:val="00CD062E"/>
    <w:rsid w:val="00CD5785"/>
    <w:rsid w:val="00CE5173"/>
    <w:rsid w:val="00D04760"/>
    <w:rsid w:val="00DD0A55"/>
    <w:rsid w:val="00DD57C9"/>
    <w:rsid w:val="00DE2821"/>
    <w:rsid w:val="00DE3A5B"/>
    <w:rsid w:val="00DE5908"/>
    <w:rsid w:val="00E067AF"/>
    <w:rsid w:val="00E142B4"/>
    <w:rsid w:val="00E82EF2"/>
    <w:rsid w:val="00EA78EB"/>
    <w:rsid w:val="00ED28E5"/>
    <w:rsid w:val="00EE17F8"/>
    <w:rsid w:val="00F0181D"/>
    <w:rsid w:val="00F547EB"/>
    <w:rsid w:val="00F9176F"/>
    <w:rsid w:val="00FA322D"/>
    <w:rsid w:val="00FD21E0"/>
    <w:rsid w:val="00FE56A8"/>
    <w:rsid w:val="00FE63E6"/>
    <w:rsid w:val="0173537A"/>
    <w:rsid w:val="0295295A"/>
    <w:rsid w:val="02BC0FCC"/>
    <w:rsid w:val="08541E62"/>
    <w:rsid w:val="0CEE6FBC"/>
    <w:rsid w:val="1C695F5E"/>
    <w:rsid w:val="2B834F6E"/>
    <w:rsid w:val="2D4B4273"/>
    <w:rsid w:val="2D801A5B"/>
    <w:rsid w:val="318D7A85"/>
    <w:rsid w:val="4A4E296F"/>
    <w:rsid w:val="4B897C29"/>
    <w:rsid w:val="4C595F3B"/>
    <w:rsid w:val="52DE5F7F"/>
    <w:rsid w:val="53170021"/>
    <w:rsid w:val="5AFC008D"/>
    <w:rsid w:val="5E8857D4"/>
    <w:rsid w:val="5FB930DA"/>
    <w:rsid w:val="68C94BE0"/>
    <w:rsid w:val="6BD83B8D"/>
    <w:rsid w:val="7106336F"/>
    <w:rsid w:val="711307D9"/>
    <w:rsid w:val="7DD74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E0BF0-4338-439A-A232-0388CF0EBC87}">
  <ds:schemaRefs/>
</ds:datastoreItem>
</file>

<file path=docProps/app.xml><?xml version="1.0" encoding="utf-8"?>
<Properties xmlns="http://schemas.openxmlformats.org/officeDocument/2006/extended-properties" xmlns:vt="http://schemas.openxmlformats.org/officeDocument/2006/docPropsVTypes">
  <Template>Normal</Template>
  <Pages>3</Pages>
  <Words>354</Words>
  <Characters>2023</Characters>
  <Lines>16</Lines>
  <Paragraphs>4</Paragraphs>
  <TotalTime>15</TotalTime>
  <ScaleCrop>false</ScaleCrop>
  <LinksUpToDate>false</LinksUpToDate>
  <CharactersWithSpaces>2373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2020-03-30T10:19:00Z</dcterms:created>
  <dc:creator>关社军</dc:creator>
  <cp:lastModifiedBy>宋超</cp:lastModifiedBy>
  <dcterms:modified xsi:type="dcterms:W3CDTF">2022-03-29T01:25:02Z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