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Times New Roman" w:hAnsi="Times New Roman" w:eastAsia="方正小标宋简体" w:cs="方正仿宋简体"/>
          <w:color w:val="000000"/>
          <w:sz w:val="32"/>
          <w:szCs w:val="32"/>
        </w:rPr>
      </w:pPr>
      <w:r>
        <w:rPr>
          <w:rFonts w:hint="eastAsia" w:ascii="黑体" w:hAnsi="黑体" w:eastAsia="黑体" w:cs="黑体"/>
          <w:sz w:val="32"/>
          <w:szCs w:val="32"/>
          <w:lang w:val="en-US" w:eastAsia="zh-CN"/>
        </w:rPr>
        <w:t>附件21</w:t>
      </w:r>
      <w:bookmarkStart w:id="0" w:name="_GoBack"/>
      <w:bookmarkEnd w:id="0"/>
    </w:p>
    <w:p>
      <w:pPr>
        <w:adjustRightInd w:val="0"/>
        <w:snapToGrid w:val="0"/>
        <w:spacing w:line="594" w:lineRule="exact"/>
        <w:jc w:val="center"/>
        <w:rPr>
          <w:rFonts w:ascii="Times New Roman" w:hAnsi="Times New Roman" w:eastAsia="方正小标宋简体" w:cs="方正仿宋简体"/>
          <w:color w:val="000000"/>
          <w:sz w:val="32"/>
          <w:szCs w:val="32"/>
        </w:rPr>
      </w:pPr>
      <w:r>
        <w:rPr>
          <w:rFonts w:hint="eastAsia" w:ascii="Times New Roman" w:hAnsi="Times New Roman" w:eastAsia="方正小标宋简体" w:cs="方正仿宋简体"/>
          <w:color w:val="000000"/>
          <w:sz w:val="32"/>
          <w:szCs w:val="32"/>
        </w:rPr>
        <w:t>陕西省汽车内饰材料</w:t>
      </w:r>
      <w:r>
        <w:rPr>
          <w:rFonts w:ascii="Times New Roman" w:hAnsi="Times New Roman" w:eastAsia="方正小标宋简体" w:cs="方正仿宋简体"/>
          <w:color w:val="000000"/>
          <w:sz w:val="32"/>
          <w:szCs w:val="32"/>
        </w:rPr>
        <w:t>产品质量监督抽查实施细则</w:t>
      </w:r>
    </w:p>
    <w:p/>
    <w:p>
      <w:pPr>
        <w:snapToGrid w:val="0"/>
        <w:spacing w:line="360" w:lineRule="auto"/>
        <w:rPr>
          <w:rFonts w:ascii="黑体" w:hAnsi="黑体" w:eastAsia="黑体"/>
          <w:color w:val="000000"/>
          <w:szCs w:val="21"/>
        </w:rPr>
      </w:pPr>
      <w:r>
        <w:rPr>
          <w:rFonts w:ascii="黑体" w:hAnsi="黑体" w:eastAsia="黑体"/>
          <w:color w:val="000000"/>
          <w:szCs w:val="21"/>
        </w:rPr>
        <w:t>1 抽样方法</w:t>
      </w:r>
    </w:p>
    <w:p>
      <w:pPr>
        <w:spacing w:line="360" w:lineRule="auto"/>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pacing w:line="360" w:lineRule="auto"/>
        <w:ind w:firstLine="420" w:firstLineChars="200"/>
        <w:rPr>
          <w:rFonts w:ascii="宋体" w:hAnsi="宋体"/>
          <w:color w:val="000000"/>
          <w:szCs w:val="21"/>
        </w:rPr>
      </w:pPr>
      <w:r>
        <w:rPr>
          <w:rFonts w:hint="eastAsia" w:ascii="宋体" w:hAnsi="宋体"/>
          <w:color w:val="000000"/>
          <w:szCs w:val="21"/>
        </w:rPr>
        <w:t>随机数一般可使用随机数表等方法产生。</w:t>
      </w:r>
    </w:p>
    <w:p>
      <w:pPr>
        <w:spacing w:line="360" w:lineRule="auto"/>
        <w:ind w:firstLine="420" w:firstLineChars="200"/>
        <w:rPr>
          <w:rFonts w:ascii="宋体" w:hAnsi="宋体"/>
          <w:color w:val="000000"/>
          <w:szCs w:val="21"/>
        </w:rPr>
      </w:pPr>
      <w:r>
        <w:rPr>
          <w:rFonts w:hint="eastAsia" w:ascii="宋体" w:hAnsi="宋体"/>
          <w:color w:val="000000"/>
          <w:szCs w:val="21"/>
        </w:rPr>
        <w:t>在确认的汽车内饰材料产品中随机截取样品</w:t>
      </w:r>
      <w:r>
        <w:rPr>
          <w:rFonts w:ascii="宋体" w:hAnsi="宋体"/>
          <w:color w:val="000000"/>
          <w:szCs w:val="21"/>
        </w:rPr>
        <w:t>1</w:t>
      </w:r>
      <w:r>
        <w:rPr>
          <w:rFonts w:hint="eastAsia" w:ascii="宋体" w:hAnsi="宋体"/>
          <w:color w:val="000000"/>
          <w:szCs w:val="21"/>
        </w:rPr>
        <w:t>2块，其中6块作为检验样品，6块作为备用样品。如果汽车内饰材料沿不同方向有不同燃烧速度，则应在不同方向分别截取样品</w:t>
      </w:r>
      <w:r>
        <w:rPr>
          <w:rFonts w:ascii="宋体" w:hAnsi="宋体"/>
          <w:color w:val="000000"/>
          <w:szCs w:val="21"/>
        </w:rPr>
        <w:t>1</w:t>
      </w:r>
      <w:r>
        <w:rPr>
          <w:rFonts w:hint="eastAsia" w:ascii="宋体" w:hAnsi="宋体"/>
          <w:color w:val="000000"/>
          <w:szCs w:val="21"/>
        </w:rPr>
        <w:t>2块，其中6块作为检验样品，6块作为备用样品。一般要求每块样品的尺寸为</w:t>
      </w:r>
      <w:r>
        <w:rPr>
          <w:rFonts w:ascii="宋体" w:hAnsi="宋体"/>
          <w:color w:val="000000"/>
          <w:szCs w:val="21"/>
        </w:rPr>
        <w:t>356mm</w:t>
      </w:r>
      <w:r>
        <w:rPr>
          <w:rFonts w:hint="eastAsia" w:ascii="宋体" w:hAnsi="宋体"/>
          <w:color w:val="000000"/>
          <w:szCs w:val="21"/>
        </w:rPr>
        <w:t>×</w:t>
      </w:r>
      <w:r>
        <w:rPr>
          <w:rFonts w:ascii="宋体" w:hAnsi="宋体"/>
          <w:color w:val="000000"/>
          <w:szCs w:val="21"/>
        </w:rPr>
        <w:t>100mm</w:t>
      </w:r>
      <w:r>
        <w:rPr>
          <w:rFonts w:hint="eastAsia" w:ascii="宋体" w:hAnsi="宋体"/>
          <w:color w:val="000000"/>
          <w:szCs w:val="21"/>
        </w:rPr>
        <w:t>。</w:t>
      </w:r>
    </w:p>
    <w:p>
      <w:pPr>
        <w:rPr>
          <w:rFonts w:ascii="黑体" w:hAnsi="黑体" w:eastAsia="黑体"/>
          <w:color w:val="000000"/>
          <w:szCs w:val="21"/>
        </w:rPr>
      </w:pPr>
      <w:r>
        <w:rPr>
          <w:rFonts w:ascii="黑体" w:hAnsi="黑体" w:eastAsia="黑体"/>
          <w:color w:val="000000"/>
          <w:szCs w:val="21"/>
        </w:rPr>
        <w:t>2 检验依据</w:t>
      </w:r>
    </w:p>
    <w:p>
      <w:pPr>
        <w:jc w:val="center"/>
        <w:rPr>
          <w:rFonts w:ascii="Times New Roman" w:hAnsi="Times New Roman" w:eastAsia="黑体"/>
          <w:color w:val="000000"/>
          <w:szCs w:val="21"/>
        </w:rPr>
      </w:pPr>
      <w:r>
        <w:rPr>
          <w:rFonts w:hint="eastAsia" w:ascii="宋体" w:hAnsi="宋体"/>
          <w:color w:val="000000"/>
          <w:szCs w:val="21"/>
        </w:rPr>
        <w:t>表1 检验项目</w:t>
      </w:r>
    </w:p>
    <w:tbl>
      <w:tblPr>
        <w:tblStyle w:val="8"/>
        <w:tblW w:w="8512"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314"/>
        <w:gridCol w:w="226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tblHeader/>
        </w:trPr>
        <w:tc>
          <w:tcPr>
            <w:tcW w:w="1237" w:type="dxa"/>
            <w:vAlign w:val="center"/>
          </w:tcPr>
          <w:p>
            <w:pPr>
              <w:spacing w:line="440" w:lineRule="exact"/>
              <w:jc w:val="center"/>
              <w:textAlignment w:val="center"/>
              <w:rPr>
                <w:rFonts w:ascii="Times New Roman" w:hAnsi="Times New Roman"/>
                <w:szCs w:val="21"/>
              </w:rPr>
            </w:pPr>
            <w:r>
              <w:rPr>
                <w:rFonts w:ascii="Times New Roman" w:hAnsi="Times New Roman"/>
              </w:rPr>
              <w:t>序号</w:t>
            </w:r>
          </w:p>
        </w:tc>
        <w:tc>
          <w:tcPr>
            <w:tcW w:w="2314" w:type="dxa"/>
            <w:vAlign w:val="center"/>
          </w:tcPr>
          <w:p>
            <w:pPr>
              <w:spacing w:line="440" w:lineRule="exact"/>
              <w:jc w:val="center"/>
              <w:textAlignment w:val="center"/>
              <w:rPr>
                <w:rFonts w:ascii="Times New Roman" w:hAnsi="Times New Roman"/>
                <w:szCs w:val="21"/>
              </w:rPr>
            </w:pPr>
            <w:r>
              <w:rPr>
                <w:rFonts w:ascii="Times New Roman" w:hAnsi="Times New Roman"/>
              </w:rPr>
              <w:t>检验项目</w:t>
            </w:r>
          </w:p>
        </w:tc>
        <w:tc>
          <w:tcPr>
            <w:tcW w:w="2268" w:type="dxa"/>
            <w:vAlign w:val="center"/>
          </w:tcPr>
          <w:p>
            <w:pPr>
              <w:spacing w:line="440" w:lineRule="exact"/>
              <w:jc w:val="center"/>
              <w:textAlignment w:val="center"/>
              <w:rPr>
                <w:rFonts w:ascii="Times New Roman" w:hAnsi="Times New Roman"/>
                <w:szCs w:val="21"/>
              </w:rPr>
            </w:pPr>
            <w:r>
              <w:rPr>
                <w:rFonts w:hint="eastAsia" w:ascii="Times New Roman" w:hAnsi="Times New Roman"/>
                <w:szCs w:val="21"/>
              </w:rPr>
              <w:t>检验依据</w:t>
            </w:r>
          </w:p>
        </w:tc>
        <w:tc>
          <w:tcPr>
            <w:tcW w:w="2693" w:type="dxa"/>
            <w:vAlign w:val="center"/>
          </w:tcPr>
          <w:p>
            <w:pPr>
              <w:spacing w:line="440" w:lineRule="exact"/>
              <w:jc w:val="center"/>
              <w:textAlignment w:val="center"/>
              <w:rPr>
                <w:rFonts w:ascii="Times New Roman" w:hAnsi="Times New Roman"/>
                <w:szCs w:val="21"/>
              </w:rPr>
            </w:pPr>
            <w:r>
              <w:rPr>
                <w:rFonts w:ascii="Times New Roman" w:hAnsi="Times New Roman"/>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7" w:type="dxa"/>
            <w:vAlign w:val="center"/>
          </w:tcPr>
          <w:p>
            <w:pPr>
              <w:snapToGrid w:val="0"/>
              <w:jc w:val="center"/>
              <w:rPr>
                <w:rFonts w:ascii="Times New Roman" w:hAnsi="Times New Roman"/>
                <w:color w:val="000000"/>
                <w:szCs w:val="21"/>
              </w:rPr>
            </w:pPr>
            <w:r>
              <w:rPr>
                <w:rFonts w:ascii="Times New Roman" w:hAnsi="Times New Roman"/>
                <w:color w:val="000000"/>
                <w:szCs w:val="21"/>
              </w:rPr>
              <w:t>1</w:t>
            </w:r>
          </w:p>
        </w:tc>
        <w:tc>
          <w:tcPr>
            <w:tcW w:w="2314"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铅</w:t>
            </w:r>
          </w:p>
        </w:tc>
        <w:tc>
          <w:tcPr>
            <w:tcW w:w="2268" w:type="dxa"/>
          </w:tcPr>
          <w:p>
            <w:pPr>
              <w:snapToGrid w:val="0"/>
              <w:jc w:val="center"/>
              <w:rPr>
                <w:rFonts w:ascii="Times New Roman" w:hAnsi="Times New Roman"/>
                <w:color w:val="000000"/>
                <w:szCs w:val="21"/>
              </w:rPr>
            </w:pPr>
            <w:r>
              <w:rPr>
                <w:rFonts w:ascii="Times New Roman" w:hAnsi="Times New Roman"/>
                <w:color w:val="000000"/>
                <w:szCs w:val="21"/>
              </w:rPr>
              <w:t xml:space="preserve">GB/T </w:t>
            </w:r>
            <w:r>
              <w:rPr>
                <w:rFonts w:hint="eastAsia" w:ascii="Times New Roman" w:hAnsi="Times New Roman"/>
                <w:color w:val="000000"/>
                <w:szCs w:val="21"/>
              </w:rPr>
              <w:t>30512-2014</w:t>
            </w:r>
          </w:p>
        </w:tc>
        <w:tc>
          <w:tcPr>
            <w:tcW w:w="2693" w:type="dxa"/>
          </w:tcPr>
          <w:p>
            <w:pPr>
              <w:snapToGrid w:val="0"/>
              <w:jc w:val="center"/>
              <w:rPr>
                <w:rFonts w:ascii="Times New Roman" w:hAnsi="Times New Roman"/>
                <w:color w:val="000000"/>
                <w:szCs w:val="21"/>
              </w:rPr>
            </w:pPr>
            <w:r>
              <w:rPr>
                <w:rFonts w:hint="eastAsia" w:ascii="Times New Roman" w:hAnsi="Times New Roman"/>
                <w:color w:val="000000"/>
                <w:szCs w:val="21"/>
              </w:rPr>
              <w:t>QC/T 943-2013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7" w:type="dxa"/>
            <w:vAlign w:val="center"/>
          </w:tcPr>
          <w:p>
            <w:pPr>
              <w:snapToGrid w:val="0"/>
              <w:jc w:val="center"/>
              <w:rPr>
                <w:rFonts w:ascii="Times New Roman" w:hAnsi="Times New Roman"/>
                <w:color w:val="000000"/>
                <w:szCs w:val="21"/>
              </w:rPr>
            </w:pPr>
            <w:r>
              <w:rPr>
                <w:rFonts w:ascii="Times New Roman" w:hAnsi="Times New Roman"/>
                <w:color w:val="000000"/>
                <w:szCs w:val="21"/>
              </w:rPr>
              <w:t>2</w:t>
            </w:r>
          </w:p>
        </w:tc>
        <w:tc>
          <w:tcPr>
            <w:tcW w:w="2314"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汞</w:t>
            </w:r>
          </w:p>
        </w:tc>
        <w:tc>
          <w:tcPr>
            <w:tcW w:w="2268" w:type="dxa"/>
            <w:vAlign w:val="center"/>
          </w:tcPr>
          <w:p>
            <w:pPr>
              <w:snapToGrid w:val="0"/>
              <w:jc w:val="center"/>
              <w:rPr>
                <w:rFonts w:ascii="Times New Roman" w:hAnsi="Times New Roman"/>
                <w:color w:val="000000"/>
                <w:szCs w:val="21"/>
              </w:rPr>
            </w:pPr>
            <w:r>
              <w:rPr>
                <w:rFonts w:ascii="Times New Roman" w:hAnsi="Times New Roman"/>
                <w:color w:val="000000"/>
                <w:szCs w:val="21"/>
              </w:rPr>
              <w:t xml:space="preserve">GB/T </w:t>
            </w:r>
            <w:r>
              <w:rPr>
                <w:rFonts w:hint="eastAsia" w:ascii="Times New Roman" w:hAnsi="Times New Roman"/>
                <w:color w:val="000000"/>
                <w:szCs w:val="21"/>
              </w:rPr>
              <w:t>30512-2014</w:t>
            </w:r>
          </w:p>
        </w:tc>
        <w:tc>
          <w:tcPr>
            <w:tcW w:w="2693"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QC/T 941-2013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7" w:type="dxa"/>
            <w:vAlign w:val="center"/>
          </w:tcPr>
          <w:p>
            <w:pPr>
              <w:snapToGrid w:val="0"/>
              <w:jc w:val="center"/>
              <w:rPr>
                <w:rFonts w:ascii="Times New Roman" w:hAnsi="Times New Roman"/>
                <w:color w:val="000000"/>
                <w:szCs w:val="21"/>
              </w:rPr>
            </w:pPr>
            <w:r>
              <w:rPr>
                <w:rFonts w:ascii="Times New Roman" w:hAnsi="Times New Roman"/>
                <w:color w:val="000000"/>
                <w:szCs w:val="21"/>
              </w:rPr>
              <w:t>3</w:t>
            </w:r>
          </w:p>
        </w:tc>
        <w:tc>
          <w:tcPr>
            <w:tcW w:w="2314"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镉</w:t>
            </w:r>
          </w:p>
        </w:tc>
        <w:tc>
          <w:tcPr>
            <w:tcW w:w="2268" w:type="dxa"/>
            <w:vAlign w:val="center"/>
          </w:tcPr>
          <w:p>
            <w:pPr>
              <w:snapToGrid w:val="0"/>
              <w:jc w:val="center"/>
              <w:rPr>
                <w:rFonts w:ascii="Times New Roman" w:hAnsi="Times New Roman"/>
                <w:color w:val="000000"/>
                <w:szCs w:val="21"/>
              </w:rPr>
            </w:pPr>
            <w:r>
              <w:rPr>
                <w:rFonts w:ascii="Times New Roman" w:hAnsi="Times New Roman"/>
                <w:color w:val="000000"/>
                <w:szCs w:val="21"/>
              </w:rPr>
              <w:t xml:space="preserve">GB/T </w:t>
            </w:r>
            <w:r>
              <w:rPr>
                <w:rFonts w:hint="eastAsia" w:ascii="Times New Roman" w:hAnsi="Times New Roman"/>
                <w:color w:val="000000"/>
                <w:szCs w:val="21"/>
              </w:rPr>
              <w:t>30512-2014</w:t>
            </w:r>
          </w:p>
        </w:tc>
        <w:tc>
          <w:tcPr>
            <w:tcW w:w="2693"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QC/T 943-2013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7" w:type="dxa"/>
            <w:vAlign w:val="center"/>
          </w:tcPr>
          <w:p>
            <w:pPr>
              <w:snapToGrid w:val="0"/>
              <w:jc w:val="center"/>
              <w:rPr>
                <w:rFonts w:ascii="Times New Roman" w:hAnsi="Times New Roman"/>
                <w:color w:val="000000"/>
                <w:szCs w:val="21"/>
              </w:rPr>
            </w:pPr>
            <w:r>
              <w:rPr>
                <w:rFonts w:ascii="Times New Roman" w:hAnsi="Times New Roman"/>
                <w:color w:val="000000"/>
                <w:szCs w:val="21"/>
              </w:rPr>
              <w:t>4</w:t>
            </w:r>
          </w:p>
        </w:tc>
        <w:tc>
          <w:tcPr>
            <w:tcW w:w="2314"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六价铬</w:t>
            </w:r>
          </w:p>
        </w:tc>
        <w:tc>
          <w:tcPr>
            <w:tcW w:w="2268" w:type="dxa"/>
            <w:vAlign w:val="center"/>
          </w:tcPr>
          <w:p>
            <w:pPr>
              <w:snapToGrid w:val="0"/>
              <w:jc w:val="center"/>
              <w:rPr>
                <w:rFonts w:ascii="Times New Roman" w:hAnsi="Times New Roman"/>
                <w:color w:val="000000"/>
                <w:szCs w:val="21"/>
              </w:rPr>
            </w:pPr>
            <w:r>
              <w:rPr>
                <w:rFonts w:ascii="Times New Roman" w:hAnsi="Times New Roman"/>
                <w:color w:val="000000"/>
                <w:szCs w:val="21"/>
              </w:rPr>
              <w:t xml:space="preserve">GB/T </w:t>
            </w:r>
            <w:r>
              <w:rPr>
                <w:rFonts w:hint="eastAsia" w:ascii="Times New Roman" w:hAnsi="Times New Roman"/>
                <w:color w:val="000000"/>
                <w:szCs w:val="21"/>
              </w:rPr>
              <w:t>30512-2014</w:t>
            </w:r>
          </w:p>
        </w:tc>
        <w:tc>
          <w:tcPr>
            <w:tcW w:w="2693"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QC/T 942-2013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37" w:type="dxa"/>
            <w:vAlign w:val="center"/>
          </w:tcPr>
          <w:p>
            <w:pPr>
              <w:snapToGrid w:val="0"/>
              <w:jc w:val="center"/>
              <w:rPr>
                <w:rFonts w:ascii="Times New Roman" w:hAnsi="Times New Roman"/>
                <w:color w:val="000000"/>
                <w:szCs w:val="21"/>
              </w:rPr>
            </w:pPr>
            <w:r>
              <w:rPr>
                <w:rFonts w:ascii="Times New Roman" w:hAnsi="Times New Roman"/>
                <w:color w:val="000000"/>
                <w:szCs w:val="21"/>
              </w:rPr>
              <w:t>5</w:t>
            </w:r>
          </w:p>
        </w:tc>
        <w:tc>
          <w:tcPr>
            <w:tcW w:w="2314"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多溴联苯(PBBs)</w:t>
            </w:r>
          </w:p>
        </w:tc>
        <w:tc>
          <w:tcPr>
            <w:tcW w:w="2268" w:type="dxa"/>
            <w:vAlign w:val="center"/>
          </w:tcPr>
          <w:p>
            <w:pPr>
              <w:snapToGrid w:val="0"/>
              <w:jc w:val="center"/>
              <w:rPr>
                <w:rFonts w:ascii="Times New Roman" w:hAnsi="Times New Roman"/>
                <w:color w:val="000000"/>
                <w:szCs w:val="21"/>
              </w:rPr>
            </w:pPr>
            <w:r>
              <w:rPr>
                <w:rFonts w:ascii="Times New Roman" w:hAnsi="Times New Roman"/>
                <w:color w:val="000000"/>
                <w:szCs w:val="21"/>
              </w:rPr>
              <w:t xml:space="preserve">GB/T </w:t>
            </w:r>
            <w:r>
              <w:rPr>
                <w:rFonts w:hint="eastAsia" w:ascii="Times New Roman" w:hAnsi="Times New Roman"/>
                <w:color w:val="000000"/>
                <w:szCs w:val="21"/>
              </w:rPr>
              <w:t>30512-2014</w:t>
            </w:r>
          </w:p>
        </w:tc>
        <w:tc>
          <w:tcPr>
            <w:tcW w:w="2693"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QC/T 944-2013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37" w:type="dxa"/>
            <w:vAlign w:val="center"/>
          </w:tcPr>
          <w:p>
            <w:pPr>
              <w:snapToGrid w:val="0"/>
              <w:jc w:val="center"/>
              <w:rPr>
                <w:rFonts w:ascii="Times New Roman" w:hAnsi="Times New Roman"/>
                <w:color w:val="000000"/>
                <w:szCs w:val="21"/>
              </w:rPr>
            </w:pPr>
            <w:r>
              <w:rPr>
                <w:rFonts w:ascii="Times New Roman" w:hAnsi="Times New Roman"/>
                <w:color w:val="000000"/>
                <w:szCs w:val="21"/>
              </w:rPr>
              <w:t>6</w:t>
            </w:r>
          </w:p>
        </w:tc>
        <w:tc>
          <w:tcPr>
            <w:tcW w:w="2314"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多溴联苯醚(PBDEs)</w:t>
            </w:r>
          </w:p>
        </w:tc>
        <w:tc>
          <w:tcPr>
            <w:tcW w:w="2268" w:type="dxa"/>
            <w:vAlign w:val="center"/>
          </w:tcPr>
          <w:p>
            <w:pPr>
              <w:snapToGrid w:val="0"/>
              <w:jc w:val="center"/>
              <w:rPr>
                <w:rFonts w:ascii="Times New Roman" w:hAnsi="Times New Roman"/>
                <w:color w:val="000000"/>
                <w:szCs w:val="21"/>
              </w:rPr>
            </w:pPr>
            <w:r>
              <w:rPr>
                <w:rFonts w:ascii="Times New Roman" w:hAnsi="Times New Roman"/>
                <w:color w:val="000000"/>
                <w:szCs w:val="21"/>
              </w:rPr>
              <w:t xml:space="preserve">GB/T </w:t>
            </w:r>
            <w:r>
              <w:rPr>
                <w:rFonts w:hint="eastAsia" w:ascii="Times New Roman" w:hAnsi="Times New Roman"/>
                <w:color w:val="000000"/>
                <w:szCs w:val="21"/>
              </w:rPr>
              <w:t>30512-2014</w:t>
            </w:r>
          </w:p>
        </w:tc>
        <w:tc>
          <w:tcPr>
            <w:tcW w:w="2693"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QC/T 944-2013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237"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7</w:t>
            </w:r>
          </w:p>
        </w:tc>
        <w:tc>
          <w:tcPr>
            <w:tcW w:w="2314"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燃烧特性</w:t>
            </w:r>
          </w:p>
        </w:tc>
        <w:tc>
          <w:tcPr>
            <w:tcW w:w="2268" w:type="dxa"/>
            <w:vAlign w:val="center"/>
          </w:tcPr>
          <w:p>
            <w:pPr>
              <w:snapToGrid w:val="0"/>
              <w:ind w:firstLine="420" w:firstLineChars="200"/>
              <w:rPr>
                <w:rFonts w:ascii="Times New Roman" w:hAnsi="Times New Roman"/>
                <w:color w:val="000000"/>
                <w:szCs w:val="21"/>
              </w:rPr>
            </w:pPr>
            <w:r>
              <w:rPr>
                <w:rFonts w:hint="eastAsia" w:ascii="Times New Roman" w:hAnsi="Times New Roman"/>
                <w:color w:val="000000"/>
                <w:szCs w:val="21"/>
              </w:rPr>
              <w:t>GB 8410-2006</w:t>
            </w:r>
            <w:r>
              <w:rPr>
                <w:rFonts w:hint="eastAsia" w:ascii="仿宋" w:hAnsi="仿宋" w:eastAsia="仿宋" w:cs="仿宋"/>
                <w:sz w:val="28"/>
                <w:szCs w:val="28"/>
              </w:rPr>
              <w:t xml:space="preserve"> </w:t>
            </w:r>
          </w:p>
        </w:tc>
        <w:tc>
          <w:tcPr>
            <w:tcW w:w="2693" w:type="dxa"/>
            <w:vAlign w:val="center"/>
          </w:tcPr>
          <w:p>
            <w:pPr>
              <w:snapToGrid w:val="0"/>
              <w:jc w:val="center"/>
              <w:rPr>
                <w:rFonts w:ascii="Times New Roman" w:hAnsi="Times New Roman"/>
                <w:color w:val="000000"/>
                <w:szCs w:val="21"/>
              </w:rPr>
            </w:pPr>
            <w:r>
              <w:rPr>
                <w:rFonts w:hint="eastAsia" w:ascii="Times New Roman" w:hAnsi="Times New Roman"/>
                <w:color w:val="000000"/>
                <w:szCs w:val="21"/>
              </w:rPr>
              <w:t>GB 8410-2006</w:t>
            </w:r>
            <w:r>
              <w:rPr>
                <w:rFonts w:hint="eastAsia" w:ascii="仿宋" w:hAnsi="仿宋" w:eastAsia="仿宋" w:cs="仿宋"/>
                <w:sz w:val="28"/>
                <w:szCs w:val="28"/>
              </w:rPr>
              <w:t xml:space="preserve"> </w:t>
            </w:r>
          </w:p>
        </w:tc>
      </w:tr>
    </w:tbl>
    <w:p>
      <w:pPr>
        <w:snapToGrid w:val="0"/>
        <w:spacing w:line="384" w:lineRule="auto"/>
        <w:ind w:firstLine="420" w:firstLineChars="200"/>
        <w:rPr>
          <w:rFonts w:ascii="Times New Roman" w:hAnsi="Times New Roman"/>
          <w:color w:val="000000"/>
          <w:szCs w:val="21"/>
        </w:rPr>
      </w:pPr>
    </w:p>
    <w:p>
      <w:pPr>
        <w:snapToGrid w:val="0"/>
        <w:spacing w:line="384" w:lineRule="auto"/>
        <w:ind w:firstLine="420" w:firstLineChars="200"/>
        <w:rPr>
          <w:rFonts w:ascii="Times New Roman" w:hAnsi="Times New Roman"/>
          <w:color w:val="000000"/>
          <w:szCs w:val="21"/>
        </w:rPr>
      </w:pPr>
      <w:r>
        <w:rPr>
          <w:rFonts w:hint="eastAsia" w:ascii="Times New Roman" w:hAnsi="Times New Roman"/>
          <w:color w:val="000000"/>
          <w:szCs w:val="21"/>
        </w:rPr>
        <w:t>执行企业标准、团体标准、地方标准的产品，检验项目参照上述内容执行。</w:t>
      </w:r>
    </w:p>
    <w:p>
      <w:pPr>
        <w:spacing w:line="360" w:lineRule="auto"/>
        <w:rPr>
          <w:rFonts w:ascii="黑体" w:hAnsi="黑体" w:eastAsia="黑体"/>
          <w:color w:val="000000"/>
          <w:szCs w:val="21"/>
        </w:rPr>
      </w:pPr>
      <w:r>
        <w:rPr>
          <w:rFonts w:ascii="黑体" w:hAnsi="黑体" w:eastAsia="黑体"/>
          <w:color w:val="000000"/>
          <w:szCs w:val="21"/>
        </w:rPr>
        <w:t>3 判定规则</w:t>
      </w:r>
    </w:p>
    <w:p>
      <w:pPr>
        <w:snapToGrid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3.1依据标准</w:t>
      </w:r>
    </w:p>
    <w:p>
      <w:pPr>
        <w:snapToGrid w:val="0"/>
        <w:spacing w:line="360" w:lineRule="auto"/>
        <w:ind w:firstLine="420" w:firstLineChars="20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GB 8410-2006《汽车内饰材料的燃烧特性》</w:t>
      </w:r>
    </w:p>
    <w:p>
      <w:pPr>
        <w:snapToGrid w:val="0"/>
        <w:spacing w:line="360"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 xml:space="preserve">GB/T </w:t>
      </w:r>
      <w:r>
        <w:rPr>
          <w:rFonts w:hint="eastAsia" w:asciiTheme="minorEastAsia" w:hAnsiTheme="minorEastAsia" w:eastAsiaTheme="minorEastAsia"/>
          <w:color w:val="000000"/>
          <w:szCs w:val="21"/>
        </w:rPr>
        <w:t xml:space="preserve">30512-2014  《汽车禁用物质要求》 </w:t>
      </w:r>
    </w:p>
    <w:p>
      <w:pPr>
        <w:snapToGrid w:val="0"/>
        <w:spacing w:line="384"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现行有效的企业标准、团体标准、地方标准及产品明示质量要求</w:t>
      </w:r>
    </w:p>
    <w:p>
      <w:pPr>
        <w:snapToGrid w:val="0"/>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3.2判定原则</w:t>
      </w:r>
    </w:p>
    <w:p>
      <w:pPr>
        <w:snapToGrid w:val="0"/>
        <w:spacing w:line="384"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经检验，检验项目全部合格，判定为被抽查产品</w:t>
      </w:r>
      <w:r>
        <w:rPr>
          <w:rFonts w:hint="eastAsia" w:asciiTheme="minorEastAsia" w:hAnsiTheme="minorEastAsia" w:eastAsiaTheme="minorEastAsia"/>
          <w:color w:val="000000" w:themeColor="text1"/>
          <w:szCs w:val="21"/>
          <w14:textFill>
            <w14:solidFill>
              <w14:schemeClr w14:val="tx1"/>
            </w14:solidFill>
          </w14:textFill>
        </w:rPr>
        <w:t>未发现不</w:t>
      </w:r>
      <w:r>
        <w:rPr>
          <w:rFonts w:asciiTheme="minorEastAsia" w:hAnsiTheme="minorEastAsia" w:eastAsiaTheme="minorEastAsia"/>
          <w:color w:val="000000"/>
          <w:szCs w:val="21"/>
        </w:rPr>
        <w:t>合格；检验项目中任一项或一项以上不合格，判定为被抽查产品不合格。</w:t>
      </w:r>
    </w:p>
    <w:p>
      <w:pPr>
        <w:snapToGrid w:val="0"/>
        <w:spacing w:line="384"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若被检产品明示的质量要求高于本细则中检验项目依据的标准要求时，应按被检产品明示的质量要求判定。</w:t>
      </w:r>
    </w:p>
    <w:p>
      <w:pPr>
        <w:snapToGrid w:val="0"/>
        <w:spacing w:line="384"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若被检产品明示的质量要求低于本细则中检验项目依据的强制性标准要求时，应按照强制性标准要求判定。</w:t>
      </w:r>
    </w:p>
    <w:p>
      <w:pPr>
        <w:snapToGrid w:val="0"/>
        <w:spacing w:line="384"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若被检产品明示的质量要求低于或包含本细则中检验项目依据的推荐性标准要求时，应以被检产品明示的质量要求判定。</w:t>
      </w:r>
    </w:p>
    <w:p>
      <w:pPr>
        <w:snapToGrid w:val="0"/>
        <w:spacing w:line="384"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若被检产品明示的质量要求缺少本细则中检验项目依据的强制性标准要求时，应按照强制性标准要求判定。</w:t>
      </w:r>
    </w:p>
    <w:p>
      <w:pPr>
        <w:snapToGrid w:val="0"/>
        <w:spacing w:line="384" w:lineRule="auto"/>
        <w:ind w:firstLine="420" w:firstLineChars="200"/>
        <w:rPr>
          <w:rFonts w:asciiTheme="minorEastAsia" w:hAnsiTheme="minorEastAsia" w:eastAsiaTheme="minorEastAsia"/>
          <w:color w:val="000000"/>
          <w:szCs w:val="21"/>
        </w:rPr>
      </w:pPr>
      <w:r>
        <w:rPr>
          <w:rFonts w:asciiTheme="minorEastAsia" w:hAnsiTheme="minorEastAsia" w:eastAsiaTheme="minorEastAsia"/>
          <w:color w:val="000000"/>
          <w:szCs w:val="21"/>
        </w:rPr>
        <w:t>若被检产品明示的质量要求缺少本细则中检验项目依据的推荐性标准要求时，该项目不参与判定。</w:t>
      </w:r>
    </w:p>
    <w:p>
      <w:pPr>
        <w:ind w:firstLine="420"/>
        <w:rPr>
          <w:rFonts w:ascii="Times New Roman" w:hAnsi="Times New Roman"/>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WY3ZTE1N2E3MWRjMjY4MDllNzRhNDliMjA3ODIifQ=="/>
  </w:docVars>
  <w:rsids>
    <w:rsidRoot w:val="3FF92951"/>
    <w:rsid w:val="00094AD0"/>
    <w:rsid w:val="00102060"/>
    <w:rsid w:val="00111C4F"/>
    <w:rsid w:val="001747D5"/>
    <w:rsid w:val="00196F2C"/>
    <w:rsid w:val="001C62AE"/>
    <w:rsid w:val="00252EDB"/>
    <w:rsid w:val="002F4CB8"/>
    <w:rsid w:val="0037428F"/>
    <w:rsid w:val="00375376"/>
    <w:rsid w:val="00402320"/>
    <w:rsid w:val="004421BE"/>
    <w:rsid w:val="00480B82"/>
    <w:rsid w:val="005A63A7"/>
    <w:rsid w:val="005C2196"/>
    <w:rsid w:val="006978EC"/>
    <w:rsid w:val="006D5B62"/>
    <w:rsid w:val="006F2FAF"/>
    <w:rsid w:val="007E6558"/>
    <w:rsid w:val="007F77D8"/>
    <w:rsid w:val="0083577C"/>
    <w:rsid w:val="008422CE"/>
    <w:rsid w:val="00A343E8"/>
    <w:rsid w:val="00AB7F6E"/>
    <w:rsid w:val="00BF784B"/>
    <w:rsid w:val="00C824F1"/>
    <w:rsid w:val="00CF18DD"/>
    <w:rsid w:val="00CF4859"/>
    <w:rsid w:val="00D97A6C"/>
    <w:rsid w:val="00DF0172"/>
    <w:rsid w:val="00E43F4D"/>
    <w:rsid w:val="00F54145"/>
    <w:rsid w:val="00FA0C19"/>
    <w:rsid w:val="05A271B1"/>
    <w:rsid w:val="06686532"/>
    <w:rsid w:val="1F164C31"/>
    <w:rsid w:val="2203512E"/>
    <w:rsid w:val="3A7108F4"/>
    <w:rsid w:val="3FF92951"/>
    <w:rsid w:val="455A0F87"/>
    <w:rsid w:val="531F4623"/>
    <w:rsid w:val="5C24372E"/>
    <w:rsid w:val="610079A6"/>
    <w:rsid w:val="615A5837"/>
    <w:rsid w:val="712B4A0D"/>
    <w:rsid w:val="7AAC3D9C"/>
    <w:rsid w:val="7ACC4208"/>
    <w:rsid w:val="7AD308E5"/>
    <w:rsid w:val="7DEA12B7"/>
    <w:rsid w:val="7E313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宋体" w:cs="Arial"/>
      <w:sz w:val="24"/>
    </w:rPr>
  </w:style>
  <w:style w:type="paragraph" w:styleId="3">
    <w:name w:val="annotation text"/>
    <w:basedOn w:val="1"/>
    <w:qFormat/>
    <w:uiPriority w:val="0"/>
    <w:pPr>
      <w:jc w:val="left"/>
    </w:pPr>
  </w:style>
  <w:style w:type="paragraph" w:styleId="4">
    <w:name w:val="Balloon Text"/>
    <w:basedOn w:val="1"/>
    <w:link w:val="11"/>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框文本 字符"/>
    <w:basedOn w:val="9"/>
    <w:link w:val="4"/>
    <w:qFormat/>
    <w:uiPriority w:val="0"/>
    <w:rPr>
      <w:rFonts w:ascii="Calibri" w:hAnsi="Calibri" w:eastAsia="宋体" w:cs="Times New Roman"/>
      <w:kern w:val="2"/>
      <w:sz w:val="18"/>
      <w:szCs w:val="18"/>
    </w:rPr>
  </w:style>
  <w:style w:type="character" w:customStyle="1" w:styleId="12">
    <w:name w:val="页眉 字符"/>
    <w:basedOn w:val="9"/>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141</Words>
  <Characters>808</Characters>
  <Lines>6</Lines>
  <Paragraphs>1</Paragraphs>
  <TotalTime>0</TotalTime>
  <ScaleCrop>false</ScaleCrop>
  <LinksUpToDate>false</LinksUpToDate>
  <CharactersWithSpaces>948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2022-06-27T08:38:00Z</dcterms:created>
  <dc:creator>关社军</dc:creator>
  <cp:lastModifiedBy>宋超</cp:lastModifiedBy>
  <dcterms:modified xsi:type="dcterms:W3CDTF">2022-07-06T08:27:29Z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0CDE7B93944C4FADA464148CA57CC8B5</vt:lpwstr>
  </property>
</Properties>
</file>