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方正小标宋简体" w:hAnsi="仿宋" w:eastAsia="方正小标宋简体" w:cs="方正仿宋简体"/>
          <w:sz w:val="32"/>
          <w:szCs w:val="32"/>
        </w:rPr>
      </w:pPr>
      <w:r>
        <w:rPr>
          <w:rFonts w:hint="eastAsia" w:ascii="黑体" w:hAnsi="黑体" w:eastAsia="黑体" w:cs="黑体"/>
          <w:sz w:val="32"/>
          <w:szCs w:val="32"/>
          <w:lang w:val="en-US" w:eastAsia="zh-CN"/>
        </w:rPr>
        <w:t>附件15</w:t>
      </w:r>
    </w:p>
    <w:p>
      <w:pPr>
        <w:keepNext w:val="0"/>
        <w:keepLines w:val="0"/>
        <w:pageBreakBefore w:val="0"/>
        <w:kinsoku/>
        <w:wordWrap/>
        <w:overflowPunct/>
        <w:topLinePunct w:val="0"/>
        <w:autoSpaceDE/>
        <w:autoSpaceDN/>
        <w:bidi w:val="0"/>
        <w:adjustRightInd/>
        <w:snapToGrid/>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sz w:val="32"/>
          <w:szCs w:val="32"/>
        </w:rPr>
        <w:t>陕西省</w:t>
      </w:r>
      <w:bookmarkStart w:id="0" w:name="_GoBack"/>
      <w:bookmarkEnd w:id="0"/>
      <w:r>
        <w:rPr>
          <w:rFonts w:hint="eastAsia" w:ascii="方正小标宋简体" w:hAnsi="仿宋" w:eastAsia="方正小标宋简体" w:cs="方正仿宋简体"/>
          <w:sz w:val="32"/>
          <w:szCs w:val="32"/>
        </w:rPr>
        <w:t>冷水水表</w:t>
      </w:r>
      <w:r>
        <w:rPr>
          <w:rFonts w:hint="eastAsia" w:ascii="方正小标宋简体" w:hAnsi="仿宋" w:eastAsia="方正小标宋简体" w:cs="方正仿宋简体"/>
          <w:color w:val="000000"/>
          <w:sz w:val="32"/>
          <w:szCs w:val="32"/>
        </w:rPr>
        <w:t>产品质量监督抽查实施细则</w:t>
      </w:r>
    </w:p>
    <w:p>
      <w:pPr>
        <w:keepNext w:val="0"/>
        <w:keepLines w:val="0"/>
        <w:pageBreakBefore w:val="0"/>
        <w:kinsoku/>
        <w:wordWrap/>
        <w:overflowPunct/>
        <w:topLinePunct w:val="0"/>
        <w:autoSpaceDE/>
        <w:autoSpaceDN/>
        <w:bidi w:val="0"/>
        <w:adjustRightInd/>
        <w:snapToGrid/>
        <w:spacing w:line="360" w:lineRule="auto"/>
        <w:ind w:firstLine="359" w:firstLineChars="171"/>
        <w:rPr>
          <w:rFonts w:ascii="宋体" w:hAnsi="宋体"/>
          <w:color w:val="000000"/>
          <w:szCs w:val="21"/>
        </w:rPr>
      </w:pPr>
    </w:p>
    <w:p>
      <w:pPr>
        <w:keepNext w:val="0"/>
        <w:keepLines w:val="0"/>
        <w:pageBreakBefore w:val="0"/>
        <w:kinsoku/>
        <w:wordWrap/>
        <w:overflowPunct/>
        <w:topLinePunct w:val="0"/>
        <w:autoSpaceDE/>
        <w:autoSpaceDN/>
        <w:bidi w:val="0"/>
        <w:adjustRightInd/>
        <w:snapToGrid/>
        <w:spacing w:line="360" w:lineRule="auto"/>
        <w:rPr>
          <w:rFonts w:ascii="黑体" w:hAnsi="宋体" w:eastAsia="黑体"/>
          <w:color w:val="000000"/>
          <w:szCs w:val="21"/>
        </w:rPr>
      </w:pPr>
      <w:r>
        <w:rPr>
          <w:rFonts w:hint="eastAsia" w:ascii="黑体" w:hAnsi="宋体" w:eastAsia="黑体"/>
          <w:color w:val="000000"/>
          <w:szCs w:val="21"/>
        </w:rPr>
        <w:t>1 抽样方法</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color w:val="000000"/>
          <w:szCs w:val="21"/>
        </w:rPr>
      </w:pPr>
      <w:r>
        <w:rPr>
          <w:rFonts w:hint="eastAsia" w:ascii="宋体" w:hAnsi="宋体"/>
          <w:color w:val="000000"/>
          <w:szCs w:val="21"/>
        </w:rPr>
        <w:t>每批次抽样数量3台，备样3台。</w:t>
      </w:r>
    </w:p>
    <w:p>
      <w:pPr>
        <w:keepNext w:val="0"/>
        <w:keepLines w:val="0"/>
        <w:pageBreakBefore w:val="0"/>
        <w:kinsoku/>
        <w:wordWrap/>
        <w:overflowPunct/>
        <w:topLinePunct w:val="0"/>
        <w:autoSpaceDE/>
        <w:autoSpaceDN/>
        <w:bidi w:val="0"/>
        <w:adjustRightInd/>
        <w:snapToGrid/>
        <w:spacing w:line="360" w:lineRule="auto"/>
        <w:rPr>
          <w:rFonts w:ascii="黑体" w:hAnsi="宋体" w:eastAsia="黑体"/>
          <w:color w:val="000000"/>
          <w:szCs w:val="21"/>
        </w:rPr>
      </w:pPr>
      <w:r>
        <w:rPr>
          <w:rFonts w:hint="eastAsia" w:ascii="黑体" w:hAnsi="宋体" w:eastAsia="黑体"/>
          <w:color w:val="000000"/>
          <w:szCs w:val="21"/>
        </w:rPr>
        <w:t>2 检验依据</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olor w:val="000000"/>
          <w:szCs w:val="21"/>
        </w:rPr>
      </w:pPr>
      <w:r>
        <w:rPr>
          <w:rFonts w:hint="eastAsia" w:ascii="宋体" w:hAnsi="宋体"/>
          <w:color w:val="000000"/>
          <w:szCs w:val="21"/>
        </w:rPr>
        <w:t>表1  检验项目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3402"/>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olor w:val="000000"/>
                <w:szCs w:val="21"/>
              </w:rPr>
            </w:pPr>
            <w:r>
              <w:rPr>
                <w:rFonts w:hint="eastAsia" w:ascii="宋体" w:hAnsi="宋体"/>
                <w:color w:val="000000"/>
                <w:szCs w:val="21"/>
              </w:rPr>
              <w:t>序号</w:t>
            </w:r>
          </w:p>
        </w:tc>
        <w:tc>
          <w:tcPr>
            <w:tcW w:w="2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olor w:val="000000"/>
                <w:szCs w:val="21"/>
              </w:rPr>
            </w:pPr>
            <w:r>
              <w:rPr>
                <w:rFonts w:hint="eastAsia" w:ascii="宋体" w:hAnsi="宋体"/>
                <w:color w:val="000000"/>
                <w:szCs w:val="21"/>
              </w:rPr>
              <w:t>检验项目</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olor w:val="000000"/>
                <w:szCs w:val="21"/>
              </w:rPr>
            </w:pPr>
            <w:r>
              <w:rPr>
                <w:rFonts w:hint="eastAsia" w:ascii="宋体" w:hAnsi="宋体"/>
                <w:color w:val="000000"/>
                <w:szCs w:val="21"/>
              </w:rPr>
              <w:t>检验依据</w:t>
            </w:r>
          </w:p>
        </w:tc>
        <w:tc>
          <w:tcPr>
            <w:tcW w:w="28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1</w:t>
            </w:r>
          </w:p>
        </w:tc>
        <w:tc>
          <w:tcPr>
            <w:tcW w:w="2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标记与铭牌</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Style w:val="19"/>
                <w:rFonts w:ascii="宋体" w:hAnsi="宋体" w:cs="宋体"/>
                <w:sz w:val="21"/>
                <w:szCs w:val="21"/>
                <w:lang w:bidi="ar"/>
              </w:rPr>
            </w:pPr>
            <w:r>
              <w:rPr>
                <w:rStyle w:val="19"/>
                <w:rFonts w:hint="eastAsia" w:ascii="宋体" w:hAnsi="宋体" w:cs="宋体"/>
                <w:sz w:val="21"/>
                <w:szCs w:val="21"/>
                <w:lang w:bidi="ar"/>
              </w:rPr>
              <w:t>GB/T 778.1-2018</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Style w:val="19"/>
                <w:rFonts w:hint="eastAsia" w:ascii="宋体" w:hAnsi="宋体" w:cs="宋体"/>
                <w:sz w:val="21"/>
                <w:szCs w:val="21"/>
                <w:lang w:bidi="ar"/>
              </w:rPr>
              <w:t>6.6</w:t>
            </w:r>
          </w:p>
        </w:tc>
        <w:tc>
          <w:tcPr>
            <w:tcW w:w="28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
                <w:rFonts w:ascii="宋体" w:hAnsi="宋体" w:cs="宋体"/>
                <w:sz w:val="21"/>
                <w:szCs w:val="21"/>
                <w:lang w:bidi="ar"/>
              </w:rPr>
            </w:pPr>
            <w:r>
              <w:rPr>
                <w:rStyle w:val="19"/>
                <w:rFonts w:hint="eastAsia" w:ascii="宋体" w:hAnsi="宋体" w:cs="宋体"/>
                <w:sz w:val="21"/>
                <w:szCs w:val="21"/>
                <w:lang w:bidi="ar"/>
              </w:rPr>
              <w:t>GB/T 778.2-2018</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Cs w:val="21"/>
              </w:rPr>
            </w:pPr>
            <w:r>
              <w:rPr>
                <w:rStyle w:val="19"/>
                <w:rFonts w:hint="eastAsia" w:ascii="宋体" w:hAnsi="宋体" w:cs="宋体"/>
                <w:sz w:val="21"/>
                <w:szCs w:val="21"/>
                <w:lang w:bidi="ar"/>
              </w:rPr>
              <w:t>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2</w:t>
            </w:r>
          </w:p>
        </w:tc>
        <w:tc>
          <w:tcPr>
            <w:tcW w:w="2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示值误差</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kern w:val="0"/>
                <w:szCs w:val="21"/>
                <w:lang w:bidi="ar"/>
              </w:rPr>
            </w:pPr>
            <w:r>
              <w:rPr>
                <w:rFonts w:hint="eastAsia" w:ascii="宋体" w:hAnsi="宋体" w:cs="宋体"/>
                <w:color w:val="000000"/>
                <w:kern w:val="0"/>
                <w:szCs w:val="21"/>
                <w:lang w:bidi="ar"/>
              </w:rPr>
              <w:t>GB/T 778.1-2018</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kern w:val="0"/>
                <w:szCs w:val="21"/>
                <w:lang w:bidi="ar"/>
              </w:rPr>
              <w:t>7.2.3</w:t>
            </w:r>
          </w:p>
        </w:tc>
        <w:tc>
          <w:tcPr>
            <w:tcW w:w="28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GB/T 778.2-2018</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3</w:t>
            </w:r>
          </w:p>
        </w:tc>
        <w:tc>
          <w:tcPr>
            <w:tcW w:w="2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压力损失试验</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kern w:val="0"/>
                <w:szCs w:val="21"/>
                <w:lang w:bidi="ar"/>
              </w:rPr>
            </w:pPr>
            <w:r>
              <w:rPr>
                <w:rFonts w:hint="eastAsia" w:ascii="宋体" w:hAnsi="宋体" w:cs="宋体"/>
                <w:color w:val="000000"/>
                <w:kern w:val="0"/>
                <w:szCs w:val="21"/>
                <w:lang w:bidi="ar"/>
              </w:rPr>
              <w:t>GB/T 778.1-2018</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kern w:val="0"/>
                <w:szCs w:val="21"/>
                <w:lang w:bidi="ar"/>
              </w:rPr>
              <w:t>6.5</w:t>
            </w:r>
          </w:p>
        </w:tc>
        <w:tc>
          <w:tcPr>
            <w:tcW w:w="28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GB/T 778.2-2018</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4</w:t>
            </w:r>
          </w:p>
        </w:tc>
        <w:tc>
          <w:tcPr>
            <w:tcW w:w="2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零流量试验</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kern w:val="0"/>
                <w:szCs w:val="21"/>
                <w:lang w:bidi="ar"/>
              </w:rPr>
            </w:pPr>
            <w:r>
              <w:rPr>
                <w:rFonts w:hint="eastAsia" w:ascii="宋体" w:hAnsi="宋体" w:cs="宋体"/>
                <w:color w:val="000000"/>
                <w:kern w:val="0"/>
                <w:szCs w:val="21"/>
                <w:lang w:bidi="ar"/>
              </w:rPr>
              <w:t>GB/T 778.1-2018</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kern w:val="0"/>
                <w:szCs w:val="21"/>
                <w:lang w:bidi="ar"/>
              </w:rPr>
              <w:t>4.2.9</w:t>
            </w:r>
          </w:p>
        </w:tc>
        <w:tc>
          <w:tcPr>
            <w:tcW w:w="28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GB/T 778.2-2018</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5</w:t>
            </w:r>
          </w:p>
        </w:tc>
        <w:tc>
          <w:tcPr>
            <w:tcW w:w="2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szCs w:val="21"/>
              </w:rPr>
              <w:t>电源电池中断</w:t>
            </w:r>
          </w:p>
        </w:tc>
        <w:tc>
          <w:tcPr>
            <w:tcW w:w="340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kern w:val="0"/>
                <w:szCs w:val="21"/>
                <w:lang w:bidi="ar"/>
              </w:rPr>
            </w:pPr>
            <w:r>
              <w:rPr>
                <w:rFonts w:hint="eastAsia" w:ascii="宋体" w:hAnsi="宋体" w:cs="宋体"/>
                <w:color w:val="000000"/>
                <w:kern w:val="0"/>
                <w:szCs w:val="21"/>
                <w:lang w:bidi="ar"/>
              </w:rPr>
              <w:t>GB/T 778.1-2018</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color w:val="000000"/>
                <w:szCs w:val="21"/>
              </w:rPr>
            </w:pPr>
            <w:r>
              <w:rPr>
                <w:rFonts w:hint="eastAsia" w:ascii="宋体" w:hAnsi="宋体" w:cs="宋体"/>
                <w:color w:val="000000"/>
                <w:kern w:val="0"/>
                <w:szCs w:val="21"/>
                <w:lang w:bidi="ar"/>
              </w:rPr>
              <w:t>A.5</w:t>
            </w:r>
          </w:p>
        </w:tc>
        <w:tc>
          <w:tcPr>
            <w:tcW w:w="28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GB/T 778.2-2018</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cs="宋体"/>
                <w:color w:val="000000"/>
                <w:szCs w:val="21"/>
              </w:rPr>
            </w:pPr>
            <w:r>
              <w:rPr>
                <w:rFonts w:hint="eastAsia" w:ascii="宋体" w:hAnsi="宋体" w:cs="宋体"/>
                <w:color w:val="000000"/>
                <w:kern w:val="0"/>
                <w:szCs w:val="21"/>
                <w:lang w:bidi="ar"/>
              </w:rPr>
              <w:t>8.5.3.3</w:t>
            </w:r>
          </w:p>
        </w:tc>
      </w:tr>
    </w:tbl>
    <w:p>
      <w:pPr>
        <w:keepNext w:val="0"/>
        <w:keepLines w:val="0"/>
        <w:pageBreakBefore w:val="0"/>
        <w:kinsoku/>
        <w:wordWrap/>
        <w:overflowPunct/>
        <w:topLinePunct w:val="0"/>
        <w:autoSpaceDE/>
        <w:autoSpaceDN/>
        <w:bidi w:val="0"/>
        <w:adjustRightInd/>
        <w:snapToGrid/>
        <w:spacing w:line="360" w:lineRule="auto"/>
        <w:ind w:firstLine="420" w:firstLineChars="200"/>
        <w:rPr>
          <w:rFonts w:ascii="黑体" w:hAnsi="黑体" w:eastAsia="黑体"/>
          <w:color w:val="000000"/>
          <w:szCs w:val="21"/>
        </w:rPr>
      </w:pPr>
      <w:r>
        <w:rPr>
          <w:rFonts w:hint="eastAsia"/>
          <w:color w:val="000000"/>
          <w:szCs w:val="21"/>
        </w:rPr>
        <w:t>执行企业标准、团体标准、地方标准的产品，检验项目参照上述内容执行。</w:t>
      </w:r>
    </w:p>
    <w:p>
      <w:pPr>
        <w:keepNext w:val="0"/>
        <w:keepLines w:val="0"/>
        <w:pageBreakBefore w:val="0"/>
        <w:kinsoku/>
        <w:wordWrap/>
        <w:overflowPunct/>
        <w:topLinePunct w:val="0"/>
        <w:autoSpaceDE/>
        <w:autoSpaceDN/>
        <w:bidi w:val="0"/>
        <w:adjustRightInd/>
        <w:snapToGrid/>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keepNext w:val="0"/>
        <w:keepLines w:val="0"/>
        <w:pageBreakBefore w:val="0"/>
        <w:kinsoku/>
        <w:wordWrap/>
        <w:overflowPunct/>
        <w:topLinePunct w:val="0"/>
        <w:autoSpaceDE/>
        <w:autoSpaceDN/>
        <w:bidi w:val="0"/>
        <w:adjustRightInd/>
        <w:snapToGrid/>
        <w:spacing w:line="360" w:lineRule="auto"/>
        <w:rPr>
          <w:rFonts w:ascii="宋体" w:hAnsi="宋体"/>
          <w:color w:val="000000"/>
          <w:szCs w:val="21"/>
        </w:rPr>
      </w:pPr>
      <w:r>
        <w:rPr>
          <w:rFonts w:hint="eastAsia" w:ascii="宋体" w:hAnsi="宋体"/>
          <w:color w:val="000000"/>
          <w:szCs w:val="21"/>
        </w:rPr>
        <w:t>3.1依据标准</w:t>
      </w:r>
    </w:p>
    <w:p>
      <w:pPr>
        <w:keepNext w:val="0"/>
        <w:keepLines w:val="0"/>
        <w:pageBreakBefore w:val="0"/>
        <w:kinsoku/>
        <w:wordWrap/>
        <w:overflowPunct/>
        <w:topLinePunct w:val="0"/>
        <w:autoSpaceDE/>
        <w:autoSpaceDN/>
        <w:bidi w:val="0"/>
        <w:adjustRightInd/>
        <w:snapToGrid/>
        <w:spacing w:line="360" w:lineRule="auto"/>
        <w:ind w:firstLine="420" w:firstLineChars="200"/>
        <w:rPr>
          <w:rStyle w:val="18"/>
          <w:rFonts w:hint="default"/>
          <w:sz w:val="21"/>
          <w:szCs w:val="21"/>
          <w:lang w:bidi="ar"/>
        </w:rPr>
      </w:pPr>
      <w:r>
        <w:rPr>
          <w:rFonts w:hint="eastAsia" w:ascii="宋体" w:hAnsi="宋体" w:cs="宋体"/>
          <w:color w:val="000000"/>
          <w:kern w:val="0"/>
          <w:szCs w:val="21"/>
          <w:lang w:bidi="ar"/>
        </w:rPr>
        <w:t>GB/T 778.1-2018</w:t>
      </w:r>
      <w:r>
        <w:rPr>
          <w:rStyle w:val="18"/>
          <w:rFonts w:hint="default"/>
          <w:sz w:val="21"/>
          <w:szCs w:val="21"/>
          <w:lang w:bidi="ar"/>
        </w:rPr>
        <w:t>《饮用冷水水表和热水水表第</w:t>
      </w:r>
      <w:r>
        <w:rPr>
          <w:rStyle w:val="19"/>
          <w:rFonts w:hint="eastAsia" w:ascii="宋体" w:hAnsi="宋体" w:cs="宋体"/>
          <w:sz w:val="21"/>
          <w:szCs w:val="21"/>
          <w:lang w:bidi="ar"/>
        </w:rPr>
        <w:t>1</w:t>
      </w:r>
      <w:r>
        <w:rPr>
          <w:rStyle w:val="18"/>
          <w:rFonts w:hint="default"/>
          <w:sz w:val="21"/>
          <w:szCs w:val="21"/>
          <w:lang w:bidi="ar"/>
        </w:rPr>
        <w:t>部分：计量要求和技术要求》</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cs="宋体"/>
          <w:color w:val="000000"/>
          <w:kern w:val="0"/>
          <w:szCs w:val="21"/>
          <w:lang w:bidi="ar"/>
        </w:rPr>
      </w:pPr>
      <w:r>
        <w:rPr>
          <w:rFonts w:hint="eastAsia" w:ascii="宋体" w:hAnsi="宋体" w:cs="宋体"/>
          <w:color w:val="000000"/>
          <w:kern w:val="0"/>
          <w:szCs w:val="21"/>
          <w:lang w:bidi="ar"/>
        </w:rPr>
        <w:t xml:space="preserve">GB/T 778.2-2018《饮用冷水水表和热水水表第2部分：试验方法》 </w:t>
      </w:r>
    </w:p>
    <w:p>
      <w:pPr>
        <w:keepNext w:val="0"/>
        <w:keepLines w:val="0"/>
        <w:pageBreakBefore w:val="0"/>
        <w:kinsoku/>
        <w:wordWrap/>
        <w:overflowPunct/>
        <w:topLinePunct w:val="0"/>
        <w:autoSpaceDE/>
        <w:autoSpaceDN/>
        <w:bidi w:val="0"/>
        <w:adjustRightInd/>
        <w:snapToGrid/>
        <w:spacing w:line="360" w:lineRule="auto"/>
        <w:ind w:firstLine="359" w:firstLineChars="171"/>
        <w:rPr>
          <w:rFonts w:hint="default" w:ascii="宋体" w:hAnsi="宋体" w:cs="宋体"/>
          <w:color w:val="000000"/>
          <w:kern w:val="0"/>
          <w:szCs w:val="21"/>
          <w:lang w:bidi="ar"/>
        </w:rPr>
      </w:pPr>
      <w:r>
        <w:rPr>
          <w:rFonts w:hint="eastAsia" w:ascii="宋体" w:hAnsi="宋体"/>
          <w:color w:val="000000"/>
          <w:szCs w:val="21"/>
        </w:rPr>
        <w:t>现行有效的企业标准、团体标准、地方标准及产品明示质量要求</w:t>
      </w:r>
    </w:p>
    <w:p>
      <w:pPr>
        <w:keepNext w:val="0"/>
        <w:keepLines w:val="0"/>
        <w:pageBreakBefore w:val="0"/>
        <w:kinsoku/>
        <w:wordWrap/>
        <w:overflowPunct/>
        <w:topLinePunct w:val="0"/>
        <w:autoSpaceDE/>
        <w:autoSpaceDN/>
        <w:bidi w:val="0"/>
        <w:adjustRightInd/>
        <w:snapToGrid/>
        <w:spacing w:line="360" w:lineRule="auto"/>
        <w:rPr>
          <w:rFonts w:ascii="宋体" w:hAnsi="宋体"/>
          <w:color w:val="000000"/>
          <w:szCs w:val="21"/>
        </w:rPr>
      </w:pPr>
      <w:r>
        <w:rPr>
          <w:rFonts w:hint="eastAsia" w:ascii="宋体" w:hAnsi="宋体"/>
          <w:color w:val="000000"/>
          <w:szCs w:val="21"/>
        </w:rPr>
        <w:t>3.2判定原则</w:t>
      </w:r>
    </w:p>
    <w:p>
      <w:pPr>
        <w:keepNext w:val="0"/>
        <w:keepLines w:val="0"/>
        <w:pageBreakBefore w:val="0"/>
        <w:kinsoku/>
        <w:wordWrap/>
        <w:overflowPunct/>
        <w:topLinePunct w:val="0"/>
        <w:autoSpaceDE/>
        <w:autoSpaceDN/>
        <w:bidi w:val="0"/>
        <w:adjustRightInd/>
        <w:snapToGrid/>
        <w:spacing w:line="360" w:lineRule="auto"/>
        <w:ind w:firstLine="420" w:firstLineChars="200"/>
        <w:rPr>
          <w:rFonts w:ascii="宋体" w:hAnsi="宋体"/>
          <w:color w:val="000000"/>
          <w:szCs w:val="21"/>
        </w:rPr>
      </w:pPr>
      <w:r>
        <w:rPr>
          <w:rFonts w:hint="eastAsia" w:ascii="宋体" w:hAnsi="宋体"/>
          <w:color w:val="000000"/>
          <w:szCs w:val="21"/>
        </w:rPr>
        <w:t>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autoSpaceDE/>
        <w:autoSpaceDN/>
        <w:bidi w:val="0"/>
        <w:adjustRightInd/>
        <w:snapToGrid/>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keepNext w:val="0"/>
        <w:keepLines w:val="0"/>
        <w:pageBreakBefore w:val="0"/>
        <w:kinsoku/>
        <w:wordWrap/>
        <w:overflowPunct/>
        <w:topLinePunct w:val="0"/>
        <w:autoSpaceDE/>
        <w:autoSpaceDN/>
        <w:bidi w:val="0"/>
        <w:adjustRightInd/>
        <w:snapToGrid/>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adjustRightInd/>
        <w:snapToGrid/>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snapToGrid/>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keepNext w:val="0"/>
        <w:keepLines w:val="0"/>
        <w:pageBreakBefore w:val="0"/>
        <w:kinsoku/>
        <w:wordWrap/>
        <w:overflowPunct/>
        <w:topLinePunct w:val="0"/>
        <w:autoSpaceDE/>
        <w:autoSpaceDN/>
        <w:bidi w:val="0"/>
        <w:adjustRightInd/>
        <w:snapToGrid/>
        <w:spacing w:line="360" w:lineRule="auto"/>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MjAzM2U1ZTEzZmEyZWE3YjI2MzkzYjRiMzlhNWUifQ=="/>
  </w:docVars>
  <w:rsids>
    <w:rsidRoot w:val="00172A27"/>
    <w:rsid w:val="00051A44"/>
    <w:rsid w:val="00081CBD"/>
    <w:rsid w:val="000976DE"/>
    <w:rsid w:val="00123D1C"/>
    <w:rsid w:val="00166132"/>
    <w:rsid w:val="001809DD"/>
    <w:rsid w:val="0021273F"/>
    <w:rsid w:val="00232530"/>
    <w:rsid w:val="00253624"/>
    <w:rsid w:val="002D7F8A"/>
    <w:rsid w:val="002E0D1D"/>
    <w:rsid w:val="003203A3"/>
    <w:rsid w:val="00365CBE"/>
    <w:rsid w:val="003A7D30"/>
    <w:rsid w:val="003C388C"/>
    <w:rsid w:val="003D09A1"/>
    <w:rsid w:val="003E61BF"/>
    <w:rsid w:val="004104AC"/>
    <w:rsid w:val="00445E86"/>
    <w:rsid w:val="00447AD2"/>
    <w:rsid w:val="0045434D"/>
    <w:rsid w:val="00474E04"/>
    <w:rsid w:val="004C4F1B"/>
    <w:rsid w:val="004D0C5A"/>
    <w:rsid w:val="004D184C"/>
    <w:rsid w:val="004E1396"/>
    <w:rsid w:val="004E6C21"/>
    <w:rsid w:val="00563EBC"/>
    <w:rsid w:val="006467D3"/>
    <w:rsid w:val="006E1171"/>
    <w:rsid w:val="006F0971"/>
    <w:rsid w:val="0072334C"/>
    <w:rsid w:val="007A294D"/>
    <w:rsid w:val="00890CF5"/>
    <w:rsid w:val="00895BEA"/>
    <w:rsid w:val="008A0B20"/>
    <w:rsid w:val="008A3497"/>
    <w:rsid w:val="008E0A40"/>
    <w:rsid w:val="00917A54"/>
    <w:rsid w:val="009C14C4"/>
    <w:rsid w:val="00A23D98"/>
    <w:rsid w:val="00A43553"/>
    <w:rsid w:val="00AC5391"/>
    <w:rsid w:val="00B426C0"/>
    <w:rsid w:val="00B65F23"/>
    <w:rsid w:val="00BF2B8C"/>
    <w:rsid w:val="00C26074"/>
    <w:rsid w:val="00C83B0A"/>
    <w:rsid w:val="00CE1E0C"/>
    <w:rsid w:val="00CE277E"/>
    <w:rsid w:val="00D56867"/>
    <w:rsid w:val="00E02A7F"/>
    <w:rsid w:val="00E07880"/>
    <w:rsid w:val="00E82621"/>
    <w:rsid w:val="00EE2752"/>
    <w:rsid w:val="00F77C9A"/>
    <w:rsid w:val="00FB576C"/>
    <w:rsid w:val="00FD2AA6"/>
    <w:rsid w:val="00FE7E8A"/>
    <w:rsid w:val="0FB92ECB"/>
    <w:rsid w:val="10794722"/>
    <w:rsid w:val="20617E42"/>
    <w:rsid w:val="2E6B346A"/>
    <w:rsid w:val="379445DF"/>
    <w:rsid w:val="476D59BD"/>
    <w:rsid w:val="4FC76963"/>
    <w:rsid w:val="51C000BD"/>
    <w:rsid w:val="59DF2667"/>
    <w:rsid w:val="683B21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2"/>
    <w:unhideWhenUsed/>
    <w:uiPriority w:val="99"/>
    <w:pPr>
      <w:jc w:val="left"/>
    </w:pPr>
  </w:style>
  <w:style w:type="paragraph" w:styleId="3">
    <w:name w:val="Balloon Text"/>
    <w:basedOn w:val="1"/>
    <w:link w:val="13"/>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annotation reference"/>
    <w:unhideWhenUsed/>
    <w:uiPriority w:val="99"/>
    <w:rPr>
      <w:sz w:val="21"/>
      <w:szCs w:val="21"/>
    </w:rPr>
  </w:style>
  <w:style w:type="character" w:customStyle="1" w:styleId="12">
    <w:name w:val="批注文字 字符"/>
    <w:link w:val="2"/>
    <w:semiHidden/>
    <w:uiPriority w:val="99"/>
    <w:rPr>
      <w:kern w:val="2"/>
      <w:sz w:val="21"/>
      <w:szCs w:val="24"/>
    </w:rPr>
  </w:style>
  <w:style w:type="character" w:customStyle="1" w:styleId="13">
    <w:name w:val="批注框文本 字符"/>
    <w:link w:val="3"/>
    <w:semiHidden/>
    <w:uiPriority w:val="99"/>
    <w:rPr>
      <w:kern w:val="2"/>
      <w:sz w:val="18"/>
      <w:szCs w:val="18"/>
    </w:rPr>
  </w:style>
  <w:style w:type="character" w:customStyle="1" w:styleId="14">
    <w:name w:val="页脚 字符"/>
    <w:link w:val="4"/>
    <w:uiPriority w:val="99"/>
    <w:rPr>
      <w:kern w:val="2"/>
      <w:sz w:val="18"/>
      <w:szCs w:val="18"/>
    </w:rPr>
  </w:style>
  <w:style w:type="character" w:customStyle="1" w:styleId="15">
    <w:name w:val="页眉 字符"/>
    <w:link w:val="5"/>
    <w:semiHidden/>
    <w:qFormat/>
    <w:uiPriority w:val="99"/>
    <w:rPr>
      <w:kern w:val="2"/>
      <w:sz w:val="18"/>
      <w:szCs w:val="18"/>
    </w:rPr>
  </w:style>
  <w:style w:type="character" w:customStyle="1" w:styleId="16">
    <w:name w:val="批注主题 字符"/>
    <w:link w:val="6"/>
    <w:semiHidden/>
    <w:qFormat/>
    <w:uiPriority w:val="99"/>
    <w:rPr>
      <w:b/>
      <w:bCs/>
      <w:kern w:val="2"/>
      <w:sz w:val="21"/>
      <w:szCs w:val="24"/>
    </w:rPr>
  </w:style>
  <w:style w:type="paragraph" w:customStyle="1" w:styleId="17">
    <w:name w:val="列出段落1"/>
    <w:basedOn w:val="1"/>
    <w:qFormat/>
    <w:uiPriority w:val="34"/>
    <w:pPr>
      <w:ind w:firstLine="420" w:firstLineChars="200"/>
    </w:pPr>
    <w:rPr>
      <w:rFonts w:ascii="Calibri" w:hAnsi="Calibri"/>
      <w:szCs w:val="22"/>
    </w:rPr>
  </w:style>
  <w:style w:type="character" w:customStyle="1" w:styleId="18">
    <w:name w:val="font01"/>
    <w:qFormat/>
    <w:uiPriority w:val="0"/>
    <w:rPr>
      <w:rFonts w:hint="eastAsia" w:ascii="宋体" w:hAnsi="宋体" w:eastAsia="宋体" w:cs="宋体"/>
      <w:color w:val="000000"/>
      <w:sz w:val="20"/>
      <w:szCs w:val="20"/>
      <w:u w:val="none"/>
    </w:rPr>
  </w:style>
  <w:style w:type="character" w:customStyle="1" w:styleId="19">
    <w:name w:val="font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600</Words>
  <Characters>779</Characters>
  <Lines>7</Lines>
  <Paragraphs>2</Paragraphs>
  <TotalTime>0</TotalTime>
  <ScaleCrop>false</ScaleCrop>
  <LinksUpToDate>false</LinksUpToDate>
  <CharactersWithSpaces>797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2022-06-30T09:30:00Z</dcterms:created>
  <dc:creator>Legend User</dc:creator>
  <cp:lastModifiedBy>宋超</cp:lastModifiedBy>
  <cp:lastPrinted>2019-12-05T07:53:00Z</cp:lastPrinted>
  <dcterms:modified xsi:type="dcterms:W3CDTF">2022-07-06T08:12:10Z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EA2C3763605047E69668998E145CB079</vt:lpwstr>
  </property>
</Properties>
</file>