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napToGrid w:val="0"/>
        <w:spacing w:line="360" w:lineRule="auto"/>
        <w:jc w:val="center"/>
        <w:rPr>
          <w:rFonts w:ascii="宋体" w:hAnsi="宋体"/>
          <w:color w:val="000000"/>
          <w:szCs w:val="21"/>
        </w:rPr>
      </w:pPr>
      <w:r>
        <w:rPr>
          <w:rFonts w:hint="eastAsia" w:ascii="方正小标宋简体" w:hAnsi="仿宋" w:eastAsia="方正小标宋简体" w:cs="方正仿宋简体"/>
          <w:b w:val="0"/>
          <w:bCs w:val="0"/>
          <w:color w:val="000000" w:themeColor="text1"/>
          <w:sz w:val="32"/>
          <w:szCs w:val="32"/>
          <w14:textFill>
            <w14:solidFill>
              <w14:schemeClr w14:val="tx1"/>
            </w14:solidFill>
          </w14:textFill>
        </w:rPr>
        <w:t>陕西省带电作业用绝缘手套产品质量监督抽查实施细则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360" w:lineRule="auto"/>
        <w:ind w:firstLine="420" w:firstLineChars="200"/>
        <w:rPr>
          <w:color w:val="000000"/>
          <w:szCs w:val="21"/>
        </w:rPr>
      </w:pPr>
      <w:r>
        <w:rPr>
          <w:color w:val="000000"/>
          <w:szCs w:val="21"/>
        </w:rPr>
        <w:t>以随机抽样的方式在被抽样销售者的待销产品中抽取。</w:t>
      </w:r>
    </w:p>
    <w:p>
      <w:pPr>
        <w:snapToGrid w:val="0"/>
        <w:spacing w:line="360" w:lineRule="auto"/>
        <w:ind w:firstLine="420" w:firstLineChars="200"/>
        <w:rPr>
          <w:rFonts w:ascii="宋体" w:hAnsi="宋体"/>
          <w:color w:val="000000"/>
          <w:szCs w:val="21"/>
        </w:rPr>
      </w:pPr>
      <w:r>
        <w:rPr>
          <w:rFonts w:hint="eastAsia" w:ascii="宋体" w:hAnsi="宋体"/>
          <w:color w:val="000000"/>
          <w:szCs w:val="21"/>
        </w:rPr>
        <w:t>随机数一般可使用随</w:t>
      </w:r>
      <w:bookmarkStart w:id="0" w:name="_GoBack"/>
      <w:bookmarkEnd w:id="0"/>
      <w:r>
        <w:rPr>
          <w:rFonts w:hint="eastAsia" w:ascii="宋体" w:hAnsi="宋体"/>
          <w:color w:val="000000"/>
          <w:szCs w:val="21"/>
        </w:rPr>
        <w:t>机数表方法产生。</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每批次产品抽取样品数量共</w:t>
      </w:r>
      <w:r>
        <w:rPr>
          <w:rFonts w:hint="eastAsia" w:ascii="宋体" w:hAnsi="宋体"/>
          <w:color w:val="000000"/>
          <w:szCs w:val="21"/>
          <w:lang w:val="en-US" w:eastAsia="zh-CN"/>
        </w:rPr>
        <w:t>4</w:t>
      </w:r>
      <w:r>
        <w:rPr>
          <w:rFonts w:hint="eastAsia" w:ascii="宋体" w:hAnsi="宋体"/>
          <w:color w:val="000000"/>
          <w:szCs w:val="21"/>
        </w:rPr>
        <w:t>双，其中</w:t>
      </w:r>
      <w:r>
        <w:rPr>
          <w:rFonts w:hint="eastAsia" w:ascii="宋体" w:hAnsi="宋体"/>
          <w:color w:val="000000"/>
          <w:szCs w:val="21"/>
          <w:lang w:val="en-US" w:eastAsia="zh-CN"/>
        </w:rPr>
        <w:t>2</w:t>
      </w:r>
      <w:r>
        <w:rPr>
          <w:rFonts w:hint="eastAsia" w:ascii="宋体" w:hAnsi="宋体"/>
          <w:color w:val="000000"/>
          <w:szCs w:val="21"/>
        </w:rPr>
        <w:t>双作为检验样品，</w:t>
      </w:r>
      <w:r>
        <w:rPr>
          <w:rFonts w:hint="eastAsia" w:ascii="宋体" w:hAnsi="宋体"/>
          <w:color w:val="000000"/>
          <w:szCs w:val="21"/>
          <w:lang w:val="en-US" w:eastAsia="zh-CN"/>
        </w:rPr>
        <w:t>2</w:t>
      </w:r>
      <w:r>
        <w:rPr>
          <w:rFonts w:hint="eastAsia" w:ascii="宋体" w:hAnsi="宋体"/>
          <w:color w:val="000000"/>
          <w:szCs w:val="21"/>
        </w:rPr>
        <w:t>双作为备用样品。</w:t>
      </w: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360" w:lineRule="auto"/>
        <w:jc w:val="center"/>
        <w:rPr>
          <w:rFonts w:ascii="宋体" w:hAnsi="宋体"/>
          <w:color w:val="000000"/>
          <w:szCs w:val="21"/>
        </w:rPr>
      </w:pPr>
      <w:r>
        <w:rPr>
          <w:rFonts w:hint="eastAsia" w:ascii="宋体" w:hAnsi="宋体"/>
          <w:color w:val="000000"/>
          <w:szCs w:val="21"/>
        </w:rPr>
        <w:t>表1  检验项目</w:t>
      </w:r>
    </w:p>
    <w:tbl>
      <w:tblPr>
        <w:tblStyle w:val="7"/>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5"/>
        <w:gridCol w:w="2026"/>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tcPr>
          <w:p>
            <w:pPr>
              <w:snapToGrid w:val="0"/>
              <w:spacing w:line="240" w:lineRule="atLeast"/>
              <w:jc w:val="center"/>
              <w:rPr>
                <w:rFonts w:ascii="宋体" w:hAnsi="宋体"/>
                <w:color w:val="000000"/>
                <w:szCs w:val="21"/>
              </w:rPr>
            </w:pPr>
            <w:r>
              <w:rPr>
                <w:rFonts w:hint="eastAsia" w:ascii="宋体" w:hAnsi="宋体"/>
                <w:color w:val="000000"/>
                <w:szCs w:val="21"/>
              </w:rPr>
              <w:t>序号</w:t>
            </w:r>
          </w:p>
        </w:tc>
        <w:tc>
          <w:tcPr>
            <w:tcW w:w="4051" w:type="dxa"/>
            <w:gridSpan w:val="2"/>
          </w:tcPr>
          <w:p>
            <w:pPr>
              <w:snapToGrid w:val="0"/>
              <w:spacing w:line="240" w:lineRule="atLeast"/>
              <w:jc w:val="center"/>
              <w:rPr>
                <w:rFonts w:ascii="宋体" w:hAnsi="宋体"/>
                <w:color w:val="000000"/>
                <w:szCs w:val="21"/>
              </w:rPr>
            </w:pPr>
            <w:r>
              <w:rPr>
                <w:rFonts w:hint="eastAsia" w:ascii="宋体" w:hAnsi="宋体"/>
                <w:color w:val="000000"/>
                <w:szCs w:val="21"/>
              </w:rPr>
              <w:t>检验项目</w:t>
            </w:r>
          </w:p>
        </w:tc>
        <w:tc>
          <w:tcPr>
            <w:tcW w:w="4203" w:type="dxa"/>
          </w:tcPr>
          <w:p>
            <w:pPr>
              <w:snapToGrid w:val="0"/>
              <w:spacing w:line="240" w:lineRule="atLeas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17" w:type="dxa"/>
            <w:vMerge w:val="restart"/>
            <w:vAlign w:val="center"/>
          </w:tcPr>
          <w:p>
            <w:pPr>
              <w:snapToGrid w:val="0"/>
              <w:spacing w:line="240" w:lineRule="atLeast"/>
              <w:jc w:val="center"/>
              <w:rPr>
                <w:color w:val="000000"/>
                <w:szCs w:val="21"/>
              </w:rPr>
            </w:pPr>
            <w:r>
              <w:rPr>
                <w:rFonts w:hint="eastAsia"/>
                <w:color w:val="000000"/>
                <w:szCs w:val="21"/>
              </w:rPr>
              <w:t>1</w:t>
            </w:r>
          </w:p>
        </w:tc>
        <w:tc>
          <w:tcPr>
            <w:tcW w:w="2025" w:type="dxa"/>
            <w:vMerge w:val="restart"/>
            <w:vAlign w:val="center"/>
          </w:tcPr>
          <w:p>
            <w:pPr>
              <w:spacing w:line="240" w:lineRule="atLeast"/>
              <w:jc w:val="center"/>
              <w:rPr>
                <w:color w:val="000000"/>
                <w:szCs w:val="21"/>
              </w:rPr>
            </w:pPr>
            <w:r>
              <w:rPr>
                <w:color w:val="000000"/>
                <w:szCs w:val="21"/>
              </w:rPr>
              <w:t>外观检查和测量</w:t>
            </w:r>
          </w:p>
        </w:tc>
        <w:tc>
          <w:tcPr>
            <w:tcW w:w="2026" w:type="dxa"/>
            <w:vAlign w:val="center"/>
          </w:tcPr>
          <w:p>
            <w:pPr>
              <w:spacing w:line="240" w:lineRule="atLeast"/>
              <w:jc w:val="center"/>
              <w:rPr>
                <w:color w:val="000000"/>
                <w:szCs w:val="21"/>
              </w:rPr>
            </w:pPr>
            <w:r>
              <w:rPr>
                <w:color w:val="000000"/>
                <w:szCs w:val="21"/>
              </w:rPr>
              <w:t>尺寸检查</w:t>
            </w:r>
          </w:p>
        </w:tc>
        <w:tc>
          <w:tcPr>
            <w:tcW w:w="4203" w:type="dxa"/>
            <w:vAlign w:val="center"/>
          </w:tcPr>
          <w:p>
            <w:pPr>
              <w:snapToGrid w:val="0"/>
              <w:spacing w:line="240" w:lineRule="atLeast"/>
              <w:jc w:val="center"/>
              <w:rPr>
                <w:color w:val="000000"/>
                <w:szCs w:val="21"/>
              </w:rPr>
            </w:pPr>
            <w:r>
              <w:rPr>
                <w:color w:val="000000"/>
                <w:szCs w:val="21"/>
              </w:rPr>
              <w:t>GB/T 17622-2008</w:t>
            </w:r>
            <w:r>
              <w:rPr>
                <w:rFonts w:hint="eastAsia"/>
                <w:color w:val="000000"/>
                <w:szCs w:val="21"/>
              </w:rPr>
              <w:t xml:space="preserve"> 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7" w:type="dxa"/>
            <w:vMerge w:val="continue"/>
            <w:vAlign w:val="center"/>
          </w:tcPr>
          <w:p>
            <w:pPr>
              <w:snapToGrid w:val="0"/>
              <w:spacing w:line="240" w:lineRule="atLeast"/>
              <w:jc w:val="center"/>
              <w:rPr>
                <w:rFonts w:hint="eastAsia"/>
                <w:color w:val="000000"/>
                <w:szCs w:val="21"/>
              </w:rPr>
            </w:pPr>
          </w:p>
        </w:tc>
        <w:tc>
          <w:tcPr>
            <w:tcW w:w="2025" w:type="dxa"/>
            <w:vMerge w:val="continue"/>
            <w:vAlign w:val="center"/>
          </w:tcPr>
          <w:p>
            <w:pPr>
              <w:spacing w:line="240" w:lineRule="atLeast"/>
              <w:jc w:val="center"/>
              <w:rPr>
                <w:color w:val="000000"/>
                <w:szCs w:val="21"/>
              </w:rPr>
            </w:pPr>
          </w:p>
        </w:tc>
        <w:tc>
          <w:tcPr>
            <w:tcW w:w="2026" w:type="dxa"/>
            <w:vAlign w:val="center"/>
          </w:tcPr>
          <w:p>
            <w:pPr>
              <w:spacing w:line="240" w:lineRule="atLeast"/>
              <w:jc w:val="center"/>
              <w:rPr>
                <w:color w:val="000000"/>
                <w:szCs w:val="21"/>
              </w:rPr>
            </w:pPr>
            <w:r>
              <w:rPr>
                <w:color w:val="000000"/>
                <w:szCs w:val="21"/>
              </w:rPr>
              <w:t>厚度</w:t>
            </w:r>
          </w:p>
        </w:tc>
        <w:tc>
          <w:tcPr>
            <w:tcW w:w="4203" w:type="dxa"/>
            <w:vAlign w:val="center"/>
          </w:tcPr>
          <w:p>
            <w:pPr>
              <w:snapToGrid w:val="0"/>
              <w:spacing w:line="240" w:lineRule="atLeast"/>
              <w:jc w:val="center"/>
              <w:rPr>
                <w:color w:val="000000"/>
                <w:szCs w:val="21"/>
              </w:rPr>
            </w:pPr>
            <w:r>
              <w:rPr>
                <w:color w:val="000000"/>
                <w:szCs w:val="21"/>
              </w:rPr>
              <w:t>GB/T 17622-2008</w:t>
            </w:r>
            <w:r>
              <w:rPr>
                <w:rFonts w:hint="eastAsia"/>
                <w:color w:val="000000"/>
                <w:szCs w:val="21"/>
              </w:rPr>
              <w:t xml:space="preserve"> 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7" w:type="dxa"/>
            <w:vMerge w:val="continue"/>
            <w:vAlign w:val="center"/>
          </w:tcPr>
          <w:p>
            <w:pPr>
              <w:snapToGrid w:val="0"/>
              <w:spacing w:line="240" w:lineRule="atLeast"/>
              <w:jc w:val="center"/>
              <w:rPr>
                <w:rFonts w:hint="eastAsia"/>
                <w:color w:val="000000"/>
                <w:szCs w:val="21"/>
              </w:rPr>
            </w:pPr>
          </w:p>
        </w:tc>
        <w:tc>
          <w:tcPr>
            <w:tcW w:w="2025" w:type="dxa"/>
            <w:vMerge w:val="continue"/>
            <w:vAlign w:val="center"/>
          </w:tcPr>
          <w:p>
            <w:pPr>
              <w:spacing w:line="240" w:lineRule="atLeast"/>
              <w:jc w:val="center"/>
              <w:rPr>
                <w:color w:val="000000"/>
                <w:szCs w:val="21"/>
              </w:rPr>
            </w:pPr>
          </w:p>
        </w:tc>
        <w:tc>
          <w:tcPr>
            <w:tcW w:w="2026" w:type="dxa"/>
            <w:vAlign w:val="center"/>
          </w:tcPr>
          <w:p>
            <w:pPr>
              <w:spacing w:line="240" w:lineRule="atLeast"/>
              <w:jc w:val="center"/>
              <w:rPr>
                <w:color w:val="000000"/>
                <w:szCs w:val="21"/>
              </w:rPr>
            </w:pPr>
            <w:r>
              <w:rPr>
                <w:color w:val="000000"/>
                <w:szCs w:val="21"/>
              </w:rPr>
              <w:t>工艺及修整</w:t>
            </w:r>
          </w:p>
        </w:tc>
        <w:tc>
          <w:tcPr>
            <w:tcW w:w="4203" w:type="dxa"/>
            <w:vAlign w:val="center"/>
          </w:tcPr>
          <w:p>
            <w:pPr>
              <w:snapToGrid w:val="0"/>
              <w:spacing w:line="240" w:lineRule="atLeast"/>
              <w:jc w:val="center"/>
              <w:rPr>
                <w:color w:val="000000"/>
                <w:szCs w:val="21"/>
              </w:rPr>
            </w:pPr>
            <w:r>
              <w:rPr>
                <w:color w:val="000000"/>
                <w:szCs w:val="21"/>
              </w:rPr>
              <w:t>GB/T 17622-2008</w:t>
            </w:r>
            <w:r>
              <w:rPr>
                <w:rFonts w:hint="eastAsia"/>
                <w:color w:val="000000"/>
                <w:szCs w:val="21"/>
              </w:rPr>
              <w:t xml:space="preserve"> 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7" w:type="dxa"/>
            <w:vMerge w:val="continue"/>
            <w:vAlign w:val="center"/>
          </w:tcPr>
          <w:p>
            <w:pPr>
              <w:snapToGrid w:val="0"/>
              <w:spacing w:line="240" w:lineRule="atLeast"/>
              <w:jc w:val="center"/>
              <w:rPr>
                <w:rFonts w:hint="eastAsia"/>
                <w:color w:val="000000"/>
                <w:szCs w:val="21"/>
              </w:rPr>
            </w:pPr>
          </w:p>
        </w:tc>
        <w:tc>
          <w:tcPr>
            <w:tcW w:w="2025" w:type="dxa"/>
            <w:vMerge w:val="continue"/>
            <w:vAlign w:val="center"/>
          </w:tcPr>
          <w:p>
            <w:pPr>
              <w:spacing w:line="240" w:lineRule="atLeast"/>
              <w:jc w:val="center"/>
              <w:rPr>
                <w:color w:val="000000"/>
                <w:szCs w:val="21"/>
              </w:rPr>
            </w:pPr>
          </w:p>
        </w:tc>
        <w:tc>
          <w:tcPr>
            <w:tcW w:w="2026" w:type="dxa"/>
            <w:vAlign w:val="center"/>
          </w:tcPr>
          <w:p>
            <w:pPr>
              <w:spacing w:line="240" w:lineRule="atLeast"/>
              <w:jc w:val="center"/>
              <w:rPr>
                <w:color w:val="000000"/>
                <w:szCs w:val="21"/>
              </w:rPr>
            </w:pPr>
            <w:r>
              <w:rPr>
                <w:color w:val="000000"/>
                <w:szCs w:val="21"/>
              </w:rPr>
              <w:t>标志检查</w:t>
            </w:r>
          </w:p>
        </w:tc>
        <w:tc>
          <w:tcPr>
            <w:tcW w:w="4203" w:type="dxa"/>
            <w:vAlign w:val="center"/>
          </w:tcPr>
          <w:p>
            <w:pPr>
              <w:snapToGrid w:val="0"/>
              <w:spacing w:line="240" w:lineRule="atLeast"/>
              <w:jc w:val="center"/>
              <w:rPr>
                <w:color w:val="000000"/>
                <w:szCs w:val="21"/>
              </w:rPr>
            </w:pPr>
            <w:r>
              <w:rPr>
                <w:color w:val="000000"/>
                <w:szCs w:val="21"/>
              </w:rPr>
              <w:t>GB/T 17622-2008</w:t>
            </w:r>
            <w:r>
              <w:rPr>
                <w:rFonts w:hint="eastAsia"/>
                <w:color w:val="000000"/>
                <w:szCs w:val="21"/>
              </w:rPr>
              <w:t xml:space="preserve"> 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7" w:type="dxa"/>
            <w:vMerge w:val="continue"/>
            <w:vAlign w:val="center"/>
          </w:tcPr>
          <w:p>
            <w:pPr>
              <w:snapToGrid w:val="0"/>
              <w:spacing w:line="240" w:lineRule="atLeast"/>
              <w:jc w:val="center"/>
              <w:rPr>
                <w:rFonts w:hint="eastAsia"/>
                <w:color w:val="000000"/>
                <w:szCs w:val="21"/>
              </w:rPr>
            </w:pPr>
          </w:p>
        </w:tc>
        <w:tc>
          <w:tcPr>
            <w:tcW w:w="2025" w:type="dxa"/>
            <w:vMerge w:val="continue"/>
            <w:vAlign w:val="center"/>
          </w:tcPr>
          <w:p>
            <w:pPr>
              <w:spacing w:line="240" w:lineRule="atLeast"/>
              <w:jc w:val="center"/>
              <w:rPr>
                <w:color w:val="000000"/>
                <w:szCs w:val="21"/>
              </w:rPr>
            </w:pPr>
          </w:p>
        </w:tc>
        <w:tc>
          <w:tcPr>
            <w:tcW w:w="2026" w:type="dxa"/>
            <w:vAlign w:val="center"/>
          </w:tcPr>
          <w:p>
            <w:pPr>
              <w:spacing w:line="240" w:lineRule="atLeast"/>
              <w:jc w:val="center"/>
              <w:rPr>
                <w:color w:val="000000"/>
                <w:szCs w:val="21"/>
              </w:rPr>
            </w:pPr>
            <w:r>
              <w:rPr>
                <w:color w:val="000000"/>
                <w:szCs w:val="21"/>
              </w:rPr>
              <w:t>包装检查</w:t>
            </w:r>
          </w:p>
        </w:tc>
        <w:tc>
          <w:tcPr>
            <w:tcW w:w="4203" w:type="dxa"/>
            <w:vAlign w:val="center"/>
          </w:tcPr>
          <w:p>
            <w:pPr>
              <w:snapToGrid w:val="0"/>
              <w:spacing w:line="240" w:lineRule="atLeast"/>
              <w:jc w:val="center"/>
              <w:rPr>
                <w:color w:val="000000"/>
                <w:szCs w:val="21"/>
              </w:rPr>
            </w:pPr>
            <w:r>
              <w:rPr>
                <w:color w:val="000000"/>
                <w:szCs w:val="21"/>
              </w:rPr>
              <w:t>GB/T 17622-2008</w:t>
            </w:r>
            <w:r>
              <w:rPr>
                <w:rFonts w:hint="eastAsia"/>
                <w:color w:val="000000"/>
                <w:szCs w:val="21"/>
              </w:rPr>
              <w:t xml:space="preserve"> 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240" w:lineRule="atLeast"/>
              <w:jc w:val="center"/>
              <w:rPr>
                <w:color w:val="000000"/>
                <w:szCs w:val="21"/>
              </w:rPr>
            </w:pPr>
            <w:r>
              <w:rPr>
                <w:rFonts w:hint="eastAsia"/>
                <w:color w:val="000000"/>
                <w:szCs w:val="21"/>
              </w:rPr>
              <w:t>2</w:t>
            </w:r>
          </w:p>
        </w:tc>
        <w:tc>
          <w:tcPr>
            <w:tcW w:w="2025" w:type="dxa"/>
            <w:vAlign w:val="center"/>
          </w:tcPr>
          <w:p>
            <w:pPr>
              <w:spacing w:line="240" w:lineRule="atLeast"/>
              <w:jc w:val="center"/>
              <w:rPr>
                <w:color w:val="000000"/>
                <w:szCs w:val="21"/>
              </w:rPr>
            </w:pPr>
            <w:r>
              <w:rPr>
                <w:color w:val="000000"/>
                <w:szCs w:val="21"/>
              </w:rPr>
              <w:t>电气性能试验</w:t>
            </w:r>
          </w:p>
        </w:tc>
        <w:tc>
          <w:tcPr>
            <w:tcW w:w="2026" w:type="dxa"/>
            <w:vAlign w:val="center"/>
          </w:tcPr>
          <w:p>
            <w:pPr>
              <w:spacing w:line="240" w:lineRule="atLeast"/>
              <w:jc w:val="center"/>
              <w:rPr>
                <w:color w:val="000000"/>
                <w:szCs w:val="21"/>
              </w:rPr>
            </w:pPr>
            <w:r>
              <w:rPr>
                <w:color w:val="000000"/>
                <w:szCs w:val="21"/>
              </w:rPr>
              <w:t>交流验证电压试验</w:t>
            </w:r>
          </w:p>
        </w:tc>
        <w:tc>
          <w:tcPr>
            <w:tcW w:w="4203" w:type="dxa"/>
            <w:vAlign w:val="center"/>
          </w:tcPr>
          <w:p>
            <w:pPr>
              <w:snapToGrid w:val="0"/>
              <w:spacing w:line="240" w:lineRule="atLeast"/>
              <w:jc w:val="center"/>
              <w:rPr>
                <w:color w:val="000000"/>
                <w:szCs w:val="21"/>
              </w:rPr>
            </w:pPr>
            <w:r>
              <w:rPr>
                <w:color w:val="000000"/>
                <w:szCs w:val="21"/>
              </w:rPr>
              <w:t>GB/T 17622-2008</w:t>
            </w:r>
            <w:r>
              <w:rPr>
                <w:rFonts w:hint="eastAsia"/>
                <w:color w:val="000000"/>
                <w:szCs w:val="21"/>
              </w:rPr>
              <w:t xml:space="preserve"> 6.4.2.1</w:t>
            </w:r>
          </w:p>
        </w:tc>
      </w:tr>
    </w:tbl>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360" w:lineRule="auto"/>
        <w:rPr>
          <w:rFonts w:ascii="黑体" w:hAnsi="黑体" w:eastAsia="黑体"/>
          <w:color w:val="000000"/>
          <w:szCs w:val="21"/>
        </w:rPr>
      </w:pPr>
      <w:r>
        <w:rPr>
          <w:rFonts w:hint="eastAsia" w:ascii="宋体" w:hAnsi="宋体"/>
          <w:color w:val="000000"/>
          <w:szCs w:val="21"/>
        </w:rPr>
        <w:t>3.1依据标准</w:t>
      </w:r>
    </w:p>
    <w:p>
      <w:pPr>
        <w:snapToGrid w:val="0"/>
        <w:spacing w:line="360" w:lineRule="auto"/>
        <w:ind w:firstLine="420" w:firstLineChars="200"/>
        <w:rPr>
          <w:rFonts w:ascii="宋体" w:hAnsi="宋体"/>
          <w:color w:val="000000"/>
          <w:szCs w:val="21"/>
        </w:rPr>
      </w:pPr>
      <w:r>
        <w:rPr>
          <w:rFonts w:hint="eastAsia" w:ascii="宋体" w:hAnsi="宋体"/>
          <w:color w:val="000000"/>
          <w:szCs w:val="21"/>
        </w:rPr>
        <w:t>GB/T 17622-2008《带电作业用绝缘手套》</w:t>
      </w:r>
    </w:p>
    <w:p>
      <w:pPr>
        <w:snapToGrid w:val="0"/>
        <w:spacing w:line="360" w:lineRule="auto"/>
        <w:ind w:firstLine="420" w:firstLineChars="200"/>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360" w:lineRule="auto"/>
        <w:rPr>
          <w:rFonts w:ascii="宋体" w:hAnsi="宋体"/>
          <w:color w:val="000000"/>
          <w:szCs w:val="21"/>
        </w:rPr>
      </w:pPr>
      <w:r>
        <w:rPr>
          <w:rFonts w:hint="eastAsia" w:ascii="宋体" w:hAnsi="宋体"/>
          <w:color w:val="000000"/>
          <w:szCs w:val="21"/>
        </w:rPr>
        <w:t>3.2判定原则</w:t>
      </w:r>
    </w:p>
    <w:p>
      <w:pPr>
        <w:snapToGrid w:val="0"/>
        <w:spacing w:line="360" w:lineRule="auto"/>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w:t>
      </w:r>
      <w:r>
        <w:rPr>
          <w:rFonts w:hint="eastAsia" w:ascii="宋体" w:hAnsi="宋体"/>
          <w:color w:val="000000"/>
          <w:szCs w:val="21"/>
          <w:lang w:val="en-US" w:eastAsia="zh-CN"/>
        </w:rPr>
        <w:t>一</w:t>
      </w:r>
      <w:r>
        <w:rPr>
          <w:rFonts w:hint="eastAsia" w:ascii="宋体" w:hAnsi="宋体"/>
          <w:color w:val="000000"/>
          <w:szCs w:val="21"/>
        </w:rPr>
        <w:t>项或</w:t>
      </w:r>
      <w:r>
        <w:rPr>
          <w:rFonts w:hint="eastAsia" w:ascii="宋体" w:hAnsi="宋体"/>
          <w:color w:val="000000"/>
          <w:szCs w:val="21"/>
          <w:lang w:val="en-US" w:eastAsia="zh-CN"/>
        </w:rPr>
        <w:t>一</w:t>
      </w:r>
      <w:r>
        <w:rPr>
          <w:rFonts w:hint="eastAsia" w:ascii="宋体" w:hAnsi="宋体"/>
          <w:color w:val="000000"/>
          <w:szCs w:val="21"/>
        </w:rPr>
        <w:t>项以上不合格，判定为被抽查产品不合格。</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360" w:lineRule="auto"/>
        <w:ind w:firstLine="417" w:firstLineChars="199"/>
        <w:rPr>
          <w:rFonts w:ascii="宋体" w:hAnsi="宋体"/>
          <w:color w:val="FF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YmJhNjU4N2RjN2UzMGVjM2M3N2Y0ZGRkY2EzM2MifQ=="/>
  </w:docVars>
  <w:rsids>
    <w:rsidRoot w:val="00172A27"/>
    <w:rsid w:val="00051A44"/>
    <w:rsid w:val="00081CBD"/>
    <w:rsid w:val="000976DE"/>
    <w:rsid w:val="00123D1C"/>
    <w:rsid w:val="00166132"/>
    <w:rsid w:val="00172A27"/>
    <w:rsid w:val="001809DD"/>
    <w:rsid w:val="00186FA2"/>
    <w:rsid w:val="001A126E"/>
    <w:rsid w:val="00232530"/>
    <w:rsid w:val="00253624"/>
    <w:rsid w:val="00266EE6"/>
    <w:rsid w:val="00277007"/>
    <w:rsid w:val="00292F08"/>
    <w:rsid w:val="002D7F8A"/>
    <w:rsid w:val="002E0D1D"/>
    <w:rsid w:val="003203A3"/>
    <w:rsid w:val="00326ACE"/>
    <w:rsid w:val="00365CBE"/>
    <w:rsid w:val="003A7D30"/>
    <w:rsid w:val="003C388C"/>
    <w:rsid w:val="003D09A1"/>
    <w:rsid w:val="003E61BF"/>
    <w:rsid w:val="004104AC"/>
    <w:rsid w:val="00445E86"/>
    <w:rsid w:val="00447AD2"/>
    <w:rsid w:val="004512CA"/>
    <w:rsid w:val="0045434D"/>
    <w:rsid w:val="00474E04"/>
    <w:rsid w:val="0049537E"/>
    <w:rsid w:val="004D0C5A"/>
    <w:rsid w:val="004D184C"/>
    <w:rsid w:val="004E1396"/>
    <w:rsid w:val="004E6C21"/>
    <w:rsid w:val="005218E6"/>
    <w:rsid w:val="00533B60"/>
    <w:rsid w:val="00536755"/>
    <w:rsid w:val="00563EBC"/>
    <w:rsid w:val="0057709C"/>
    <w:rsid w:val="0059689D"/>
    <w:rsid w:val="006467D3"/>
    <w:rsid w:val="006E0F85"/>
    <w:rsid w:val="006E1171"/>
    <w:rsid w:val="006F0971"/>
    <w:rsid w:val="0072334C"/>
    <w:rsid w:val="00724383"/>
    <w:rsid w:val="00767D0B"/>
    <w:rsid w:val="007F517C"/>
    <w:rsid w:val="00895BEA"/>
    <w:rsid w:val="008A0B20"/>
    <w:rsid w:val="008A3497"/>
    <w:rsid w:val="008E0A40"/>
    <w:rsid w:val="00917A54"/>
    <w:rsid w:val="00946E6D"/>
    <w:rsid w:val="00983BCB"/>
    <w:rsid w:val="009B0336"/>
    <w:rsid w:val="009C14C4"/>
    <w:rsid w:val="009D1C42"/>
    <w:rsid w:val="00A23D98"/>
    <w:rsid w:val="00A43553"/>
    <w:rsid w:val="00A62375"/>
    <w:rsid w:val="00AC5391"/>
    <w:rsid w:val="00AF63B7"/>
    <w:rsid w:val="00B426C0"/>
    <w:rsid w:val="00B65F23"/>
    <w:rsid w:val="00B93A17"/>
    <w:rsid w:val="00BE0C5E"/>
    <w:rsid w:val="00BF2B8C"/>
    <w:rsid w:val="00BF7C8C"/>
    <w:rsid w:val="00C26074"/>
    <w:rsid w:val="00C83B0A"/>
    <w:rsid w:val="00CE1E0C"/>
    <w:rsid w:val="00CE277E"/>
    <w:rsid w:val="00CE7EFA"/>
    <w:rsid w:val="00CF00CB"/>
    <w:rsid w:val="00D56867"/>
    <w:rsid w:val="00D924C8"/>
    <w:rsid w:val="00DA1699"/>
    <w:rsid w:val="00E02A7F"/>
    <w:rsid w:val="00E07880"/>
    <w:rsid w:val="00E1078C"/>
    <w:rsid w:val="00E81E31"/>
    <w:rsid w:val="00E82621"/>
    <w:rsid w:val="00F00C78"/>
    <w:rsid w:val="00F43D1F"/>
    <w:rsid w:val="00F4653C"/>
    <w:rsid w:val="00F77C9A"/>
    <w:rsid w:val="00FA2E52"/>
    <w:rsid w:val="00FA444D"/>
    <w:rsid w:val="00FB576C"/>
    <w:rsid w:val="00FC6EEA"/>
    <w:rsid w:val="00FD2AA6"/>
    <w:rsid w:val="00FE7E8A"/>
    <w:rsid w:val="100D3AA1"/>
    <w:rsid w:val="10794722"/>
    <w:rsid w:val="119A3908"/>
    <w:rsid w:val="18C13529"/>
    <w:rsid w:val="22116682"/>
    <w:rsid w:val="22204D26"/>
    <w:rsid w:val="2D940F31"/>
    <w:rsid w:val="32E0684A"/>
    <w:rsid w:val="379445DF"/>
    <w:rsid w:val="37A250C4"/>
    <w:rsid w:val="3E9A73B9"/>
    <w:rsid w:val="3F1D32FF"/>
    <w:rsid w:val="419C2CD5"/>
    <w:rsid w:val="476D59BD"/>
    <w:rsid w:val="4C303D9A"/>
    <w:rsid w:val="4E5225D1"/>
    <w:rsid w:val="4FC76963"/>
    <w:rsid w:val="511F6FCB"/>
    <w:rsid w:val="546B6B7F"/>
    <w:rsid w:val="666E2E32"/>
    <w:rsid w:val="683B2128"/>
    <w:rsid w:val="6B95409A"/>
    <w:rsid w:val="6C524D55"/>
    <w:rsid w:val="71B71E01"/>
    <w:rsid w:val="7713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批注文字 Char"/>
    <w:link w:val="2"/>
    <w:semiHidden/>
    <w:qFormat/>
    <w:uiPriority w:val="99"/>
    <w:rPr>
      <w:kern w:val="2"/>
      <w:sz w:val="21"/>
      <w:szCs w:val="24"/>
    </w:rPr>
  </w:style>
  <w:style w:type="character" w:customStyle="1" w:styleId="12">
    <w:name w:val="批注框文本 Char"/>
    <w:link w:val="3"/>
    <w:semiHidden/>
    <w:qFormat/>
    <w:uiPriority w:val="99"/>
    <w:rPr>
      <w:kern w:val="2"/>
      <w:sz w:val="18"/>
      <w:szCs w:val="18"/>
    </w:rPr>
  </w:style>
  <w:style w:type="character" w:customStyle="1" w:styleId="13">
    <w:name w:val="页脚 Char"/>
    <w:link w:val="4"/>
    <w:qFormat/>
    <w:uiPriority w:val="99"/>
    <w:rPr>
      <w:kern w:val="2"/>
      <w:sz w:val="18"/>
      <w:szCs w:val="18"/>
    </w:rPr>
  </w:style>
  <w:style w:type="character" w:customStyle="1" w:styleId="14">
    <w:name w:val="页眉 Char"/>
    <w:link w:val="5"/>
    <w:semiHidden/>
    <w:qFormat/>
    <w:uiPriority w:val="99"/>
    <w:rPr>
      <w:kern w:val="2"/>
      <w:sz w:val="18"/>
      <w:szCs w:val="18"/>
    </w:rPr>
  </w:style>
  <w:style w:type="character" w:customStyle="1" w:styleId="15">
    <w:name w:val="批注主题 Char"/>
    <w:link w:val="6"/>
    <w:semiHidden/>
    <w:qFormat/>
    <w:uiPriority w:val="99"/>
    <w:rPr>
      <w:b/>
      <w:bCs/>
      <w:kern w:val="2"/>
      <w:sz w:val="21"/>
      <w:szCs w:val="24"/>
    </w:rPr>
  </w:style>
  <w:style w:type="paragraph" w:customStyle="1" w:styleId="16">
    <w:name w:val="列出段落1"/>
    <w:basedOn w:val="1"/>
    <w:qFormat/>
    <w:uiPriority w:val="34"/>
    <w:pPr>
      <w:ind w:firstLine="420" w:firstLineChars="200"/>
    </w:pPr>
    <w:rPr>
      <w:rFonts w:ascii="Calibri" w:hAnsi="Calibri"/>
      <w:szCs w:val="22"/>
    </w:rPr>
  </w:style>
  <w:style w:type="character" w:customStyle="1" w:styleId="17">
    <w:name w:val="font01"/>
    <w:basedOn w:val="8"/>
    <w:qFormat/>
    <w:uiPriority w:val="0"/>
    <w:rPr>
      <w:rFonts w:hint="eastAsia" w:ascii="宋体" w:hAnsi="宋体" w:eastAsia="宋体" w:cs="宋体"/>
      <w:color w:val="000000"/>
      <w:sz w:val="20"/>
      <w:szCs w:val="20"/>
      <w:u w:val="none"/>
    </w:rPr>
  </w:style>
  <w:style w:type="character" w:customStyle="1" w:styleId="18">
    <w:name w:val="font1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1</Pages>
  <Words>589</Words>
  <Characters>703</Characters>
  <Lines>5</Lines>
  <Paragraphs>1</Paragraphs>
  <TotalTime>0</TotalTime>
  <ScaleCrop>false</ScaleCrop>
  <LinksUpToDate>false</LinksUpToDate>
  <CharactersWithSpaces>721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宋超</cp:lastModifiedBy>
  <cp:lastPrinted>2019-12-05T07:53:00Z</cp:lastPrinted>
  <dcterms:modified xsi:type="dcterms:W3CDTF">2023-04-21T06:31:47Z</dcterms:modified>
  <dc:title>××产品质量监督抽查实施细则</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C9ABB9AE6ACF471F9B29B8F397A42D18_13</vt:lpwstr>
  </property>
</Properties>
</file>