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附件23</w:t>
      </w:r>
    </w:p>
    <w:p>
      <w:pPr>
        <w:adjustRightInd w:val="0"/>
        <w:snapToGrid w:val="0"/>
        <w:spacing w:line="440" w:lineRule="exact"/>
        <w:jc w:val="center"/>
        <w:rPr>
          <w:rFonts w:eastAsia="方正小标宋简体"/>
          <w:color w:val="000000"/>
          <w:sz w:val="32"/>
          <w:szCs w:val="32"/>
        </w:rPr>
      </w:pPr>
      <w:r>
        <w:rPr>
          <w:rFonts w:hint="eastAsia" w:ascii="方正小标宋简体" w:hAnsi="方正小标宋简体" w:eastAsia="方正小标宋简体" w:cs="方正小标宋简体"/>
          <w:color w:val="000000"/>
          <w:sz w:val="32"/>
          <w:szCs w:val="32"/>
          <w:lang w:val="en-US" w:eastAsia="zh-CN"/>
        </w:rPr>
        <w:t>陕西省</w:t>
      </w:r>
      <w:r>
        <w:rPr>
          <w:rFonts w:hint="eastAsia" w:eastAsia="方正小标宋简体"/>
          <w:color w:val="000000"/>
          <w:sz w:val="32"/>
          <w:szCs w:val="32"/>
        </w:rPr>
        <w:t>过度包装</w:t>
      </w:r>
      <w:r>
        <w:rPr>
          <w:rFonts w:hint="eastAsia" w:eastAsia="方正小标宋简体"/>
          <w:color w:val="000000"/>
          <w:sz w:val="32"/>
          <w:szCs w:val="32"/>
          <w:lang w:eastAsia="zh-CN"/>
        </w:rPr>
        <w:t>（</w:t>
      </w:r>
      <w:r>
        <w:rPr>
          <w:rFonts w:hint="eastAsia" w:ascii="方正小标宋简体" w:hAnsi="方正小标宋简体" w:eastAsia="方正小标宋简体" w:cs="方正小标宋简体"/>
          <w:color w:val="000000"/>
          <w:sz w:val="32"/>
          <w:szCs w:val="32"/>
          <w:lang w:val="en-US" w:eastAsia="zh-CN"/>
        </w:rPr>
        <w:t>粽子、月饼、茶叶</w:t>
      </w:r>
      <w:r>
        <w:rPr>
          <w:rFonts w:hint="eastAsia" w:eastAsia="方正小标宋简体"/>
          <w:color w:val="000000"/>
          <w:sz w:val="32"/>
          <w:szCs w:val="32"/>
          <w:lang w:eastAsia="zh-CN"/>
        </w:rPr>
        <w:t>）</w:t>
      </w:r>
      <w:r>
        <w:rPr>
          <w:rFonts w:eastAsia="方正小标宋简体"/>
          <w:color w:val="000000"/>
          <w:sz w:val="32"/>
          <w:szCs w:val="32"/>
        </w:rPr>
        <w:t>产品</w:t>
      </w:r>
    </w:p>
    <w:p>
      <w:pPr>
        <w:adjustRightInd w:val="0"/>
        <w:snapToGrid w:val="0"/>
        <w:spacing w:line="440" w:lineRule="exact"/>
        <w:jc w:val="center"/>
        <w:rPr>
          <w:rFonts w:eastAsia="方正小标宋简体"/>
          <w:color w:val="000000"/>
          <w:sz w:val="32"/>
          <w:szCs w:val="32"/>
        </w:rPr>
      </w:pPr>
      <w:bookmarkStart w:id="1" w:name="_GoBack"/>
      <w:bookmarkEnd w:id="1"/>
      <w:r>
        <w:rPr>
          <w:rFonts w:eastAsia="方正小标宋简体"/>
          <w:color w:val="000000"/>
          <w:sz w:val="32"/>
          <w:szCs w:val="32"/>
        </w:rPr>
        <w:t>质量监督抽查实施细则</w:t>
      </w:r>
    </w:p>
    <w:p>
      <w:pPr>
        <w:adjustRightInd w:val="0"/>
        <w:snapToGrid w:val="0"/>
        <w:jc w:val="center"/>
        <w:rPr>
          <w:rFonts w:hint="eastAsia" w:ascii="方正小标宋简体" w:hAnsi="方正小标宋简体" w:eastAsia="方正小标宋简体" w:cs="方正小标宋简体"/>
          <w:color w:val="000000"/>
          <w:sz w:val="32"/>
          <w:szCs w:val="32"/>
          <w:lang w:val="en-US" w:eastAsia="zh-CN"/>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rPr>
          <w:rFonts w:hint="eastAsia"/>
          <w:color w:val="000000"/>
          <w:szCs w:val="21"/>
        </w:rPr>
        <w:t>每批次产品抽取样品2盒，其中1盒作为检验样品，1盒作为备用样品。</w:t>
      </w:r>
    </w:p>
    <w:p>
      <w:pPr>
        <w:snapToGrid w:val="0"/>
        <w:spacing w:line="440" w:lineRule="exact"/>
        <w:ind w:firstLine="420" w:firstLineChars="200"/>
        <w:rPr>
          <w:rFonts w:hint="eastAsia"/>
          <w:color w:val="000000"/>
          <w:szCs w:val="21"/>
        </w:rPr>
      </w:pPr>
    </w:p>
    <w:p>
      <w:pPr>
        <w:snapToGrid w:val="0"/>
        <w:spacing w:line="440" w:lineRule="exact"/>
        <w:outlineLvl w:val="0"/>
        <w:rPr>
          <w:rFonts w:hint="eastAsia" w:eastAsia="黑体"/>
          <w:color w:val="000000"/>
          <w:szCs w:val="21"/>
        </w:rPr>
      </w:pPr>
      <w:r>
        <w:rPr>
          <w:rFonts w:eastAsia="黑体"/>
          <w:color w:val="000000"/>
          <w:szCs w:val="21"/>
        </w:rPr>
        <w:t>2 检验依据</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993"/>
        <w:gridCol w:w="4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blHeader/>
          <w:jc w:val="center"/>
        </w:trPr>
        <w:tc>
          <w:tcPr>
            <w:tcW w:w="441" w:type="pct"/>
            <w:noWrap w:val="0"/>
            <w:vAlign w:val="top"/>
          </w:tcPr>
          <w:p>
            <w:pPr>
              <w:snapToGrid w:val="0"/>
              <w:spacing w:line="440" w:lineRule="exact"/>
              <w:jc w:val="center"/>
              <w:rPr>
                <w:rFonts w:hint="eastAsia"/>
                <w:color w:val="000000"/>
                <w:szCs w:val="21"/>
              </w:rPr>
            </w:pPr>
            <w:r>
              <w:rPr>
                <w:color w:val="000000"/>
                <w:szCs w:val="21"/>
              </w:rPr>
              <w:t>序</w:t>
            </w:r>
            <w:r>
              <w:rPr>
                <w:rFonts w:hint="eastAsia"/>
                <w:color w:val="000000"/>
                <w:szCs w:val="21"/>
              </w:rPr>
              <w:t>号</w:t>
            </w:r>
          </w:p>
        </w:tc>
        <w:tc>
          <w:tcPr>
            <w:tcW w:w="1756" w:type="pct"/>
            <w:noWrap w:val="0"/>
            <w:vAlign w:val="top"/>
          </w:tcPr>
          <w:p>
            <w:pPr>
              <w:snapToGrid w:val="0"/>
              <w:spacing w:line="440" w:lineRule="exact"/>
              <w:jc w:val="center"/>
              <w:rPr>
                <w:color w:val="000000"/>
                <w:szCs w:val="21"/>
              </w:rPr>
            </w:pPr>
            <w:r>
              <w:rPr>
                <w:color w:val="000000"/>
                <w:szCs w:val="21"/>
              </w:rPr>
              <w:t>检验项目</w:t>
            </w:r>
          </w:p>
        </w:tc>
        <w:tc>
          <w:tcPr>
            <w:tcW w:w="2803" w:type="pct"/>
            <w:noWrap w:val="0"/>
            <w:vAlign w:val="top"/>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pPr>
              <w:adjustRightInd w:val="0"/>
              <w:snapToGrid w:val="0"/>
              <w:jc w:val="center"/>
              <w:textAlignment w:val="center"/>
              <w:rPr>
                <w:szCs w:val="21"/>
              </w:rPr>
            </w:pPr>
            <w:r>
              <w:rPr>
                <w:kern w:val="0"/>
                <w:szCs w:val="21"/>
              </w:rPr>
              <w:t>1</w:t>
            </w:r>
          </w:p>
        </w:tc>
        <w:tc>
          <w:tcPr>
            <w:tcW w:w="1756" w:type="pct"/>
            <w:noWrap w:val="0"/>
            <w:vAlign w:val="center"/>
          </w:tcPr>
          <w:p>
            <w:pPr>
              <w:adjustRightInd w:val="0"/>
              <w:snapToGrid w:val="0"/>
              <w:jc w:val="center"/>
              <w:rPr>
                <w:szCs w:val="21"/>
              </w:rPr>
            </w:pPr>
            <w:r>
              <w:rPr>
                <w:rFonts w:hint="eastAsia"/>
                <w:szCs w:val="21"/>
              </w:rPr>
              <w:t>包装空隙率</w:t>
            </w:r>
          </w:p>
        </w:tc>
        <w:tc>
          <w:tcPr>
            <w:tcW w:w="2803" w:type="pct"/>
            <w:noWrap w:val="0"/>
            <w:vAlign w:val="center"/>
          </w:tcPr>
          <w:p>
            <w:pPr>
              <w:adjustRightInd w:val="0"/>
              <w:snapToGrid w:val="0"/>
              <w:jc w:val="center"/>
              <w:rPr>
                <w:szCs w:val="21"/>
              </w:rPr>
            </w:pPr>
            <w:r>
              <w:rPr>
                <w:rFonts w:hint="eastAsia"/>
                <w:szCs w:val="21"/>
              </w:rPr>
              <w:t>GB 23350</w:t>
            </w:r>
            <w:r>
              <w:rPr>
                <w:rFonts w:hint="eastAsia"/>
              </w:rPr>
              <w:t>—</w:t>
            </w:r>
            <w:r>
              <w:rPr>
                <w:rFonts w:hint="eastAsia"/>
                <w:szCs w:val="21"/>
              </w:rPr>
              <w:t>2021及第1号修改单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pPr>
              <w:adjustRightInd w:val="0"/>
              <w:snapToGrid w:val="0"/>
              <w:jc w:val="center"/>
              <w:textAlignment w:val="center"/>
              <w:rPr>
                <w:szCs w:val="21"/>
              </w:rPr>
            </w:pPr>
            <w:r>
              <w:rPr>
                <w:kern w:val="0"/>
                <w:szCs w:val="21"/>
              </w:rPr>
              <w:t>2</w:t>
            </w:r>
          </w:p>
        </w:tc>
        <w:tc>
          <w:tcPr>
            <w:tcW w:w="1756" w:type="pct"/>
            <w:noWrap w:val="0"/>
            <w:vAlign w:val="center"/>
          </w:tcPr>
          <w:p>
            <w:pPr>
              <w:adjustRightInd w:val="0"/>
              <w:snapToGrid w:val="0"/>
              <w:jc w:val="center"/>
              <w:rPr>
                <w:szCs w:val="21"/>
              </w:rPr>
            </w:pPr>
            <w:r>
              <w:rPr>
                <w:rFonts w:hint="eastAsia"/>
                <w:szCs w:val="21"/>
              </w:rPr>
              <w:t>包装层数</w:t>
            </w:r>
          </w:p>
        </w:tc>
        <w:tc>
          <w:tcPr>
            <w:tcW w:w="2803" w:type="pct"/>
            <w:noWrap w:val="0"/>
            <w:vAlign w:val="center"/>
          </w:tcPr>
          <w:p>
            <w:pPr>
              <w:adjustRightInd w:val="0"/>
              <w:snapToGrid w:val="0"/>
              <w:jc w:val="center"/>
              <w:rPr>
                <w:szCs w:val="21"/>
              </w:rPr>
            </w:pPr>
            <w:r>
              <w:rPr>
                <w:rFonts w:hint="eastAsia"/>
                <w:szCs w:val="21"/>
              </w:rPr>
              <w:t>GB 23350</w:t>
            </w:r>
            <w:r>
              <w:rPr>
                <w:rFonts w:hint="eastAsia"/>
              </w:rPr>
              <w:t>—</w:t>
            </w:r>
            <w:r>
              <w:rPr>
                <w:rFonts w:hint="eastAsia"/>
                <w:szCs w:val="21"/>
              </w:rPr>
              <w:t>2021及第1号修改单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pPr>
              <w:adjustRightInd w:val="0"/>
              <w:snapToGrid w:val="0"/>
              <w:jc w:val="center"/>
              <w:textAlignment w:val="center"/>
              <w:rPr>
                <w:kern w:val="0"/>
                <w:szCs w:val="21"/>
              </w:rPr>
            </w:pPr>
            <w:r>
              <w:rPr>
                <w:rFonts w:hint="eastAsia"/>
                <w:kern w:val="0"/>
                <w:szCs w:val="21"/>
              </w:rPr>
              <w:t>3</w:t>
            </w:r>
          </w:p>
        </w:tc>
        <w:tc>
          <w:tcPr>
            <w:tcW w:w="1756" w:type="pct"/>
            <w:noWrap w:val="0"/>
            <w:vAlign w:val="center"/>
          </w:tcPr>
          <w:p>
            <w:pPr>
              <w:adjustRightInd w:val="0"/>
              <w:snapToGrid w:val="0"/>
              <w:jc w:val="center"/>
              <w:rPr>
                <w:rFonts w:hint="eastAsia"/>
                <w:szCs w:val="21"/>
              </w:rPr>
            </w:pPr>
            <w:r>
              <w:rPr>
                <w:rFonts w:hint="eastAsia"/>
                <w:szCs w:val="21"/>
              </w:rPr>
              <w:t>混装要求</w:t>
            </w:r>
          </w:p>
        </w:tc>
        <w:tc>
          <w:tcPr>
            <w:tcW w:w="2803" w:type="pct"/>
            <w:noWrap w:val="0"/>
            <w:vAlign w:val="center"/>
          </w:tcPr>
          <w:p>
            <w:pPr>
              <w:adjustRightInd w:val="0"/>
              <w:snapToGrid w:val="0"/>
              <w:jc w:val="center"/>
              <w:rPr>
                <w:rFonts w:hint="eastAsia"/>
                <w:szCs w:val="21"/>
              </w:rPr>
            </w:pPr>
            <w:r>
              <w:rPr>
                <w:rFonts w:hint="eastAsia"/>
                <w:szCs w:val="21"/>
              </w:rPr>
              <w:t>GB 23350—2021及第1号修改单</w:t>
            </w:r>
          </w:p>
        </w:tc>
      </w:tr>
    </w:tbl>
    <w:p>
      <w:pPr>
        <w:snapToGrid w:val="0"/>
        <w:spacing w:line="440" w:lineRule="exact"/>
        <w:ind w:firstLine="420" w:firstLineChars="200"/>
        <w:rPr>
          <w:rFonts w:hint="eastAsia"/>
          <w:color w:val="000000"/>
          <w:szCs w:val="21"/>
        </w:rPr>
      </w:pPr>
      <w:bookmarkStart w:id="0" w:name="_Hlk40347690"/>
      <w:r>
        <w:rPr>
          <w:color w:val="000000"/>
          <w:szCs w:val="21"/>
        </w:rPr>
        <w:t>执行企业标准、团体标准、地方标准的产品，检验项目参照上述内容执行。</w:t>
      </w:r>
      <w:bookmarkEnd w:id="0"/>
    </w:p>
    <w:p>
      <w:pPr>
        <w:spacing w:before="156" w:beforeLines="50" w:line="440" w:lineRule="exact"/>
        <w:ind w:left="420" w:hanging="420" w:hangingChars="200"/>
        <w:outlineLvl w:val="0"/>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 依据标准</w:t>
      </w:r>
    </w:p>
    <w:p>
      <w:pPr>
        <w:snapToGrid w:val="0"/>
        <w:spacing w:line="440" w:lineRule="exact"/>
        <w:ind w:firstLine="420" w:firstLineChars="200"/>
        <w:rPr>
          <w:rFonts w:hint="eastAsia"/>
          <w:color w:val="000000"/>
          <w:szCs w:val="21"/>
        </w:rPr>
      </w:pPr>
      <w:r>
        <w:rPr>
          <w:rFonts w:hint="eastAsia"/>
          <w:szCs w:val="21"/>
        </w:rPr>
        <w:t>GB 23350</w:t>
      </w:r>
      <w:r>
        <w:rPr>
          <w:rFonts w:hint="eastAsia"/>
        </w:rPr>
        <w:t>—</w:t>
      </w:r>
      <w:r>
        <w:rPr>
          <w:rFonts w:hint="eastAsia"/>
          <w:szCs w:val="21"/>
        </w:rPr>
        <w:t>2021</w:t>
      </w:r>
      <w:r>
        <w:rPr>
          <w:rFonts w:hint="eastAsia"/>
          <w:color w:val="000000"/>
          <w:szCs w:val="21"/>
        </w:rPr>
        <w:t>限制商品过度包装要求 食品和化妆品（含</w:t>
      </w:r>
      <w:r>
        <w:rPr>
          <w:rFonts w:hint="eastAsia"/>
          <w:szCs w:val="21"/>
        </w:rPr>
        <w:t>第1号修改单）</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outlineLvl w:val="0"/>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w:t>
      </w:r>
      <w:r>
        <w:rPr>
          <w:rFonts w:hint="eastAsia"/>
          <w:color w:val="000000"/>
          <w:szCs w:val="21"/>
        </w:rPr>
        <w:t>所检项目未发现不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B54E3"/>
    <w:rsid w:val="0BB82B74"/>
    <w:rsid w:val="105630E4"/>
    <w:rsid w:val="150B2F62"/>
    <w:rsid w:val="18965F6C"/>
    <w:rsid w:val="1BFD0EC5"/>
    <w:rsid w:val="1DE02E0B"/>
    <w:rsid w:val="22A10DAF"/>
    <w:rsid w:val="234E05C6"/>
    <w:rsid w:val="25231335"/>
    <w:rsid w:val="2EC3360C"/>
    <w:rsid w:val="3A142682"/>
    <w:rsid w:val="3EF85294"/>
    <w:rsid w:val="4B3175FC"/>
    <w:rsid w:val="4DE37859"/>
    <w:rsid w:val="4E040540"/>
    <w:rsid w:val="5002254A"/>
    <w:rsid w:val="52CD6A7D"/>
    <w:rsid w:val="556E7FB9"/>
    <w:rsid w:val="5DED0980"/>
    <w:rsid w:val="614348B0"/>
    <w:rsid w:val="6AAA1C15"/>
    <w:rsid w:val="6AF74F82"/>
    <w:rsid w:val="6BDA13CF"/>
    <w:rsid w:val="6FA840E4"/>
    <w:rsid w:val="77586BC0"/>
    <w:rsid w:val="78D8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宋体" w:hAnsi="宋体" w:eastAsia="宋体" w:cs="Times New Roman"/>
      <w:color w:val="000000"/>
      <w:sz w:val="24"/>
    </w:rPr>
  </w:style>
  <w:style w:type="paragraph" w:styleId="3">
    <w:name w:val="footer"/>
    <w:basedOn w:val="1"/>
    <w:unhideWhenUsed/>
    <w:qFormat/>
    <w:uiPriority w:val="99"/>
    <w:pPr>
      <w:tabs>
        <w:tab w:val="center" w:pos="4153"/>
        <w:tab w:val="right" w:pos="8306"/>
      </w:tabs>
      <w:snapToGrid w:val="0"/>
      <w:jc w:val="left"/>
    </w:pPr>
    <w:rPr>
      <w:sz w:val="18"/>
      <w:szCs w:val="18"/>
      <w:lang w:val="en-US" w:eastAsia="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lang w:val="en-US" w:eastAsia="zh-CN"/>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2022-08-17T03:24:00Z</dcterms:created>
  <dc:creator>lenovo</dc:creator>
  <cp:lastModifiedBy>宋超</cp:lastModifiedBy>
  <cp:lastPrinted>2022-08-25T02:30:00Z</cp:lastPrinted>
  <dcterms:modified xsi:type="dcterms:W3CDTF">2023-04-24T06:46:33Z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