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color w:val="000000"/>
          <w:sz w:val="32"/>
          <w:szCs w:val="32"/>
        </w:rPr>
      </w:pPr>
      <w:r>
        <w:rPr>
          <w:rFonts w:hint="eastAsia" w:ascii="黑体" w:hAnsi="黑体" w:eastAsia="黑体" w:cs="黑体"/>
          <w:sz w:val="32"/>
          <w:szCs w:val="32"/>
          <w:lang w:val="en-US" w:eastAsia="zh-CN"/>
        </w:rPr>
        <w:t>附件1</w:t>
      </w:r>
    </w:p>
    <w:p>
      <w:pPr>
        <w:snapToGrid w:val="0"/>
        <w:spacing w:line="360" w:lineRule="auto"/>
        <w:jc w:val="center"/>
        <w:rPr>
          <w:rFonts w:hint="eastAsia" w:ascii="方正小标宋简体" w:hAnsi="仿宋" w:eastAsia="方正小标宋简体" w:cs="方正仿宋简体"/>
          <w:color w:val="000000"/>
          <w:sz w:val="13"/>
          <w:szCs w:val="13"/>
        </w:rPr>
      </w:pPr>
    </w:p>
    <w:p>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陕西省涂料产品质量监督抽查实施细则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随机数采用扑克牌法</w:t>
      </w:r>
      <w:bookmarkStart w:id="1" w:name="_GoBack"/>
      <w:bookmarkEnd w:id="1"/>
      <w:r>
        <w:rPr>
          <w:rFonts w:hint="eastAsia" w:ascii="宋体" w:hAnsi="宋体"/>
          <w:color w:val="000000"/>
          <w:szCs w:val="21"/>
        </w:rPr>
        <w:t>产生。</w:t>
      </w: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建筑涂料样品取样数量表</w:t>
      </w:r>
    </w:p>
    <w:tbl>
      <w:tblPr>
        <w:tblStyle w:val="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324"/>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产品名称</w:t>
            </w:r>
          </w:p>
        </w:tc>
        <w:tc>
          <w:tcPr>
            <w:tcW w:w="487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取样数量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合成树脂乳液内墙涂料</w:t>
            </w:r>
          </w:p>
        </w:tc>
        <w:tc>
          <w:tcPr>
            <w:tcW w:w="4871" w:type="dxa"/>
            <w:vMerge w:val="restart"/>
            <w:tcBorders>
              <w:top w:val="single" w:color="auto" w:sz="4" w:space="0"/>
              <w:left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3kg/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当独立包装产品质量不大于5kg时，应尽量整包装抽取，避免分装。独立的底漆或中涂漆不在本次抽查范围内。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合成树脂乳液外墙涂料</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溶剂型外墙涂料</w:t>
            </w:r>
          </w:p>
        </w:tc>
        <w:tc>
          <w:tcPr>
            <w:tcW w:w="4871" w:type="dxa"/>
            <w:vMerge w:val="continue"/>
            <w:tcBorders>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建筑质感涂料</w:t>
            </w:r>
          </w:p>
        </w:tc>
        <w:tc>
          <w:tcPr>
            <w:tcW w:w="48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5kg/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涂层体系产品应按配比抽取底涂料和/或面涂料；独立的底涂料和/或面涂料不在本次抽查范围内。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木器涂料</w:t>
            </w:r>
          </w:p>
        </w:tc>
        <w:tc>
          <w:tcPr>
            <w:tcW w:w="4871" w:type="dxa"/>
            <w:vMerge w:val="restart"/>
            <w:tcBorders>
              <w:top w:val="single" w:color="auto" w:sz="4" w:space="0"/>
              <w:left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1kg/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当独立包装产品质量不大于2kg时，应尽量整包装抽取，避免分装。多组分产品按配比抽取配套产品各2份，每份不少于0.5kg，一份为检验样品，一份为备用样品，独立的配套产品不在本次抽查范围内。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工业漆</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地坪涂装材料</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水性工业涂料</w:t>
            </w:r>
          </w:p>
        </w:tc>
        <w:tc>
          <w:tcPr>
            <w:tcW w:w="4871" w:type="dxa"/>
            <w:vMerge w:val="continue"/>
            <w:tcBorders>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2 </w:t>
      </w:r>
      <w:r>
        <w:rPr>
          <w:rFonts w:hint="eastAsia" w:ascii="宋体" w:hAnsi="宋体"/>
          <w:color w:val="000000"/>
          <w:szCs w:val="21"/>
        </w:rPr>
        <w:t>合成树脂乳液内墙涂料检验项目</w:t>
      </w:r>
    </w:p>
    <w:tbl>
      <w:tblPr>
        <w:tblStyle w:val="5"/>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4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低温稳定性</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GB/T 9268-2008（A法）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干燥时间</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对比率</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GB/T23981.1-2019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9</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耐碱性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9756-2018（5</w:t>
            </w:r>
            <w:r>
              <w:rPr>
                <w:rFonts w:ascii="宋体" w:hAnsi="宋体"/>
                <w:color w:val="000000"/>
                <w:szCs w:val="21"/>
              </w:rPr>
              <w:t>.5.8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10</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耐洗刷性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9756-2018（5</w:t>
            </w:r>
            <w:r>
              <w:rPr>
                <w:rFonts w:ascii="宋体" w:hAnsi="宋体"/>
                <w:color w:val="000000"/>
                <w:szCs w:val="21"/>
              </w:rPr>
              <w:t>.5.11</w:t>
            </w:r>
            <w:r>
              <w:rPr>
                <w:rFonts w:hint="eastAsia" w:ascii="宋体" w:hAnsi="宋体"/>
                <w:color w:val="000000"/>
                <w:szCs w:val="21"/>
              </w:rPr>
              <w:t>）</w:t>
            </w:r>
          </w:p>
        </w:tc>
      </w:tr>
    </w:tbl>
    <w:p>
      <w:pPr>
        <w:snapToGrid w:val="0"/>
        <w:spacing w:line="380" w:lineRule="exact"/>
        <w:jc w:val="center"/>
        <w:rPr>
          <w:rFonts w:ascii="宋体" w:hAnsi="宋体"/>
          <w:color w:val="000000"/>
          <w:szCs w:val="21"/>
        </w:rPr>
      </w:pPr>
    </w:p>
    <w:p>
      <w:pPr>
        <w:snapToGrid w:val="0"/>
        <w:spacing w:line="380" w:lineRule="exact"/>
        <w:jc w:val="center"/>
        <w:rPr>
          <w:rFonts w:ascii="宋体" w:hAnsi="宋体"/>
          <w:color w:val="000000"/>
          <w:szCs w:val="21"/>
        </w:rPr>
      </w:pP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3 </w:t>
      </w:r>
      <w:r>
        <w:rPr>
          <w:rFonts w:hint="eastAsia" w:ascii="宋体" w:hAnsi="宋体"/>
          <w:color w:val="000000"/>
          <w:szCs w:val="21"/>
        </w:rPr>
        <w:t>水性多彩涂料检验项目</w:t>
      </w:r>
    </w:p>
    <w:tbl>
      <w:tblPr>
        <w:tblStyle w:val="5"/>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00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耐洗刷性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低温稳定性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耐水性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9</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耐碱性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.4.7</w:t>
            </w:r>
            <w:r>
              <w:rPr>
                <w:rFonts w:hint="eastAsia" w:ascii="宋体" w:hAnsi="宋体"/>
                <w:color w:val="000000"/>
                <w:szCs w:val="21"/>
              </w:rPr>
              <w:t>）</w:t>
            </w:r>
          </w:p>
        </w:tc>
      </w:tr>
    </w:tbl>
    <w:p>
      <w:pPr>
        <w:snapToGrid w:val="0"/>
        <w:spacing w:line="38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4 </w:t>
      </w:r>
      <w:r>
        <w:rPr>
          <w:rFonts w:hint="eastAsia" w:ascii="宋体" w:hAnsi="宋体"/>
          <w:color w:val="000000"/>
          <w:szCs w:val="21"/>
        </w:rPr>
        <w:t>合成树脂乳液砂壁状建筑涂料检验项目</w:t>
      </w:r>
    </w:p>
    <w:tbl>
      <w:tblPr>
        <w:tblStyle w:val="5"/>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85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施工性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低温稳定性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9268-2008（A法）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1733-1993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10</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粘结强度（标准状态）</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初期干燥抗裂性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.15</w:t>
            </w:r>
            <w:r>
              <w:rPr>
                <w:rFonts w:hint="eastAsia" w:ascii="宋体" w:hAnsi="宋体"/>
                <w:color w:val="000000"/>
                <w:szCs w:val="21"/>
              </w:rPr>
              <w:t>）</w:t>
            </w:r>
          </w:p>
        </w:tc>
      </w:tr>
    </w:tbl>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5 </w:t>
      </w:r>
      <w:r>
        <w:rPr>
          <w:rFonts w:hint="eastAsia" w:ascii="宋体" w:hAnsi="宋体"/>
          <w:color w:val="000000"/>
          <w:szCs w:val="21"/>
        </w:rPr>
        <w:t>水性复合岩片防花岗岩涂料检验项目</w:t>
      </w:r>
    </w:p>
    <w:tbl>
      <w:tblPr>
        <w:tblStyle w:val="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374"/>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热贮存稳定性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低温贮存稳定性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.4.7</w:t>
            </w:r>
            <w:r>
              <w:rPr>
                <w:rFonts w:hint="eastAsia" w:ascii="宋体" w:hAnsi="宋体"/>
                <w:color w:val="000000"/>
                <w:szCs w:val="21"/>
              </w:rPr>
              <w:t>）</w:t>
            </w:r>
          </w:p>
        </w:tc>
      </w:tr>
    </w:tbl>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6</w:t>
      </w:r>
      <w:r>
        <w:rPr>
          <w:rFonts w:hint="eastAsia" w:ascii="宋体" w:hAnsi="宋体"/>
          <w:color w:val="000000"/>
          <w:szCs w:val="21"/>
        </w:rPr>
        <w:t>　合成树脂乳液外墙涂料检验项目</w:t>
      </w:r>
    </w:p>
    <w:tbl>
      <w:tblPr>
        <w:tblStyle w:val="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74"/>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低温稳定性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耐沾污性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w:t>
            </w:r>
            <w:r>
              <w:rPr>
                <w:rFonts w:ascii="宋体" w:hAnsi="宋体"/>
                <w:color w:val="000000"/>
                <w:szCs w:val="21"/>
              </w:rPr>
              <w:t>8</w:t>
            </w:r>
            <w:r>
              <w:rPr>
                <w:rFonts w:hint="eastAsia" w:ascii="宋体" w:hAnsi="宋体"/>
                <w:color w:val="000000"/>
                <w:szCs w:val="21"/>
              </w:rPr>
              <w:t>）</w:t>
            </w:r>
          </w:p>
        </w:tc>
      </w:tr>
    </w:tbl>
    <w:p>
      <w:pPr>
        <w:snapToGrid w:val="0"/>
        <w:spacing w:line="440" w:lineRule="exact"/>
        <w:jc w:val="center"/>
        <w:rPr>
          <w:color w:val="000000"/>
          <w:szCs w:val="21"/>
        </w:rPr>
      </w:pPr>
      <w:r>
        <w:rPr>
          <w:rFonts w:hint="eastAsia"/>
          <w:color w:val="000000"/>
          <w:szCs w:val="21"/>
        </w:rPr>
        <w:t xml:space="preserve"> </w:t>
      </w:r>
    </w:p>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r>
        <w:rPr>
          <w:color w:val="000000"/>
          <w:szCs w:val="21"/>
        </w:rPr>
        <w:t xml:space="preserve">   </w:t>
      </w:r>
    </w:p>
    <w:p>
      <w:pPr>
        <w:snapToGrid w:val="0"/>
        <w:spacing w:line="440" w:lineRule="exact"/>
        <w:jc w:val="center"/>
        <w:rPr>
          <w:rFonts w:ascii="宋体" w:hAnsi="宋体"/>
          <w:color w:val="000000"/>
          <w:szCs w:val="21"/>
        </w:rPr>
      </w:pPr>
      <w:r>
        <w:rPr>
          <w:color w:val="000000"/>
          <w:szCs w:val="21"/>
        </w:rPr>
        <w:t xml:space="preserve"> </w:t>
      </w:r>
      <w:r>
        <w:rPr>
          <w:rFonts w:hint="eastAsia" w:ascii="宋体" w:hAnsi="宋体"/>
          <w:color w:val="000000"/>
          <w:szCs w:val="21"/>
        </w:rPr>
        <w:t>表</w:t>
      </w:r>
      <w:r>
        <w:rPr>
          <w:rFonts w:ascii="宋体" w:hAnsi="宋体"/>
          <w:color w:val="000000"/>
          <w:szCs w:val="21"/>
        </w:rPr>
        <w:t>7</w:t>
      </w:r>
      <w:r>
        <w:rPr>
          <w:rFonts w:hint="eastAsia" w:ascii="宋体" w:hAnsi="宋体"/>
          <w:color w:val="000000"/>
          <w:szCs w:val="21"/>
        </w:rPr>
        <w:t xml:space="preserve"> 溶剂型外墙涂料检验项目</w:t>
      </w:r>
    </w:p>
    <w:tbl>
      <w:tblPr>
        <w:tblStyle w:val="5"/>
        <w:tblW w:w="7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甲苯与二甲苯（含乙苯）总和含量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10</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耐沾污性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13</w:t>
            </w:r>
            <w:r>
              <w:rPr>
                <w:rFonts w:hint="eastAsia" w:ascii="宋体" w:hAnsi="宋体"/>
                <w:color w:val="000000"/>
                <w:szCs w:val="21"/>
              </w:rPr>
              <w:t>）</w:t>
            </w:r>
          </w:p>
        </w:tc>
      </w:tr>
    </w:tbl>
    <w:p>
      <w:pPr>
        <w:adjustRightInd w:val="0"/>
        <w:snapToGrid w:val="0"/>
        <w:spacing w:line="440" w:lineRule="exact"/>
        <w:ind w:firstLine="630" w:firstLineChars="300"/>
        <w:rPr>
          <w:color w:val="000000"/>
          <w:szCs w:val="21"/>
        </w:rPr>
      </w:pPr>
      <w:r>
        <w:rPr>
          <w:rFonts w:hint="eastAsia"/>
          <w:color w:val="000000"/>
          <w:szCs w:val="21"/>
        </w:rPr>
        <w:t xml:space="preserve"> </w:t>
      </w:r>
      <w:r>
        <w:rPr>
          <w:color w:val="000000"/>
          <w:szCs w:val="21"/>
        </w:rPr>
        <w:t xml:space="preserve">                     </w:t>
      </w:r>
      <w:r>
        <w:rPr>
          <w:rFonts w:hint="eastAsia"/>
          <w:color w:val="000000"/>
          <w:szCs w:val="21"/>
        </w:rPr>
        <w:t>表</w:t>
      </w:r>
      <w:r>
        <w:rPr>
          <w:color w:val="000000"/>
          <w:szCs w:val="21"/>
        </w:rPr>
        <w:t xml:space="preserve">8 </w:t>
      </w:r>
      <w:r>
        <w:rPr>
          <w:rFonts w:hint="eastAsia"/>
          <w:color w:val="000000"/>
          <w:szCs w:val="21"/>
        </w:rPr>
        <w:t>木器涂料检验项目</w:t>
      </w:r>
    </w:p>
    <w:tbl>
      <w:tblPr>
        <w:tblStyle w:val="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85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VOC含量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甲醛含量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总铅含量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可溶性重金属含量（镉、铬、汞）</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苯系物总和含量（水性）</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苯含量（溶剂型）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60" w:lineRule="exact"/>
              <w:jc w:val="center"/>
              <w:rPr>
                <w:rFonts w:ascii="宋体" w:hAnsi="宋体"/>
                <w:color w:val="000000"/>
                <w:szCs w:val="21"/>
              </w:rPr>
            </w:pPr>
            <w:r>
              <w:rPr>
                <w:rFonts w:hint="eastAsia" w:ascii="宋体" w:hAnsi="宋体"/>
                <w:color w:val="000000"/>
                <w:szCs w:val="21"/>
              </w:rPr>
              <w:t>（溶剂型）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8</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5</w:t>
            </w:r>
            <w:r>
              <w:rPr>
                <w:rFonts w:hint="eastAsia" w:ascii="宋体" w:hAnsi="宋体"/>
                <w:color w:val="000000"/>
                <w:szCs w:val="21"/>
              </w:rPr>
              <w:t>）</w:t>
            </w:r>
          </w:p>
        </w:tc>
      </w:tr>
    </w:tbl>
    <w:p>
      <w:pPr>
        <w:adjustRightInd w:val="0"/>
        <w:snapToGrid w:val="0"/>
        <w:spacing w:line="360" w:lineRule="exact"/>
        <w:ind w:firstLine="630" w:firstLineChars="300"/>
        <w:jc w:val="center"/>
        <w:rPr>
          <w:color w:val="000000"/>
          <w:szCs w:val="21"/>
        </w:rPr>
      </w:pPr>
      <w:r>
        <w:rPr>
          <w:rFonts w:hint="eastAsia"/>
          <w:color w:val="000000"/>
          <w:szCs w:val="21"/>
        </w:rPr>
        <w:t>表</w:t>
      </w:r>
      <w:r>
        <w:rPr>
          <w:color w:val="000000"/>
          <w:szCs w:val="21"/>
        </w:rPr>
        <w:t xml:space="preserve">9 </w:t>
      </w:r>
      <w:r>
        <w:rPr>
          <w:rFonts w:hint="eastAsia"/>
          <w:color w:val="000000"/>
          <w:szCs w:val="21"/>
        </w:rPr>
        <w:t>工业漆、水性工业涂料检验项目</w:t>
      </w:r>
    </w:p>
    <w:tbl>
      <w:tblPr>
        <w:tblStyle w:val="5"/>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83"/>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VOC含量</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甲醇含量（无机类）</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苯含量（溶剂型）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60" w:lineRule="exact"/>
              <w:jc w:val="center"/>
              <w:rPr>
                <w:rFonts w:ascii="宋体" w:hAnsi="宋体"/>
                <w:color w:val="000000"/>
                <w:szCs w:val="21"/>
              </w:rPr>
            </w:pPr>
            <w:r>
              <w:rPr>
                <w:rFonts w:hint="eastAsia" w:ascii="宋体" w:hAnsi="宋体"/>
                <w:color w:val="000000"/>
                <w:szCs w:val="21"/>
              </w:rPr>
              <w:t>（溶剂型）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4"/>
                <w:szCs w:val="21"/>
              </w:rPr>
            </w:pPr>
            <w:r>
              <w:rPr>
                <w:rFonts w:hint="eastAsia" w:ascii="宋体" w:hAnsi="宋体"/>
                <w:color w:val="000000"/>
                <w:spacing w:val="-14"/>
                <w:szCs w:val="21"/>
              </w:rPr>
              <w:t>重金属含量（铅、镉、六价铬、汞）</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bl>
    <w:p>
      <w:pPr>
        <w:adjustRightInd w:val="0"/>
        <w:snapToGrid w:val="0"/>
        <w:spacing w:line="440" w:lineRule="exact"/>
        <w:ind w:firstLine="630" w:firstLineChars="300"/>
        <w:jc w:val="center"/>
        <w:rPr>
          <w:color w:val="000000"/>
          <w:szCs w:val="21"/>
        </w:rPr>
      </w:pPr>
    </w:p>
    <w:p>
      <w:pPr>
        <w:adjustRightInd w:val="0"/>
        <w:snapToGrid w:val="0"/>
        <w:spacing w:line="440" w:lineRule="exact"/>
        <w:ind w:firstLine="630" w:firstLineChars="300"/>
        <w:jc w:val="center"/>
        <w:rPr>
          <w:color w:val="000000"/>
          <w:szCs w:val="21"/>
        </w:rPr>
      </w:pPr>
      <w:r>
        <w:rPr>
          <w:rFonts w:hint="eastAsia"/>
          <w:color w:val="000000"/>
          <w:szCs w:val="21"/>
        </w:rPr>
        <w:t>表</w:t>
      </w:r>
      <w:r>
        <w:rPr>
          <w:color w:val="000000"/>
          <w:szCs w:val="21"/>
        </w:rPr>
        <w:t>10</w:t>
      </w:r>
      <w:r>
        <w:rPr>
          <w:rFonts w:hint="eastAsia"/>
          <w:color w:val="000000"/>
          <w:szCs w:val="21"/>
        </w:rPr>
        <w:t>地坪涂装材料检验项目</w:t>
      </w:r>
    </w:p>
    <w:tbl>
      <w:tblPr>
        <w:tblStyle w:val="5"/>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5"/>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挥发性有机化合物（VOC）含量</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 xml:space="preserve">GB </w:t>
            </w:r>
            <w:r>
              <w:rPr>
                <w:rFonts w:ascii="宋体" w:hAnsi="宋体"/>
                <w:color w:val="000000"/>
                <w:spacing w:val="-12"/>
                <w:szCs w:val="21"/>
              </w:rPr>
              <w:t>38468</w:t>
            </w:r>
            <w:r>
              <w:rPr>
                <w:rFonts w:hint="eastAsia" w:ascii="宋体" w:hAnsi="宋体"/>
                <w:color w:val="000000"/>
                <w:spacing w:val="-12"/>
                <w:szCs w:val="21"/>
              </w:rPr>
              <w:t>-20</w:t>
            </w:r>
            <w:r>
              <w:rPr>
                <w:rFonts w:ascii="宋体" w:hAnsi="宋体"/>
                <w:color w:val="000000"/>
                <w:spacing w:val="-12"/>
                <w:szCs w:val="21"/>
              </w:rPr>
              <w:t>19</w:t>
            </w:r>
            <w:r>
              <w:rPr>
                <w:rFonts w:hint="eastAsia" w:ascii="宋体" w:hAnsi="宋体"/>
                <w:color w:val="000000"/>
                <w:spacing w:val="-12"/>
                <w:szCs w:val="21"/>
              </w:rPr>
              <w:t>（6.2.1、6</w:t>
            </w:r>
            <w:r>
              <w:rPr>
                <w:rFonts w:ascii="宋体" w:hAnsi="宋体"/>
                <w:color w:val="000000"/>
                <w:spacing w:val="-12"/>
                <w:szCs w:val="21"/>
              </w:rPr>
              <w:t>.2.3</w:t>
            </w:r>
            <w:r>
              <w:rPr>
                <w:rFonts w:hint="eastAsia" w:ascii="宋体" w:hAnsi="宋体"/>
                <w:color w:val="000000"/>
                <w:spacing w:val="-12"/>
                <w:szCs w:val="21"/>
              </w:rPr>
              <w:t>）</w:t>
            </w:r>
          </w:p>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.2.3</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4"/>
                <w:szCs w:val="21"/>
              </w:rPr>
            </w:pPr>
            <w:r>
              <w:rPr>
                <w:rFonts w:hint="eastAsia" w:ascii="宋体" w:hAnsi="宋体"/>
                <w:color w:val="000000"/>
                <w:spacing w:val="-14"/>
                <w:szCs w:val="21"/>
              </w:rPr>
              <w:t>苯、甲苯、乙苯和二甲苯（水性）</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2</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4</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甲苯、乙苯和二甲苯总和</w:t>
            </w:r>
          </w:p>
          <w:p>
            <w:pPr>
              <w:snapToGrid w:val="0"/>
              <w:spacing w:line="360" w:lineRule="exact"/>
              <w:jc w:val="center"/>
              <w:rPr>
                <w:rFonts w:ascii="宋体" w:hAnsi="宋体"/>
                <w:color w:val="000000"/>
                <w:szCs w:val="21"/>
              </w:rPr>
            </w:pPr>
            <w:r>
              <w:rPr>
                <w:rFonts w:hint="eastAsia" w:ascii="宋体" w:hAnsi="宋体"/>
                <w:color w:val="000000"/>
                <w:szCs w:val="21"/>
              </w:rPr>
              <w:t>（溶剂型、无溶剂型）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4</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可溶性重金属含量（铅、镉、铬、汞）</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8</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.2.10</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2</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.2.7</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甲醛（水性）/游离甲醛</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5</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.2.4</w:t>
            </w:r>
            <w:r>
              <w:rPr>
                <w:rFonts w:hint="eastAsia" w:ascii="宋体" w:hAnsi="宋体"/>
                <w:color w:val="000000"/>
                <w:spacing w:val="-12"/>
                <w:szCs w:val="21"/>
              </w:rPr>
              <w:t>）</w:t>
            </w:r>
          </w:p>
        </w:tc>
      </w:tr>
    </w:tbl>
    <w:p>
      <w:pPr>
        <w:adjustRightInd w:val="0"/>
        <w:snapToGrid w:val="0"/>
        <w:spacing w:line="440" w:lineRule="exact"/>
        <w:ind w:firstLine="630" w:firstLineChars="3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GB 18582-2020   建筑用墙面涂料中有害物质限量 </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18581-2020   </w:t>
      </w:r>
      <w:r>
        <w:rPr>
          <w:rFonts w:hint="eastAsia" w:ascii="宋体" w:hAnsi="宋体"/>
          <w:color w:val="000000"/>
          <w:szCs w:val="21"/>
        </w:rPr>
        <w:t>木器涂料中有害物质限量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38468-2019   </w:t>
      </w:r>
      <w:r>
        <w:rPr>
          <w:rFonts w:hint="eastAsia" w:ascii="宋体" w:hAnsi="宋体"/>
          <w:color w:val="000000"/>
          <w:szCs w:val="21"/>
        </w:rPr>
        <w:t>室内地坪涂料中有害物质限量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30981-2020   </w:t>
      </w:r>
      <w:r>
        <w:rPr>
          <w:rFonts w:hint="eastAsia" w:ascii="宋体" w:hAnsi="宋体"/>
          <w:color w:val="000000"/>
          <w:szCs w:val="21"/>
        </w:rPr>
        <w:t>工业防护涂料中有害物质限量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9756-2018  合成树脂乳液内墙涂料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9755-2014  合成树脂乳液外墙涂料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B/T 9757-2001  </w:t>
      </w:r>
      <w:r>
        <w:rPr>
          <w:rFonts w:hint="eastAsia" w:ascii="宋体" w:hAnsi="宋体"/>
          <w:color w:val="000000"/>
          <w:szCs w:val="21"/>
        </w:rPr>
        <w:t>溶剂型外墙涂料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JG/T 24-2018   </w:t>
      </w:r>
      <w:r>
        <w:rPr>
          <w:rFonts w:ascii="宋体" w:hAnsi="宋体"/>
          <w:color w:val="000000"/>
          <w:szCs w:val="21"/>
        </w:rPr>
        <w:t xml:space="preserve"> </w:t>
      </w:r>
      <w:r>
        <w:rPr>
          <w:rFonts w:hint="eastAsia" w:ascii="宋体" w:hAnsi="宋体"/>
          <w:color w:val="000000"/>
          <w:szCs w:val="21"/>
        </w:rPr>
        <w:t>合成树脂乳液砂壁状建筑涂料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G/T 4343-2012  </w:t>
      </w:r>
      <w:r>
        <w:rPr>
          <w:rFonts w:hint="eastAsia" w:ascii="宋体" w:hAnsi="宋体"/>
          <w:color w:val="000000"/>
          <w:szCs w:val="21"/>
        </w:rPr>
        <w:t>水性多彩建筑涂料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G/T 4344-2012  </w:t>
      </w:r>
      <w:r>
        <w:rPr>
          <w:rFonts w:hint="eastAsia" w:ascii="宋体" w:hAnsi="宋体"/>
          <w:color w:val="000000"/>
          <w:szCs w:val="21"/>
        </w:rPr>
        <w:t>水性复合岩片仿花岗岩涂料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B/T 22374-2018 </w:t>
      </w:r>
      <w:r>
        <w:rPr>
          <w:rFonts w:hint="eastAsia" w:ascii="宋体" w:hAnsi="宋体"/>
          <w:color w:val="000000"/>
          <w:szCs w:val="21"/>
        </w:rPr>
        <w:t>地坪涂装材料</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bookmarkStart w:id="0" w:name="_PictureBullets"/>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8"/>
    <w:rsid w:val="00087FF7"/>
    <w:rsid w:val="000C2B93"/>
    <w:rsid w:val="00135636"/>
    <w:rsid w:val="001C102D"/>
    <w:rsid w:val="002E217B"/>
    <w:rsid w:val="00390B79"/>
    <w:rsid w:val="003F5608"/>
    <w:rsid w:val="003F7E3F"/>
    <w:rsid w:val="004128A8"/>
    <w:rsid w:val="00420249"/>
    <w:rsid w:val="00436A54"/>
    <w:rsid w:val="005315C7"/>
    <w:rsid w:val="005949FF"/>
    <w:rsid w:val="005D3C76"/>
    <w:rsid w:val="00642632"/>
    <w:rsid w:val="006513BE"/>
    <w:rsid w:val="00665D88"/>
    <w:rsid w:val="006B3C21"/>
    <w:rsid w:val="007469B7"/>
    <w:rsid w:val="00771A05"/>
    <w:rsid w:val="00816FE6"/>
    <w:rsid w:val="00837C0D"/>
    <w:rsid w:val="008B1089"/>
    <w:rsid w:val="008F1824"/>
    <w:rsid w:val="009E7BAA"/>
    <w:rsid w:val="00A554E5"/>
    <w:rsid w:val="00AA5D93"/>
    <w:rsid w:val="00AF15C6"/>
    <w:rsid w:val="00B049B6"/>
    <w:rsid w:val="00B42CFF"/>
    <w:rsid w:val="00BE5B67"/>
    <w:rsid w:val="00C15E99"/>
    <w:rsid w:val="00C47CD2"/>
    <w:rsid w:val="00C72686"/>
    <w:rsid w:val="00C84112"/>
    <w:rsid w:val="00CC2F93"/>
    <w:rsid w:val="00FF6C42"/>
    <w:rsid w:val="09700E31"/>
    <w:rsid w:val="1C616D79"/>
    <w:rsid w:val="3DF815D1"/>
    <w:rsid w:val="3FBB16AF"/>
    <w:rsid w:val="451F2046"/>
    <w:rsid w:val="67422E29"/>
    <w:rsid w:val="7518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Times New Roman"/>
      <w:kern w:val="0"/>
      <w:sz w:val="20"/>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3680</Characters>
  <Lines>30</Lines>
  <Paragraphs>8</Paragraphs>
  <TotalTime>1</TotalTime>
  <ScaleCrop>false</ScaleCrop>
  <LinksUpToDate>false</LinksUpToDate>
  <CharactersWithSpaces>4317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2023-04-10T02:36:00Z</dcterms:created>
  <dc:creator>吴 雷</dc:creator>
  <cp:lastModifiedBy>宋超</cp:lastModifiedBy>
  <dcterms:modified xsi:type="dcterms:W3CDTF">2023-06-30T03:07:17Z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