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西安市</w:t>
      </w:r>
      <w:r>
        <w:rPr>
          <w:rFonts w:hint="eastAsia" w:ascii="方正小标宋简体" w:hAnsi="方正小标宋简体" w:eastAsia="方正小标宋简体" w:cs="方正小标宋简体"/>
          <w:sz w:val="44"/>
          <w:szCs w:val="44"/>
        </w:rPr>
        <w:t>高新区</w:t>
      </w:r>
    </w:p>
    <w:p>
      <w:pPr>
        <w:spacing w:line="560" w:lineRule="exact"/>
        <w:jc w:val="center"/>
        <w:rPr>
          <w:rFonts w:hint="eastAsia" w:ascii="方正大标宋简体" w:hAnsi="宋体" w:eastAsia="方正小标宋简体" w:cs="宋体"/>
          <w:bCs/>
          <w:sz w:val="44"/>
          <w:szCs w:val="44"/>
          <w:lang w:eastAsia="zh-CN"/>
        </w:rPr>
      </w:pPr>
      <w:r>
        <w:rPr>
          <w:rFonts w:hint="eastAsia" w:ascii="方正小标宋简体" w:hAnsi="方正小标宋简体" w:eastAsia="方正小标宋简体" w:cs="方正小标宋简体"/>
          <w:sz w:val="44"/>
          <w:szCs w:val="44"/>
        </w:rPr>
        <w:t>2022年度</w:t>
      </w:r>
      <w:r>
        <w:rPr>
          <w:rFonts w:hint="eastAsia" w:ascii="方正小标宋简体" w:hAnsi="方正小标宋简体" w:eastAsia="方正小标宋简体" w:cs="方正小标宋简体"/>
          <w:sz w:val="44"/>
          <w:szCs w:val="44"/>
          <w:lang w:val="en-US" w:eastAsia="zh-CN"/>
        </w:rPr>
        <w:t>商事制度改革主要工作成效</w:t>
      </w:r>
    </w:p>
    <w:p>
      <w:pPr>
        <w:spacing w:line="560" w:lineRule="exact"/>
        <w:jc w:val="center"/>
        <w:rPr>
          <w:rFonts w:hint="eastAsia" w:ascii="黑体" w:hAnsi="黑体" w:eastAsia="黑体"/>
          <w:color w:val="000000"/>
          <w:szCs w:val="32"/>
        </w:rPr>
      </w:pP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color w:val="000000"/>
          <w:szCs w:val="32"/>
        </w:rPr>
        <w:t>为全面贯彻落实国务院和省、市政府关于“双随机、一公开”工作的部署和要求，高新区在构建以信用风险为基础的监管机制，优化监管资源配置，打造一流营商环境等方面狠下功夫，开发建设了综合智慧监管系统，</w:t>
      </w:r>
      <w:r>
        <w:rPr>
          <w:rFonts w:hint="eastAsia" w:ascii="仿宋_GB2312" w:hAnsi="仿宋_GB2312" w:eastAsia="仿宋_GB2312" w:cs="仿宋_GB2312"/>
          <w:szCs w:val="32"/>
        </w:rPr>
        <w:t>运用</w:t>
      </w:r>
      <w:r>
        <w:rPr>
          <w:rFonts w:hint="eastAsia" w:ascii="仿宋_GB2312" w:hAnsi="仿宋_GB2312" w:eastAsia="仿宋_GB2312" w:cs="仿宋_GB2312"/>
          <w:color w:val="000000"/>
          <w:szCs w:val="32"/>
        </w:rPr>
        <w:t>互联网、大数据等新技术，以</w:t>
      </w:r>
      <w:r>
        <w:rPr>
          <w:rFonts w:hint="eastAsia" w:ascii="仿宋_GB2312" w:hAnsi="仿宋_GB2312" w:eastAsia="仿宋_GB2312" w:cs="仿宋_GB2312"/>
          <w:szCs w:val="32"/>
        </w:rPr>
        <w:t>动态监测、分析研判、评估赋分等方式，开展实施了市场主体信用风险分级分类管理，</w:t>
      </w:r>
      <w:r>
        <w:rPr>
          <w:rFonts w:hint="eastAsia" w:ascii="仿宋_GB2312" w:hAnsi="仿宋_GB2312" w:eastAsia="仿宋_GB2312" w:cs="仿宋_GB2312"/>
          <w:color w:val="000000"/>
          <w:szCs w:val="32"/>
        </w:rPr>
        <w:t>将信用分级分类、预警监测结果</w:t>
      </w:r>
      <w:r>
        <w:rPr>
          <w:rFonts w:hint="eastAsia" w:ascii="仿宋_GB2312" w:hAnsi="仿宋_GB2312" w:eastAsia="仿宋_GB2312" w:cs="仿宋_GB2312"/>
          <w:szCs w:val="32"/>
        </w:rPr>
        <w:t>与日常监管、双随机抽查等工作相结合，实施差异化管理，监管效能得到了显著提升。</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ascii="黑体" w:hAnsi="黑体" w:eastAsia="黑体" w:cs="Calibri"/>
          <w:szCs w:val="32"/>
        </w:rPr>
      </w:pPr>
      <w:r>
        <w:rPr>
          <w:rFonts w:hint="eastAsia" w:ascii="黑体" w:hAnsi="黑体" w:eastAsia="黑体" w:cs="Calibri"/>
          <w:szCs w:val="32"/>
        </w:rPr>
        <w:t>一、基本情况</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按照上级部署，高新区积极探索新型监管模式，努力在信用分级分类和双随机监管工作方面做实做细。充分依托全省统一的双随机监管平台，进一步开拓创新，自主研发了综合智慧监管系统，在服务功能和智慧监管等方面进行了拓展和延伸，最大限度满足基层监管执法和服务市场主体的需要。在此基础上，平台系统还针对不同使用对象，开发了“移动执法终端”、“企业直通车”和“网格信息上报”等手机移动端系统，将监管服务的触角延伸到了基层、市场和社会管理事务中，通过手机终端实现了“零跑腿、零见面、零距离”云上监管服务，既为日常监管数据及时回</w:t>
      </w:r>
    </w:p>
    <w:p>
      <w:pPr>
        <w:pStyle w:val="2"/>
        <w:keepNext w:val="0"/>
        <w:keepLines w:val="0"/>
        <w:pageBreakBefore w:val="0"/>
        <w:kinsoku/>
        <w:wordWrap/>
        <w:topLinePunct w:val="0"/>
        <w:bidi w:val="0"/>
        <w:spacing w:line="600" w:lineRule="exact"/>
        <w:textAlignment w:val="auto"/>
        <w:rPr>
          <w:rFonts w:hint="default" w:eastAsia="仿宋_GB2312"/>
          <w:lang w:val="en-US" w:eastAsia="zh-CN"/>
        </w:rPr>
      </w:pPr>
      <w:r>
        <w:rPr>
          <w:rFonts w:hint="eastAsia" w:ascii="仿宋_GB2312" w:hAnsi="仿宋_GB2312" w:eastAsia="仿宋_GB2312" w:cs="仿宋_GB2312"/>
          <w:color w:val="000000"/>
          <w:szCs w:val="32"/>
          <w:lang w:val="en-US" w:eastAsia="zh-CN"/>
        </w:rPr>
        <w:t>流</w:t>
      </w:r>
      <w:r>
        <w:rPr>
          <w:rFonts w:hint="eastAsia" w:ascii="仿宋_GB2312" w:hAnsi="仿宋_GB2312" w:eastAsia="仿宋_GB2312" w:cs="仿宋_GB2312"/>
          <w:color w:val="000000"/>
          <w:szCs w:val="32"/>
        </w:rPr>
        <w:t>提供了便利，同时还有效拉近了执法人员、市场主体和社</w:t>
      </w:r>
      <w:r>
        <w:rPr>
          <w:rFonts w:hint="eastAsia" w:ascii="仿宋_GB2312" w:hAnsi="仿宋_GB2312" w:eastAsia="仿宋_GB2312" w:cs="仿宋_GB2312"/>
          <w:color w:val="000000"/>
          <w:szCs w:val="32"/>
          <w:lang w:val="en-US" w:eastAsia="zh-CN"/>
        </w:rPr>
        <w:t>会共</w:t>
      </w:r>
    </w:p>
    <w:p>
      <w:pPr>
        <w:keepNext w:val="0"/>
        <w:keepLines w:val="0"/>
        <w:pageBreakBefore w:val="0"/>
        <w:widowControl/>
        <w:kinsoku/>
        <w:wordWrap/>
        <w:overflowPunct w:val="0"/>
        <w:topLinePunct w:val="0"/>
        <w:autoSpaceDE w:val="0"/>
        <w:autoSpaceDN w:val="0"/>
        <w:bidi w:val="0"/>
        <w:adjustRightInd w:val="0"/>
        <w:snapToGrid w:val="0"/>
        <w:spacing w:line="600" w:lineRule="exact"/>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治的距离。</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我们充分发挥双随机联席会议制度的牵头作用，将高新区16个涉企监管的职能部门全部纳入分级分类监管和双随机监管体系。在组织牵头开展部门联合双随机工作的同时，进一步加强各部门日常工作的协同管理，强化市场主体信用分级分类的管理和运用，将信用分类结果与各部门日常工作紧密结合，凸显信用约束机制，有效提升市场主体自律意识，优化高新区营商环境。目前，高新区各部门通过综合智慧监管平台系统，共享数据信息，共同开展联合监管，实现了“综合监管一件事”，收到了良好的改革成效。 2018年高新区综合智慧监管平台被省自贸办评为可推广可复制案例；2021年高新区智慧化监管新模式改革措施被省发改委（省营商办）评为可推广可复制案例；2023年高新区信用分级分类管理被省市场监管局评为可推广可复制案例。</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ascii="黑体" w:hAnsi="黑体" w:eastAsia="黑体"/>
          <w:bCs/>
          <w:color w:val="000000"/>
          <w:szCs w:val="32"/>
        </w:rPr>
      </w:pPr>
      <w:r>
        <w:rPr>
          <w:rFonts w:hint="eastAsia" w:ascii="黑体" w:hAnsi="黑体" w:eastAsia="黑体"/>
          <w:bCs/>
          <w:color w:val="000000"/>
          <w:szCs w:val="32"/>
        </w:rPr>
        <w:t>二、</w:t>
      </w:r>
      <w:r>
        <w:rPr>
          <w:rFonts w:ascii="黑体" w:hAnsi="黑体" w:eastAsia="黑体"/>
          <w:bCs/>
          <w:color w:val="000000"/>
          <w:szCs w:val="32"/>
        </w:rPr>
        <w:t>主要做法</w:t>
      </w:r>
    </w:p>
    <w:p>
      <w:pPr>
        <w:pStyle w:val="7"/>
        <w:keepNext w:val="0"/>
        <w:keepLines w:val="0"/>
        <w:pageBreakBefore w:val="0"/>
        <w:widowControl/>
        <w:kinsoku/>
        <w:wordWrap/>
        <w:overflowPunct w:val="0"/>
        <w:topLinePunct w:val="0"/>
        <w:autoSpaceDE w:val="0"/>
        <w:autoSpaceDN w:val="0"/>
        <w:bidi w:val="0"/>
        <w:adjustRightInd w:val="0"/>
        <w:snapToGrid w:val="0"/>
        <w:spacing w:line="600" w:lineRule="exact"/>
        <w:ind w:firstLine="640"/>
        <w:textAlignment w:val="auto"/>
        <w:rPr>
          <w:rFonts w:hint="eastAsia" w:ascii="仿宋_GB2312" w:hAnsi="仿宋_GB2312" w:eastAsia="仿宋_GB2312" w:cs="仿宋_GB2312"/>
          <w:color w:val="000000"/>
          <w:kern w:val="2"/>
          <w:sz w:val="32"/>
          <w:szCs w:val="32"/>
          <w:lang w:val="en-US" w:eastAsia="zh-CN" w:bidi="ar-SA"/>
        </w:rPr>
      </w:pPr>
      <w:r>
        <w:rPr>
          <w:rFonts w:hint="eastAsia" w:ascii="楷体_GB2312" w:hAnsi="仿宋" w:eastAsia="楷体_GB2312" w:cs="仿宋"/>
          <w:sz w:val="32"/>
          <w:szCs w:val="32"/>
        </w:rPr>
        <w:t>一是完成数据全量归集，实现精准分类。</w:t>
      </w:r>
      <w:r>
        <w:rPr>
          <w:rFonts w:hint="eastAsia" w:ascii="仿宋_GB2312" w:hAnsi="仿宋_GB2312" w:eastAsia="仿宋_GB2312" w:cs="仿宋_GB2312"/>
          <w:color w:val="000000"/>
          <w:kern w:val="2"/>
          <w:sz w:val="32"/>
          <w:szCs w:val="32"/>
          <w:lang w:val="en-US" w:eastAsia="zh-CN" w:bidi="ar-SA"/>
        </w:rPr>
        <w:t>通过综合智慧监管系统，我们汇集省市场监管局信用分级分类结果，作为重要评判指标。同时还汇集了高新区16个职能部门的基础信息和监管数据2653万余条，采集互联网涉企有效舆情信息635万余条，全部归集于市场主体名下。通过构建280余种不同类型的数据模型，分别对辖区24.1万户市场主体开展实时动态评估和研判，将市场主体精准赋分，并按照分值划分为A、B、C、D四个信用风险等级。同时，根据高新区各职能部门的监管重点，自动调整评分项的占比权重，以满足不同部门监管的需求。通过科学精准划分，高新区存续的各类市场主体占比分别为A类1.6%、B类57%、C类41%、D类0.4%，全区16个职能部门以信用分类结果为重要参考，在日常工作中实施差异化监管。</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仿宋" w:eastAsia="楷体_GB2312" w:cs="仿宋"/>
          <w:szCs w:val="32"/>
        </w:rPr>
        <w:t>二是科学制定抽查计划，实现精准检查。</w:t>
      </w:r>
      <w:r>
        <w:rPr>
          <w:rFonts w:hint="eastAsia" w:ascii="仿宋_GB2312" w:hAnsi="仿宋_GB2312" w:eastAsia="仿宋_GB2312" w:cs="仿宋_GB2312"/>
          <w:color w:val="000000"/>
          <w:szCs w:val="32"/>
        </w:rPr>
        <w:t>将信用分级分类结果与“双随机、一公开”监管有机结合，在进一步完善双随机“一单两库”的基础上，依据信用风险评估结果，高新区各部门合理制定年度不同信用等级的双随机抽查计划。对信用等级较高的市场主体，降低抽查比例，以监管服务为主，抽查为辅，从而减少对市场主体正常经营的干扰；对信用等级较低的市场主体，提高抽查比例和频次，采取多部门联合、监管事项全覆盖检查，达到依法依规实行严管和惩戒的目的。2022年，高新区共开展本部门双随机检查251批次，部门联合双随机检查44批次，检查市场主体7054户。其中信用等级A类112户，B类4014户，C、D类达到了2928户，分别占总数的1.5%、57%和41.5%，检查发现存在问题的2599户，较往年增加了67%，提升了发现问题的精准性。</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仿宋" w:eastAsia="楷体_GB2312" w:cs="仿宋"/>
          <w:szCs w:val="32"/>
        </w:rPr>
        <w:t>三是开展风险动态监测，实现精准预警。</w:t>
      </w:r>
      <w:r>
        <w:rPr>
          <w:rFonts w:hint="eastAsia" w:ascii="仿宋_GB2312" w:hAnsi="仿宋_GB2312" w:eastAsia="仿宋_GB2312" w:cs="仿宋_GB2312"/>
          <w:color w:val="000000"/>
          <w:szCs w:val="32"/>
        </w:rPr>
        <w:t>将信用分级分类结果与风险监测预警相结合，依据信用分类结果，以及实时采集到的投诉举报信息、互联网舆情信息和各部门行政处罚信息，开展实时监测和风险评估预警，对存在隐患风险的市场主体，及时发布预警提示。2022年，累计发布高风险市场主体预警信息604条，各部门根据平台推送的风险预警提示，精准开展“预警式”抽查检查，实施相应的风险防控措施，做到早发现、早处置。借助信用分级分类开展风险监测预警，能够精准的发现风险隐患，较以往通过日常检查发现隐患的比例提升近3倍以上。</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仿宋" w:eastAsia="楷体_GB2312" w:cs="仿宋"/>
          <w:szCs w:val="32"/>
        </w:rPr>
        <w:t>四是强化差异检查整治，实现精准管理。</w:t>
      </w:r>
      <w:r>
        <w:rPr>
          <w:rFonts w:hint="eastAsia" w:ascii="仿宋_GB2312" w:hAnsi="仿宋_GB2312" w:eastAsia="仿宋_GB2312" w:cs="仿宋_GB2312"/>
          <w:color w:val="000000"/>
          <w:szCs w:val="32"/>
        </w:rPr>
        <w:t>将信用分级分类结果与日常管理和专项整治等工作紧密结合，根据信用分类结果，在日常管理和专项整治工作中，采取差异化的管理方式，对信用等级高的市场主体实行“云上”非现场监管方式，市场主体通过手机移动端上传相关资料，执法人员在线检查、录入监管结果，完成检查任务，实现非现场监管。对信用等级较低的主体，联合相关监管部门，实施现场全面检查，加大检查力度，做到应查尽查。去年以来，高新区通过采取非现场检查方式，市场主体累计上传检查资料1.1万余条，在线完成检查1400户，大幅提升了监管效率，得到了广大市场主体的认可。</w:t>
      </w:r>
    </w:p>
    <w:p>
      <w:pPr>
        <w:keepNext w:val="0"/>
        <w:keepLines w:val="0"/>
        <w:pageBreakBefore w:val="0"/>
        <w:numPr>
          <w:ilvl w:val="0"/>
          <w:numId w:val="0"/>
        </w:numPr>
        <w:kinsoku/>
        <w:wordWrap/>
        <w:topLinePunct w:val="0"/>
        <w:bidi w:val="0"/>
        <w:spacing w:line="600" w:lineRule="exact"/>
        <w:ind w:firstLine="640" w:firstLineChars="200"/>
        <w:jc w:val="both"/>
        <w:textAlignment w:val="auto"/>
        <w:rPr>
          <w:rFonts w:hint="eastAsia" w:ascii="黑体" w:hAnsi="黑体" w:eastAsia="黑体"/>
          <w:color w:val="000000"/>
          <w:szCs w:val="32"/>
        </w:rPr>
      </w:pPr>
      <w:r>
        <w:rPr>
          <w:rFonts w:hint="eastAsia" w:ascii="黑体" w:hAnsi="黑体" w:eastAsia="黑体"/>
          <w:color w:val="000000"/>
          <w:szCs w:val="32"/>
          <w:lang w:val="en-US" w:eastAsia="zh-CN"/>
        </w:rPr>
        <w:t>三、</w:t>
      </w:r>
      <w:r>
        <w:rPr>
          <w:rFonts w:hint="eastAsia" w:ascii="黑体" w:hAnsi="黑体" w:eastAsia="黑体"/>
          <w:color w:val="000000"/>
          <w:szCs w:val="32"/>
        </w:rPr>
        <w:t>无照经营查处主要工作成效</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 w:hAnsi="仿宋" w:eastAsia="仿宋"/>
          <w:szCs w:val="32"/>
        </w:rPr>
      </w:pPr>
      <w:r>
        <w:rPr>
          <w:rFonts w:hint="eastAsia" w:ascii="仿宋_GB2312" w:hAnsi="仿宋_GB2312" w:eastAsia="仿宋_GB2312" w:cs="仿宋_GB2312"/>
          <w:color w:val="000000"/>
          <w:szCs w:val="32"/>
        </w:rPr>
        <w:t>为持续优化营商环境，规范市场经营秩序，严厉打击无证无照经营违法行为，努力营造公平公正的市场竞争环境，促进各类市场主体健康发展，保护经营者和消费者的合法权益，推动无证无照经营查处工作深入持续开展，高新区运用“四招”工作法，扎实开展无证无照经营查处工作。</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hint="eastAsia" w:ascii="黑体" w:hAnsi="黑体" w:eastAsia="黑体" w:cs="Calibri"/>
          <w:szCs w:val="32"/>
        </w:rPr>
      </w:pPr>
      <w:r>
        <w:rPr>
          <w:rFonts w:hint="eastAsia" w:ascii="楷体_GB2312" w:hAnsi="仿宋" w:eastAsia="楷体_GB2312" w:cs="仿宋"/>
          <w:szCs w:val="32"/>
          <w:lang w:eastAsia="zh-CN"/>
        </w:rPr>
        <w:t>（</w:t>
      </w:r>
      <w:r>
        <w:rPr>
          <w:rFonts w:hint="eastAsia" w:ascii="楷体_GB2312" w:hAnsi="仿宋" w:eastAsia="楷体_GB2312" w:cs="仿宋"/>
          <w:szCs w:val="32"/>
        </w:rPr>
        <w:t>一</w:t>
      </w:r>
      <w:r>
        <w:rPr>
          <w:rFonts w:hint="eastAsia" w:ascii="楷体_GB2312" w:hAnsi="仿宋" w:eastAsia="楷体_GB2312" w:cs="仿宋"/>
          <w:szCs w:val="32"/>
          <w:lang w:eastAsia="zh-CN"/>
        </w:rPr>
        <w:t>）</w:t>
      </w:r>
      <w:r>
        <w:rPr>
          <w:rFonts w:hint="eastAsia" w:ascii="楷体_GB2312" w:hAnsi="仿宋" w:eastAsia="楷体_GB2312" w:cs="仿宋"/>
          <w:szCs w:val="32"/>
        </w:rPr>
        <w:t>基本情况</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坚持“引导与查处相结合、教育与处罚相结合”的原则，以</w:t>
      </w:r>
    </w:p>
    <w:p>
      <w:pPr>
        <w:pStyle w:val="2"/>
        <w:keepNext w:val="0"/>
        <w:keepLines w:val="0"/>
        <w:pageBreakBefore w:val="0"/>
        <w:kinsoku/>
        <w:wordWrap/>
        <w:topLinePunct w:val="0"/>
        <w:bidi w:val="0"/>
        <w:spacing w:line="600" w:lineRule="exact"/>
        <w:textAlignment w:val="auto"/>
        <w:sectPr>
          <w:footerReference r:id="rId4" w:type="first"/>
          <w:footerReference r:id="rId3" w:type="default"/>
          <w:pgSz w:w="11906" w:h="16838"/>
          <w:pgMar w:top="1701" w:right="1474" w:bottom="1474" w:left="1474" w:header="851" w:footer="992" w:gutter="0"/>
          <w:pgNumType w:fmt="numberInDash"/>
          <w:cols w:space="720" w:num="1"/>
          <w:docGrid w:type="lines" w:linePitch="312" w:charSpace="0"/>
        </w:sectPr>
      </w:pPr>
      <w:r>
        <w:rPr>
          <w:rFonts w:hint="eastAsia" w:ascii="仿宋_GB2312" w:hAnsi="仿宋_GB2312" w:eastAsia="仿宋_GB2312" w:cs="仿宋_GB2312"/>
          <w:color w:val="000000"/>
          <w:szCs w:val="32"/>
        </w:rPr>
        <w:t>涉及安全生产、公共安全、环境保护、身心健康等生产经营领域</w:t>
      </w:r>
    </w:p>
    <w:p>
      <w:pPr>
        <w:keepNext w:val="0"/>
        <w:keepLines w:val="0"/>
        <w:pageBreakBefore w:val="0"/>
        <w:widowControl/>
        <w:kinsoku/>
        <w:wordWrap/>
        <w:overflowPunct w:val="0"/>
        <w:topLinePunct w:val="0"/>
        <w:autoSpaceDE w:val="0"/>
        <w:autoSpaceDN w:val="0"/>
        <w:bidi w:val="0"/>
        <w:adjustRightInd w:val="0"/>
        <w:snapToGrid w:val="0"/>
        <w:spacing w:line="600" w:lineRule="exact"/>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为重点领域，以校园及其周边、景区景点及其周边、居民小区及其周边、各类专业市场、农贸市场、人员密集场所、城中村及城乡接合部等为重点区域，依法查处从事涉及人民群众身体健康和生命财产安全的无照经营活动，存在安全隐患、威胁公共利益和安全的无证无照经营行为，重点查处群众投诉举报较多、监督检查发现问题较多的无证无照经营行为。2022年以来，共出动执法人员213人次、执法车辆65台次，检查房地产租赁中介机构70余家、养老服务单位20余家、幼儿园开办方3家、自动售水机经营主体3家，核查养老服务案件线索1件，无证从事幼儿园经营活动线索3个，有效维护了行业领域市场秩序。</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hint="eastAsia" w:ascii="楷体_GB2312" w:hAnsi="仿宋" w:eastAsia="楷体_GB2312" w:cs="仿宋"/>
          <w:szCs w:val="32"/>
          <w:lang w:eastAsia="zh-CN"/>
        </w:rPr>
      </w:pPr>
      <w:r>
        <w:rPr>
          <w:rFonts w:hint="eastAsia" w:ascii="楷体_GB2312" w:hAnsi="仿宋" w:eastAsia="楷体_GB2312" w:cs="仿宋"/>
          <w:szCs w:val="32"/>
          <w:lang w:eastAsia="zh-CN"/>
        </w:rPr>
        <w:t>（二）主要做法</w:t>
      </w:r>
      <w:bookmarkStart w:id="0" w:name="_GoBack"/>
      <w:bookmarkEnd w:id="0"/>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仿宋" w:eastAsia="楷体_GB2312" w:cs="仿宋"/>
          <w:szCs w:val="32"/>
        </w:rPr>
        <w:t>高度重视，综合治理借力出招。</w:t>
      </w:r>
      <w:r>
        <w:rPr>
          <w:rFonts w:hint="eastAsia" w:ascii="仿宋_GB2312" w:hAnsi="仿宋_GB2312" w:eastAsia="仿宋_GB2312" w:cs="仿宋_GB2312"/>
          <w:b/>
          <w:bCs/>
          <w:color w:val="000000"/>
          <w:szCs w:val="32"/>
        </w:rPr>
        <w:t>一是</w:t>
      </w:r>
      <w:r>
        <w:rPr>
          <w:rFonts w:hint="eastAsia" w:ascii="仿宋_GB2312" w:hAnsi="仿宋_GB2312" w:eastAsia="仿宋_GB2312" w:cs="仿宋_GB2312"/>
          <w:color w:val="000000"/>
          <w:szCs w:val="32"/>
        </w:rPr>
        <w:t>统一领导，召开无证无照经营综合治理工作专题会，强调查处无证无照工作的重要性，要求各职能部门依法履职、协同作战、加强整治、力求实效。</w:t>
      </w:r>
      <w:r>
        <w:rPr>
          <w:rFonts w:hint="eastAsia" w:ascii="仿宋_GB2312" w:hAnsi="仿宋_GB2312" w:eastAsia="仿宋_GB2312" w:cs="仿宋_GB2312"/>
          <w:b/>
          <w:bCs/>
          <w:color w:val="000000"/>
          <w:szCs w:val="32"/>
        </w:rPr>
        <w:t>二是</w:t>
      </w:r>
      <w:r>
        <w:rPr>
          <w:rFonts w:hint="eastAsia" w:ascii="仿宋_GB2312" w:hAnsi="仿宋_GB2312" w:eastAsia="仿宋_GB2312" w:cs="仿宋_GB2312"/>
          <w:color w:val="000000"/>
          <w:szCs w:val="32"/>
        </w:rPr>
        <w:t>加强培训，邀请专家开展学习讲座，学习新修订的《无证无照经营查处办法》以及相关法律法规知识，传播丰富的工作经验。</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仿宋" w:eastAsia="楷体_GB2312" w:cs="仿宋"/>
          <w:szCs w:val="32"/>
        </w:rPr>
        <w:t>突出重点，专项整治重拳出招。</w:t>
      </w:r>
      <w:r>
        <w:rPr>
          <w:rFonts w:hint="eastAsia" w:ascii="仿宋_GB2312" w:hAnsi="仿宋_GB2312" w:eastAsia="仿宋_GB2312" w:cs="仿宋_GB2312"/>
          <w:b/>
          <w:bCs/>
          <w:color w:val="000000"/>
          <w:szCs w:val="32"/>
        </w:rPr>
        <w:t>一是</w:t>
      </w:r>
      <w:r>
        <w:rPr>
          <w:rFonts w:hint="eastAsia" w:ascii="仿宋_GB2312" w:hAnsi="仿宋_GB2312" w:eastAsia="仿宋_GB2312" w:cs="仿宋_GB2312"/>
          <w:color w:val="000000"/>
          <w:szCs w:val="32"/>
        </w:rPr>
        <w:t>结合市场热点难点问题开展整治，重点加强民生领域的无证无照经营排查及监管,组织开展自建房专项整治、食品经营、酒吧、茶馆、小餐饮等领域的无证无照经营专项整治行动，引导市场主体办理营业执照和许可证。</w:t>
      </w:r>
      <w:r>
        <w:rPr>
          <w:rFonts w:hint="eastAsia" w:ascii="仿宋_GB2312" w:hAnsi="仿宋_GB2312" w:eastAsia="仿宋_GB2312" w:cs="仿宋_GB2312"/>
          <w:b/>
          <w:bCs/>
          <w:color w:val="000000"/>
          <w:szCs w:val="32"/>
        </w:rPr>
        <w:t>二是</w:t>
      </w:r>
      <w:r>
        <w:rPr>
          <w:rFonts w:hint="eastAsia" w:ascii="仿宋_GB2312" w:hAnsi="仿宋_GB2312" w:eastAsia="仿宋_GB2312" w:cs="仿宋_GB2312"/>
          <w:color w:val="000000"/>
          <w:szCs w:val="32"/>
        </w:rPr>
        <w:t>结合重大事故隐患专项排查整治整治，牵头开展专项行动，依托镇街，在辖区各领域安全隐患大排查大整治工作基础上，对全市房屋一栋不漏的进行摸排，共摸排小作坊小加工厂无照5749户，无证生产经营主体977户，并依法进行处置，其中引导办照4527户，引导办证449户；责令停止经营960户，豁免办理证照328户，立案查处126户。</w:t>
      </w:r>
      <w:r>
        <w:rPr>
          <w:rFonts w:hint="eastAsia" w:ascii="仿宋_GB2312" w:hAnsi="仿宋_GB2312" w:eastAsia="仿宋_GB2312" w:cs="仿宋_GB2312"/>
          <w:b/>
          <w:bCs/>
          <w:color w:val="000000"/>
          <w:szCs w:val="32"/>
        </w:rPr>
        <w:t>三是</w:t>
      </w:r>
      <w:r>
        <w:rPr>
          <w:rFonts w:hint="eastAsia" w:ascii="仿宋_GB2312" w:hAnsi="仿宋_GB2312" w:eastAsia="仿宋_GB2312" w:cs="仿宋_GB2312"/>
          <w:color w:val="000000"/>
          <w:szCs w:val="32"/>
        </w:rPr>
        <w:t>结合创城创卫加强整治，积极参与创建文明城市、创建卫生城市工作，对校园周边、农贸市场、沿街店面、背街小巷等重点区域组织开展检查。</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仿宋" w:eastAsia="楷体_GB2312" w:cs="仿宋"/>
          <w:szCs w:val="32"/>
        </w:rPr>
        <w:t>疏堵结合，分类施策推行实招。</w:t>
      </w:r>
      <w:r>
        <w:rPr>
          <w:rFonts w:hint="eastAsia" w:ascii="仿宋_GB2312" w:hAnsi="仿宋_GB2312" w:eastAsia="仿宋_GB2312" w:cs="仿宋_GB2312"/>
          <w:b/>
          <w:bCs/>
          <w:color w:val="000000"/>
          <w:szCs w:val="32"/>
        </w:rPr>
        <w:t>一是</w:t>
      </w:r>
      <w:r>
        <w:rPr>
          <w:rFonts w:hint="eastAsia" w:ascii="仿宋_GB2312" w:hAnsi="仿宋_GB2312" w:eastAsia="仿宋_GB2312" w:cs="仿宋_GB2312"/>
          <w:color w:val="000000"/>
          <w:szCs w:val="32"/>
        </w:rPr>
        <w:t>对存在安全生产隐患、食品安全隐患、影响生态环境等无证无照经营行为，依法采取责令停止经营、查封扣押、行政处罚、停水停电等措施，坚决予以查处。</w:t>
      </w:r>
      <w:r>
        <w:rPr>
          <w:rFonts w:hint="eastAsia" w:ascii="仿宋_GB2312" w:hAnsi="仿宋_GB2312" w:eastAsia="仿宋_GB2312" w:cs="仿宋_GB2312"/>
          <w:b/>
          <w:bCs/>
          <w:color w:val="000000"/>
          <w:szCs w:val="32"/>
        </w:rPr>
        <w:t>二是</w:t>
      </w:r>
      <w:r>
        <w:rPr>
          <w:rFonts w:hint="eastAsia" w:ascii="仿宋_GB2312" w:hAnsi="仿宋_GB2312" w:eastAsia="仿宋_GB2312" w:cs="仿宋_GB2312"/>
          <w:color w:val="000000"/>
          <w:szCs w:val="32"/>
        </w:rPr>
        <w:t>对符合办理证照条件的无证无照经营者，依托“网上办、掌上办、寄递办、预约办”等方式提供办理证照便利条件，采取上门服务、专人服务、公示条件流程等方式加强行政指导，促使无证照经营者走上诚信合法经营的轨道。</w:t>
      </w:r>
      <w:r>
        <w:rPr>
          <w:rFonts w:hint="eastAsia" w:ascii="仿宋_GB2312" w:hAnsi="仿宋_GB2312" w:eastAsia="仿宋_GB2312" w:cs="仿宋_GB2312"/>
          <w:b/>
          <w:bCs/>
          <w:color w:val="000000"/>
          <w:szCs w:val="32"/>
        </w:rPr>
        <w:t>三是</w:t>
      </w:r>
      <w:r>
        <w:rPr>
          <w:rFonts w:hint="eastAsia" w:ascii="仿宋_GB2312" w:hAnsi="仿宋_GB2312" w:eastAsia="仿宋_GB2312" w:cs="仿宋_GB2312"/>
          <w:color w:val="000000"/>
          <w:szCs w:val="32"/>
        </w:rPr>
        <w:t>对新兴行业、法律法规尚无明确规范行业、可豁免登记的无证无照经营，加强监控，慎重处理。对在县级以上地方政府指定的场所和时间，销售农副产品、日常生活用品，或个人利用自己的技能从事依法无须取得许可的便民劳务活动，依法实施豁免登记，帮扶弱势群体谋生创业，营造宽松的创业新环境。</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仿宋" w:eastAsia="楷体_GB2312" w:cs="仿宋"/>
          <w:szCs w:val="32"/>
        </w:rPr>
        <w:t>协同共治，长效管理探索新招。</w:t>
      </w:r>
      <w:r>
        <w:rPr>
          <w:rFonts w:hint="eastAsia" w:ascii="仿宋_GB2312" w:hAnsi="仿宋_GB2312" w:eastAsia="仿宋_GB2312" w:cs="仿宋_GB2312"/>
          <w:b/>
          <w:bCs/>
          <w:color w:val="000000"/>
          <w:szCs w:val="32"/>
        </w:rPr>
        <w:t>一是</w:t>
      </w:r>
      <w:r>
        <w:rPr>
          <w:rFonts w:hint="eastAsia" w:ascii="仿宋_GB2312" w:hAnsi="仿宋_GB2312" w:eastAsia="仿宋_GB2312" w:cs="仿宋_GB2312"/>
          <w:color w:val="000000"/>
          <w:szCs w:val="32"/>
        </w:rPr>
        <w:t>持续探索属地责任+网格化管理模式。强化属地监管责任，将无证无照监管纳入安全隐患大排查大整治，嵌入乡镇“网格化”管理，由乡镇、村（居）采取用电数据核查、网格员入户核查等方式方法，全力推进排查到位。</w:t>
      </w:r>
      <w:r>
        <w:rPr>
          <w:rFonts w:hint="eastAsia" w:ascii="仿宋_GB2312" w:hAnsi="仿宋_GB2312" w:eastAsia="仿宋_GB2312" w:cs="仿宋_GB2312"/>
          <w:b/>
          <w:bCs/>
          <w:color w:val="000000"/>
          <w:szCs w:val="32"/>
        </w:rPr>
        <w:t>二是</w:t>
      </w:r>
      <w:r>
        <w:rPr>
          <w:rFonts w:hint="eastAsia" w:ascii="仿宋_GB2312" w:hAnsi="仿宋_GB2312" w:eastAsia="仿宋_GB2312" w:cs="仿宋_GB2312"/>
          <w:color w:val="000000"/>
          <w:szCs w:val="32"/>
        </w:rPr>
        <w:t>持续探索部门+多部门联动管理模式。利用“双随机、一公开”平台、协同监管平台及书面等多种载体，落实无证无照经营信息抄告和反馈制度。对涉及安全生产或重点领域的无证无照，由行业主管部门根据实际牵头组织开展联合执法，形成强大合力。对经责令不停止经营或存在重大安全隐患的，落实源头管控措施。</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宝鸡市岐山县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2022年度</w:t>
      </w:r>
      <w:r>
        <w:rPr>
          <w:rFonts w:hint="eastAsia" w:ascii="方正小标宋简体" w:hAnsi="方正小标宋简体" w:eastAsia="方正小标宋简体" w:cs="方正小标宋简体"/>
          <w:sz w:val="44"/>
          <w:szCs w:val="44"/>
          <w:lang w:val="en-US" w:eastAsia="zh-CN"/>
        </w:rPr>
        <w:t>商事制度改革主要工作成效</w:t>
      </w:r>
    </w:p>
    <w:p>
      <w:pPr>
        <w:pStyle w:val="2"/>
        <w:rPr>
          <w:rFonts w:hint="eastAsia"/>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一、基本情况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岐山县共有各类市场主体25394户，根据省市商事制度改革工作安排，2019年起在全县实行深化“放管服”改革，构建“双随机、一公开”跨部门联合监管新模式，成立“先照后证”改革后加强事中事后监管工作领导小组、查处取缔无证无照经营工作联席会议领导小组等，由县政府主要负责人担任领导小组组长，召集相关部门，每年召开领导小组会议对相关工作进行审议、会商。狠抓政府商事制度改革工作目标责任制落实，将“双随机一公开”事中事后监管纳入全县目标责任制综合考核项目。制定《岐山县部门联合“双随机、一公开”监管实施办法》等多项制度，指导全县商事制度改革工作有序推进。县市场监督管理局牵头“双随机一公开”工作，组织全县19个部门，对41类、64项联合随机抽查检查事项进行抽查。连续3年荣获全市事中事后监管工作考核优秀县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lang w:eastAsia="zh-CN"/>
        </w:rPr>
        <w:t>工作成效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2022年，我县商事制度改革、“双随机、一公开”监管、无照经营查处工作成效明显。</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双随机、一公开”监管连年获优。我县各部门“双随机、一公开”监管工作机构完善、人员充足、计划详实，工作开展有力。2021年接受省政府调研并获调研组肯定。我县企业信用风险分类监管和“双随机、一公开”监管工作相结合的工作经验，在全市推广。</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查处无照无证经营不断加强。检查各类市场主体4140余户次，取缔85户，规范办照168户，限期整改24户，立案查处无证无照经营案件16起，罚没3万余元。</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制度建设不断提升。以问题为导向，坚持重点突破和整体推进相融合，探索轻微违法行为首次免罚等方法，建立守信激励、标签化管理等工作机制，通过信用修复途径，移出列异企业46户，个体户118户。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主要做法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val="0"/>
          <w:bCs w:val="0"/>
          <w:sz w:val="32"/>
          <w:szCs w:val="32"/>
          <w:lang w:eastAsia="zh-CN"/>
        </w:rPr>
        <w:t>（一）下好“双随机、一公开”监管“一盘棋”。</w:t>
      </w:r>
      <w:r>
        <w:rPr>
          <w:rFonts w:hint="eastAsia" w:ascii="仿宋_GB2312" w:hAnsi="仿宋_GB2312" w:eastAsia="仿宋_GB2312" w:cs="仿宋_GB2312"/>
          <w:sz w:val="32"/>
          <w:szCs w:val="32"/>
          <w:lang w:eastAsia="zh-CN"/>
        </w:rPr>
        <w:t>及时更新监管事项清单，科学制定工作计划，随机抽取检查对象，匹配执法人员，严格遵守执法程序，实现了我县市场监管领域事中事后监管全覆盖，达到“进一次门、查多项事”的目标，提升了行政执法效能。</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健全组织，完善制度。各成员单位成立了相关领域的事中事后监管工作领导小组，明确了各方责任，双随机监管实现全覆盖。县政府根据工作实绩及考核结果，每年对工作突出的先进单位、优秀个人予以表彰奖励。制定《岐山县推进事中事后监管目标责任考核办法》《岐山县企业“双告知”认领工作办法》《岐山县企业事中事后智慧监管云系统信息交换和共享办法》《岐山县市场主体“双随机、一公开”抽查检查工作实施办法》等制度，每年印发《关于做好年度部门联合“双随机、一公开”监管工作的通知》，指导各部门依据《宝鸡市市场监管领域部门联合“双随机、一公开”抽查检查工作指引（试行）》规范开展检查，推动全县双随机监管工作落实。</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创新监管方式。建立完善“一单两库”，录入监管对象25394户，匹配监管人员256人，监管事项</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lang w:eastAsia="zh-CN"/>
        </w:rPr>
        <w:t>条。开展双随机专项培训5场次，部门双随机进展县级督查3次。2022年度，共制定抽查计划26个，开展实地检查活动58批次，抽查检查市场主体119户，完成率100%，检查结果公示率100%。</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抓好企业年报公示。2022年全县市场主体年度报告企业应报25394户，经过多层次全方位的宣传，发布年报短信提示1.3万余条，张贴公告800份，张贴年报宣传海报184余张，我县年报率96.21%，排名全市第三。网上申报结束后，对未按期公示年报的1102户企业列入经营异常名录，并通过国家企业信用信息公示系统（陕西）向社会公示。</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推进社会信用体系建设。强化信用建设状况监测，积极实践“双随机、一公开”监管与企业信用风险分级分类结合，探索“黑名单”信用修复机制。评估清理市场准入、产业发展、招商引资、招标投标等存量文件30类，修改排除、限制竞争类条款4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val="0"/>
          <w:bCs w:val="0"/>
          <w:sz w:val="32"/>
          <w:szCs w:val="32"/>
          <w:lang w:eastAsia="zh-CN"/>
        </w:rPr>
        <w:t>（二）念好查处无证无照经营“紧箍咒”。</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强化宣传，引导市场主体规范经营。加大宣传力度，充分各类融媒体平台、服务窗口、大型宣传活动等途径，宣传《无证无照经营查处办法》《中华人民共和国市场主体登记管理条例》等相关法律法规，提高经营者自律意识。2022年共组织法律宣传活动5次，发放宣传资料13200余份，发布公益短信33万余条，曝光典型案例5条。</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重拳出击，严厉查处无证无照经营行为。制定《关于进一步加强无证无照查处工作的通知》，确定食品、药品，无证照经营加油站、液化气站、无证照从事煤炭存储、运输、销售，无证照开办网吧、经营烟草制品，以及危害人身健康的其他无证无照生产经营行为等领域重点整顿，在全县地毯式清查无证无照经营行动。依托民生领域案件查办“铁拳”行动，开展17项专项整治，共办理各类案件74起，罚没款70.8万元，其中无证无照经营类案件16起，执法办案数量和质量位居全市前列。</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持续发力，创优营商环境。全面落实公平竞争审查制度，加大反行政垄断执法力度，营造公平竞争环境。强化商标品牌培育，2022年新授权专利135个，新注册商标428件。减轻各类市场主体负担，持续开展涉企收费治理，检查各类收费单位101户，责令整改不规范收费5次。新增“放心消费示范单位”34户，全年处理各类投诉1564件，挽回经济损失78.146万余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打好铁拳执法与包容审慎监管组合拳。</w:t>
      </w:r>
      <w:r>
        <w:rPr>
          <w:rFonts w:hint="eastAsia" w:ascii="仿宋_GB2312" w:hAnsi="仿宋_GB2312" w:eastAsia="仿宋_GB2312" w:cs="仿宋_GB2312"/>
          <w:sz w:val="32"/>
          <w:szCs w:val="32"/>
          <w:lang w:eastAsia="zh-CN"/>
        </w:rPr>
        <w:t>在“管”与“罚”的同时，我县以服务县域经济发展为出发点，强化部门支撑，深入探索包容审慎的柔性监管方法，帮助企业“去除病灶”上，全力促进全县市场主体“健康成长”。</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推行服务型执法。统筹事前、事中、事后三个环节，打造全链条服务机制，针对企业经营中出现的问题，以日常监督检查提醒教育为主，深化包容审慎监管，促进企业规范、健康发展。我县某保健品生产企业计划增设特殊膳食生产线，在特膳食品生产许可程序、生产线设置方面存在困难，县市场监督管理局积极协助企业联系省市局，邀请专家、第三方机构对企业进行指导，帮助企业完善基础设施、申请资质，助力企业发展。</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探索“轻微免罚”。落实全省轻微违法不予行政处罚、减轻行政处罚要求，严格按照《行政处罚法》关于自由裁量权等规定，将违反登记管理规定、使用违反广告法用语、经营超过保质期食品未造成危害后果的、经营超过保质期药品、化妆品未造成危害后果的、生产经营标签标识不符合规定不会对消费者造成严重误导且不影响食品安全等5种违法行为列入“轻微违法首次免罚”清单，2022年首违免罚2起。</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重违严惩”彰显监管公平。聚焦群众反映强烈、社会舆论关注的突出问题、多次违法造成恶劣社会影响的违法行为坚持“重违严惩”，重拳出击，严惩重处，有效震慑了违法犯罪行为。2022年对某连续2次抽检不合格食品生产企业，责令停产，邀请省市2次现场核查整改达标后准予复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下一步打算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val="0"/>
          <w:bCs w:val="0"/>
          <w:sz w:val="32"/>
          <w:szCs w:val="32"/>
          <w:lang w:eastAsia="zh-CN"/>
        </w:rPr>
        <w:t>一是持续推进监管工作。</w:t>
      </w:r>
      <w:r>
        <w:rPr>
          <w:rFonts w:hint="eastAsia" w:ascii="仿宋_GB2312" w:hAnsi="仿宋_GB2312" w:eastAsia="仿宋_GB2312" w:cs="仿宋_GB2312"/>
          <w:sz w:val="32"/>
          <w:szCs w:val="32"/>
          <w:lang w:eastAsia="zh-CN"/>
        </w:rPr>
        <w:t>采用企业信用风险分类监管方式，加大联合抽查检查工作力度，提高监管的靶向性和精准性，提升监管的效能和水平，确保我县事中事后监管工作高位运行，持续发力，圆满完成全年省市分配的各项目标任务。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val="0"/>
          <w:bCs w:val="0"/>
          <w:sz w:val="32"/>
          <w:szCs w:val="32"/>
          <w:lang w:eastAsia="zh-CN"/>
        </w:rPr>
        <w:t>二是持续做好业务培训。</w:t>
      </w:r>
      <w:r>
        <w:rPr>
          <w:rFonts w:hint="eastAsia" w:ascii="仿宋_GB2312" w:hAnsi="仿宋_GB2312" w:eastAsia="仿宋_GB2312" w:cs="仿宋_GB2312"/>
          <w:sz w:val="32"/>
          <w:szCs w:val="32"/>
          <w:lang w:eastAsia="zh-CN"/>
        </w:rPr>
        <w:t>定期开展业务培训工作，确保业务工作人员更加熟练、规范的掌握技能。不定期对各部门进行业务指导，提高业务人员的思想认识，避免在具体操作中出现的纰漏，进一步提高全县事中事后监管工作执法水平。</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val="0"/>
          <w:bCs w:val="0"/>
          <w:sz w:val="32"/>
          <w:szCs w:val="32"/>
          <w:lang w:eastAsia="zh-CN"/>
        </w:rPr>
        <w:t>三是持续强化联合惩戒。</w:t>
      </w:r>
      <w:r>
        <w:rPr>
          <w:rFonts w:hint="eastAsia" w:ascii="仿宋_GB2312" w:hAnsi="仿宋_GB2312" w:eastAsia="仿宋_GB2312" w:cs="仿宋_GB2312"/>
          <w:sz w:val="32"/>
          <w:szCs w:val="32"/>
          <w:lang w:eastAsia="zh-CN"/>
        </w:rPr>
        <w:t>按照“诚信守法享便利，失信违法受惩戒”原则，充分发挥舆论和社会公众的监督作用，约束企业失信行为。通过部门联合执法，实现市场监管领域信用协同监管，对信用好、风险较低的市场主体，合理降低抽查比例和频次，减少对正常生产经营的影响；对违法失信、风险较高的市场主体，提高抽查比例和频次，依法依规实行严格监管，共同推进全县社会信用建设健康发展。</w:t>
      </w:r>
    </w:p>
    <w:p>
      <w:pPr>
        <w:pStyle w:val="8"/>
        <w:keepNext w:val="0"/>
        <w:keepLines w:val="0"/>
        <w:pageBreakBefore w:val="0"/>
        <w:widowControl w:val="0"/>
        <w:kinsoku/>
        <w:wordWrap/>
        <w:overflowPunct/>
        <w:topLinePunct/>
        <w:autoSpaceDE w:val="0"/>
        <w:autoSpaceDN w:val="0"/>
        <w:bidi w:val="0"/>
        <w:adjustRightInd/>
        <w:snapToGrid/>
        <w:spacing w:before="0" w:line="500" w:lineRule="exact"/>
        <w:jc w:val="both"/>
        <w:textAlignment w:val="auto"/>
        <w:rPr>
          <w:rFonts w:hint="eastAsia" w:ascii="方正仿宋_GBK" w:hAnsi="方正仿宋_GBK" w:eastAsia="方正仿宋_GBK" w:cs="方正仿宋_GBK"/>
          <w:sz w:val="32"/>
          <w:szCs w:val="32"/>
        </w:rPr>
      </w:pPr>
    </w:p>
    <w:p>
      <w:pPr>
        <w:pStyle w:val="8"/>
        <w:keepNext w:val="0"/>
        <w:keepLines w:val="0"/>
        <w:pageBreakBefore w:val="0"/>
        <w:widowControl w:val="0"/>
        <w:kinsoku/>
        <w:wordWrap/>
        <w:overflowPunct/>
        <w:topLinePunct/>
        <w:autoSpaceDE w:val="0"/>
        <w:autoSpaceDN w:val="0"/>
        <w:bidi w:val="0"/>
        <w:adjustRightInd/>
        <w:snapToGrid/>
        <w:spacing w:before="0" w:line="50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bidi w:val="0"/>
        <w:adjustRightInd/>
        <w:snapToGrid/>
        <w:spacing w:line="500" w:lineRule="exact"/>
        <w:textAlignment w:val="auto"/>
        <w:rPr>
          <w:rFonts w:hint="eastAsia" w:ascii="方正仿宋_GBK" w:hAnsi="方正仿宋_GBK" w:eastAsia="方正仿宋_GBK" w:cs="方正仿宋_GBK"/>
          <w:sz w:val="32"/>
          <w:szCs w:val="32"/>
        </w:rPr>
      </w:pPr>
    </w:p>
    <w:p>
      <w:pPr>
        <w:pStyle w:val="2"/>
      </w:pPr>
    </w:p>
    <w:p/>
    <w:p>
      <w:pPr>
        <w:pStyle w:val="2"/>
      </w:pPr>
    </w:p>
    <w:p/>
    <w:p>
      <w:pPr>
        <w:pStyle w:val="2"/>
      </w:pPr>
    </w:p>
    <w:p/>
    <w:p>
      <w:pPr>
        <w:pStyle w:val="2"/>
      </w:pPr>
    </w:p>
    <w:p/>
    <w:p>
      <w:pPr>
        <w:pStyle w:val="2"/>
      </w:pPr>
    </w:p>
    <w:p/>
    <w:p>
      <w:pPr>
        <w:pStyle w:val="2"/>
      </w:pPr>
    </w:p>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榆林市靖边县</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2022年度</w:t>
      </w:r>
      <w:r>
        <w:rPr>
          <w:rFonts w:hint="eastAsia" w:ascii="方正小标宋简体" w:hAnsi="方正小标宋简体" w:eastAsia="方正小标宋简体" w:cs="方正小标宋简体"/>
          <w:sz w:val="44"/>
          <w:szCs w:val="44"/>
          <w:lang w:val="en-US" w:eastAsia="zh-CN"/>
        </w:rPr>
        <w:t>商事制度改革主要工作成效</w:t>
      </w:r>
    </w:p>
    <w:p>
      <w:pPr>
        <w:pStyle w:val="2"/>
        <w:rPr>
          <w:rFonts w:hint="eastAsia"/>
          <w:lang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近年来，</w:t>
      </w:r>
      <w:r>
        <w:rPr>
          <w:rFonts w:hint="eastAsia" w:ascii="仿宋_GB2312" w:hAnsi="仿宋_GB2312" w:eastAsia="仿宋_GB2312" w:cs="仿宋_GB2312"/>
          <w:sz w:val="32"/>
          <w:szCs w:val="32"/>
          <w:lang w:eastAsia="zh-CN"/>
        </w:rPr>
        <w:t>靖边县认真贯彻落实党中央、国务院决策部署和省委、省政府、市委、市政府有关“放管服”改革和商事制度改革工作要求，持续健全以“双随机、一公开”监管为基本手段、以重点监管为补充、以信用监管为基础的新型监管机制，</w:t>
      </w:r>
      <w:r>
        <w:rPr>
          <w:rFonts w:hint="eastAsia" w:ascii="仿宋_GB2312" w:hAnsi="仿宋_GB2312" w:eastAsia="仿宋_GB2312" w:cs="仿宋_GB2312"/>
          <w:sz w:val="32"/>
          <w:szCs w:val="32"/>
        </w:rPr>
        <w:t>加强事中事后监管，</w:t>
      </w:r>
      <w:r>
        <w:rPr>
          <w:rFonts w:hint="eastAsia" w:ascii="仿宋_GB2312" w:hAnsi="仿宋_GB2312" w:eastAsia="仿宋_GB2312" w:cs="仿宋_GB2312"/>
          <w:sz w:val="32"/>
          <w:szCs w:val="32"/>
          <w:lang w:eastAsia="zh-CN"/>
        </w:rPr>
        <w:t>深入推动信用风险分类监管与双随机监管有机融合，有效提升监管的科学性和公正性，全面提高市场综合监管效能，实现市场监管人性化、精准化、智慧化，让市场监管既有“力度”又有“温度”。</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630" w:leftChars="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一、健全工作机制，下好监管部门联动“先手棋”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一是建章立制促长效</w:t>
      </w:r>
      <w:r>
        <w:rPr>
          <w:rFonts w:hint="eastAsia" w:ascii="仿宋_GB2312" w:hAnsi="仿宋_GB2312" w:eastAsia="仿宋_GB2312" w:cs="仿宋_GB2312"/>
          <w:sz w:val="32"/>
          <w:szCs w:val="32"/>
          <w:lang w:val="en-US" w:eastAsia="zh-CN"/>
        </w:rPr>
        <w:t>。2020年度，靖边县制定了涉及</w:t>
      </w:r>
      <w:r>
        <w:rPr>
          <w:rFonts w:hint="eastAsia" w:ascii="仿宋_GB2312" w:hAnsi="仿宋_GB2312" w:eastAsia="仿宋_GB2312" w:cs="仿宋_GB2312"/>
          <w:sz w:val="32"/>
          <w:szCs w:val="32"/>
        </w:rPr>
        <w:t>市场监管领域</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个部门为成员的市场监管部门</w:t>
      </w:r>
      <w:r>
        <w:rPr>
          <w:rFonts w:hint="eastAsia" w:ascii="仿宋_GB2312" w:hAnsi="仿宋_GB2312" w:eastAsia="仿宋_GB2312" w:cs="仿宋_GB2312"/>
          <w:sz w:val="32"/>
          <w:szCs w:val="32"/>
          <w:lang w:val="en-US" w:eastAsia="zh-CN"/>
        </w:rPr>
        <w:t>联合“双随机、一公开”</w:t>
      </w:r>
      <w:r>
        <w:rPr>
          <w:rFonts w:hint="eastAsia" w:ascii="仿宋_GB2312" w:hAnsi="仿宋_GB2312" w:eastAsia="仿宋_GB2312" w:cs="仿宋_GB2312"/>
          <w:sz w:val="32"/>
          <w:szCs w:val="32"/>
        </w:rPr>
        <w:t>联席会议制度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印发了《靖边县市场监管领域部门联合“双随机、一公开”联席会议工作方案》，</w:t>
      </w:r>
      <w:r>
        <w:rPr>
          <w:rFonts w:hint="eastAsia" w:ascii="仿宋_GB2312" w:hAnsi="仿宋_GB2312" w:eastAsia="仿宋_GB2312" w:cs="仿宋_GB2312"/>
          <w:sz w:val="32"/>
          <w:szCs w:val="32"/>
        </w:rPr>
        <w:t>通过联席会议集体议事模式</w:t>
      </w:r>
      <w:r>
        <w:rPr>
          <w:rFonts w:hint="eastAsia" w:ascii="仿宋_GB2312" w:hAnsi="仿宋_GB2312" w:eastAsia="仿宋_GB2312" w:cs="仿宋_GB2312"/>
          <w:sz w:val="32"/>
          <w:szCs w:val="32"/>
          <w:lang w:val="en-US" w:eastAsia="zh-CN"/>
        </w:rPr>
        <w:t>协调解决市场监管领域部门联合“双随机、一公开”抽查监管中存在的执法协调联动补偿等问题，进一步密切部门配合，形成监管合力。</w:t>
      </w:r>
      <w:r>
        <w:rPr>
          <w:rFonts w:hint="eastAsia" w:ascii="楷体" w:hAnsi="楷体" w:eastAsia="楷体" w:cs="楷体"/>
          <w:b w:val="0"/>
          <w:bCs w:val="0"/>
          <w:sz w:val="32"/>
          <w:szCs w:val="32"/>
          <w:lang w:val="en-US" w:eastAsia="zh-CN"/>
        </w:rPr>
        <w:t>二是精准发力促落实。</w:t>
      </w:r>
      <w:r>
        <w:rPr>
          <w:rFonts w:hint="eastAsia" w:ascii="仿宋_GB2312" w:hAnsi="仿宋_GB2312" w:eastAsia="仿宋_GB2312" w:cs="仿宋_GB2312"/>
          <w:sz w:val="32"/>
          <w:szCs w:val="32"/>
          <w:lang w:val="en-US" w:eastAsia="zh-CN"/>
        </w:rPr>
        <w:t>今年3月份召开了联席会议，将全县涉及市场监管的所有部门全部纳入联席会议，成员单位由原来的14家调整为现在的19家，推动“双随机、一公开”监管全覆盖、常态化。同时出台了《靖边县市场监管领域部门联合“双随机、一公开”监管工作实施方案》，全面促进“双随机、一公开”抽查法治化、规范化、程序化，法律法规及规章明确规定的检查事项，全面推行随机抽查；法律法规规章没有规定的检查事项，一律不得擅自开展检查。</w:t>
      </w:r>
      <w:r>
        <w:rPr>
          <w:rFonts w:hint="eastAsia" w:ascii="楷体" w:hAnsi="楷体" w:eastAsia="楷体" w:cs="楷体"/>
          <w:b w:val="0"/>
          <w:bCs w:val="0"/>
          <w:sz w:val="32"/>
          <w:szCs w:val="32"/>
          <w:lang w:val="en-US" w:eastAsia="zh-CN"/>
        </w:rPr>
        <w:t>三是夯实基础促提升。</w:t>
      </w:r>
      <w:r>
        <w:rPr>
          <w:rFonts w:hint="eastAsia" w:ascii="仿宋_GB2312" w:hAnsi="仿宋_GB2312" w:eastAsia="仿宋_GB2312" w:cs="仿宋_GB2312"/>
          <w:sz w:val="32"/>
          <w:szCs w:val="32"/>
          <w:lang w:val="en-US" w:eastAsia="zh-CN"/>
        </w:rPr>
        <w:t>为切实降低检查市场主体频次，县双联办按照监管领域相近、监管对象相同、进一次门查多项事的原则，组织各成员单位制定联合抽查计划和各部门抽查计划，对“一单两库”（双随机抽查事项清单、检查对象库、执法检查人员库）实行动态管理，及时修改完善，确保检查对象和执法人员“应纳尽纳”，夯实“双随机、一公开”监管工作基础。三年以来制定涵盖全县119个领域、145个抽查检查事项，抽查检查市场主体969户。抽查结果均按规定完成公示。</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二、强化信用监管，练好执法资源配置“基本功”</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一是大力推行信用等级运用。</w:t>
      </w:r>
      <w:r>
        <w:rPr>
          <w:rFonts w:hint="eastAsia" w:ascii="仿宋_GB2312" w:hAnsi="仿宋_GB2312" w:eastAsia="仿宋_GB2312" w:cs="仿宋_GB2312"/>
          <w:sz w:val="32"/>
          <w:szCs w:val="32"/>
          <w:lang w:val="en-US" w:eastAsia="zh-CN"/>
        </w:rPr>
        <w:t>利用陕西省企业信用风险分类管理系统对全县涉市场监管领域的检查对象库进行信用风险分类。同时，将市场主体信用风险分类管理模式拓</w:t>
      </w:r>
      <w:r>
        <w:rPr>
          <w:rFonts w:hint="eastAsia" w:ascii="仿宋_GB2312" w:hAnsi="仿宋_GB2312" w:eastAsia="仿宋_GB2312" w:cs="仿宋_GB2312"/>
          <w:sz w:val="32"/>
          <w:szCs w:val="32"/>
        </w:rPr>
        <w:t>展到跨部门涉市场监管领域双随机检查中</w:t>
      </w:r>
      <w:r>
        <w:rPr>
          <w:rFonts w:hint="eastAsia" w:ascii="仿宋_GB2312" w:hAnsi="仿宋_GB2312" w:eastAsia="仿宋_GB2312" w:cs="仿宋_GB2312"/>
          <w:sz w:val="32"/>
          <w:szCs w:val="32"/>
          <w:lang w:val="en-US" w:eastAsia="zh-CN"/>
        </w:rPr>
        <w:t>，充分运用信用风险分类结果，按照信用风险高低，在随机抽取检查对象环节，合理划分A、B、C、D四级抽取比例，实施差异化监管，提高监管精准性。2022年完成低风险企业“无事不扰”比例达60%以上，</w:t>
      </w:r>
      <w:r>
        <w:rPr>
          <w:rFonts w:hint="eastAsia" w:ascii="仿宋_GB2312" w:hAnsi="仿宋_GB2312" w:eastAsia="仿宋_GB2312" w:cs="仿宋_GB2312"/>
          <w:sz w:val="32"/>
          <w:szCs w:val="32"/>
        </w:rPr>
        <w:t>切实为企业发展添动力减阻力解压力。</w:t>
      </w:r>
      <w:r>
        <w:rPr>
          <w:rFonts w:hint="eastAsia" w:ascii="楷体" w:hAnsi="楷体" w:eastAsia="楷体" w:cs="楷体"/>
          <w:b w:val="0"/>
          <w:bCs w:val="0"/>
          <w:sz w:val="32"/>
          <w:szCs w:val="32"/>
          <w:lang w:val="en-US" w:eastAsia="zh-CN"/>
        </w:rPr>
        <w:t>二是积极推行信用承诺制度。</w:t>
      </w:r>
      <w:r>
        <w:rPr>
          <w:rFonts w:hint="eastAsia" w:ascii="仿宋_GB2312" w:hAnsi="仿宋_GB2312" w:eastAsia="仿宋_GB2312" w:cs="仿宋_GB2312"/>
          <w:sz w:val="32"/>
          <w:szCs w:val="32"/>
          <w:lang w:eastAsia="zh-CN"/>
        </w:rPr>
        <w:t>本着“政府引导，企业自愿”原则，我县在市场准入监管和事中事后监管中积极推行信用承诺制度，与市场主体签订信用承诺书，推动市场主体自我约束、诚信经营。</w:t>
      </w:r>
      <w:r>
        <w:rPr>
          <w:rFonts w:hint="eastAsia" w:ascii="楷体" w:hAnsi="楷体" w:eastAsia="楷体" w:cs="楷体"/>
          <w:b w:val="0"/>
          <w:bCs w:val="0"/>
          <w:sz w:val="32"/>
          <w:szCs w:val="32"/>
          <w:lang w:val="en-US" w:eastAsia="zh-CN"/>
        </w:rPr>
        <w:t>三是稳步实施信用修复。</w:t>
      </w:r>
      <w:r>
        <w:rPr>
          <w:rFonts w:hint="eastAsia" w:ascii="仿宋_GB2312" w:hAnsi="仿宋_GB2312" w:eastAsia="仿宋_GB2312" w:cs="仿宋_GB2312"/>
          <w:sz w:val="32"/>
          <w:szCs w:val="32"/>
          <w:lang w:val="en-US" w:eastAsia="zh-CN"/>
        </w:rPr>
        <w:t>对未开业企业和无债权债务企业及吊销时间满五年的企业推动主动简易注销登记，累计注销企业165户，累计移出经营异常企业、合作社、个体户2013户；修复法人黑名单2户，行政处罚信息修复34户。</w:t>
      </w:r>
      <w:r>
        <w:rPr>
          <w:rFonts w:hint="eastAsia" w:ascii="仿宋_GB2312" w:hAnsi="仿宋_GB2312" w:eastAsia="仿宋_GB2312" w:cs="仿宋_GB2312"/>
          <w:sz w:val="32"/>
          <w:szCs w:val="32"/>
        </w:rPr>
        <w:t>做好国家信用信息统计系统（市场监管统计工作）的信息填报，</w:t>
      </w:r>
      <w:r>
        <w:rPr>
          <w:rFonts w:hint="eastAsia" w:ascii="仿宋_GB2312" w:hAnsi="仿宋_GB2312" w:eastAsia="仿宋_GB2312" w:cs="仿宋_GB2312"/>
          <w:sz w:val="32"/>
          <w:szCs w:val="32"/>
          <w:lang w:val="en-US" w:eastAsia="zh-CN"/>
        </w:rPr>
        <w:t>186</w:t>
      </w:r>
      <w:r>
        <w:rPr>
          <w:rFonts w:hint="eastAsia" w:ascii="仿宋_GB2312" w:hAnsi="仿宋_GB2312" w:eastAsia="仿宋_GB2312" w:cs="仿宋_GB2312"/>
          <w:sz w:val="32"/>
          <w:szCs w:val="32"/>
        </w:rPr>
        <w:t>条行政处罚信息在国家信用信息公示系统（榆林）网站向社会公示。对接省、市信息中心，完成了市场综合业务系统</w:t>
      </w:r>
      <w:r>
        <w:rPr>
          <w:rFonts w:hint="eastAsia" w:ascii="仿宋_GB2312" w:hAnsi="仿宋_GB2312" w:eastAsia="仿宋_GB2312" w:cs="仿宋_GB2312"/>
          <w:sz w:val="32"/>
          <w:szCs w:val="32"/>
          <w:lang w:val="en-US" w:eastAsia="zh-CN"/>
        </w:rPr>
        <w:t>260多位</w:t>
      </w:r>
      <w:r>
        <w:rPr>
          <w:rFonts w:hint="eastAsia" w:ascii="仿宋_GB2312" w:hAnsi="仿宋_GB2312" w:eastAsia="仿宋_GB2312" w:cs="仿宋_GB2312"/>
          <w:sz w:val="32"/>
          <w:szCs w:val="32"/>
          <w:lang w:eastAsia="zh-CN"/>
        </w:rPr>
        <w:t>执法人员</w:t>
      </w:r>
      <w:r>
        <w:rPr>
          <w:rFonts w:hint="eastAsia" w:ascii="仿宋_GB2312" w:hAnsi="仿宋_GB2312" w:eastAsia="仿宋_GB2312" w:cs="仿宋_GB2312"/>
          <w:sz w:val="32"/>
          <w:szCs w:val="32"/>
        </w:rPr>
        <w:t>的数据修复工作。</w:t>
      </w:r>
      <w:r>
        <w:rPr>
          <w:rFonts w:hint="eastAsia" w:ascii="楷体" w:hAnsi="楷体" w:eastAsia="楷体" w:cs="楷体"/>
          <w:b w:val="0"/>
          <w:bCs w:val="0"/>
          <w:sz w:val="32"/>
          <w:szCs w:val="32"/>
          <w:lang w:val="en-US" w:eastAsia="zh-CN"/>
        </w:rPr>
        <w:t>四是强化企业信用约束。</w:t>
      </w:r>
      <w:r>
        <w:rPr>
          <w:rFonts w:hint="eastAsia" w:ascii="仿宋_GB2312" w:hAnsi="仿宋_GB2312" w:eastAsia="仿宋_GB2312" w:cs="仿宋_GB2312"/>
          <w:sz w:val="32"/>
          <w:szCs w:val="32"/>
        </w:rPr>
        <w:t>完善跨部门信用约束和联合惩戒机制，对被列入经营异常名录、严重违法失信“黑名单”的企业依法予以限制或禁入。在我县举办的各类评优评奖、入党、提拔使用政策扶持等活动中一票否决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据统计，</w:t>
      </w:r>
      <w:r>
        <w:rPr>
          <w:rFonts w:hint="eastAsia" w:ascii="仿宋_GB2312" w:hAnsi="仿宋_GB2312" w:eastAsia="仿宋_GB2312" w:cs="仿宋_GB2312"/>
          <w:sz w:val="32"/>
          <w:szCs w:val="32"/>
          <w:lang w:val="en-US" w:eastAsia="zh-CN"/>
        </w:rPr>
        <w:t>2014年至</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年以来共列入经营异常目录</w:t>
      </w:r>
      <w:r>
        <w:rPr>
          <w:rFonts w:hint="eastAsia" w:ascii="仿宋_GB2312" w:hAnsi="仿宋_GB2312" w:eastAsia="仿宋_GB2312" w:cs="仿宋_GB2312"/>
          <w:sz w:val="32"/>
          <w:szCs w:val="32"/>
          <w:lang w:val="en-US" w:eastAsia="zh-CN"/>
        </w:rPr>
        <w:t>7173</w:t>
      </w:r>
      <w:r>
        <w:rPr>
          <w:rFonts w:hint="eastAsia" w:ascii="仿宋_GB2312" w:hAnsi="仿宋_GB2312" w:eastAsia="仿宋_GB2312" w:cs="仿宋_GB2312"/>
          <w:sz w:val="32"/>
          <w:szCs w:val="32"/>
        </w:rPr>
        <w:t>条，严重违法失信</w:t>
      </w:r>
      <w:r>
        <w:rPr>
          <w:rFonts w:hint="eastAsia" w:ascii="仿宋_GB2312" w:hAnsi="仿宋_GB2312" w:eastAsia="仿宋_GB2312" w:cs="仿宋_GB2312"/>
          <w:sz w:val="32"/>
          <w:szCs w:val="32"/>
          <w:lang w:eastAsia="zh-CN"/>
        </w:rPr>
        <w:t>106</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2022年审查入党人员信用信息750多人次；科级干部及家属经商情况信息查询2400多人次；防反贫监测对象信息比对600多人次；非公有制经济代表人士综合评价系统评价，人大、政协、工商联换届候选人员47人次。充分发挥信用管理在事中事后监管中的作用，建立各部门信用信息互通共享和互认互用机制，形成“一处失信、处处受限”的信用约束机制。</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三、聚焦热点难点，打好优化营商环境“主动仗”</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一是坚持监管与服务并重。</w:t>
      </w:r>
      <w:r>
        <w:rPr>
          <w:rFonts w:hint="eastAsia" w:ascii="仿宋_GB2312" w:hAnsi="仿宋_GB2312" w:eastAsia="仿宋_GB2312" w:cs="仿宋_GB2312"/>
          <w:sz w:val="32"/>
          <w:szCs w:val="32"/>
          <w:lang w:val="en-US" w:eastAsia="zh-CN"/>
        </w:rPr>
        <w:t>秉承监管就是服务的理念</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坚持监管与服务两手抓，提升信用监管服务发展能力。通过优化年报服务，探索信用培育、信用合规建设、包容审慎监管等信用服务措施，全力助企纾困解难，进一步提高了企业获得感。市场监管部门通过宣传法律法规、发布倡议书告诫书、召开约谈提醒会、通告限期整改、现场指导检查等方式，加强市场主体违法违规行为预防教育和督促纠正，积极引导市场主体自觉守法、自我纠错。</w:t>
      </w:r>
      <w:r>
        <w:rPr>
          <w:rFonts w:hint="eastAsia" w:ascii="楷体" w:hAnsi="楷体" w:eastAsia="楷体" w:cs="楷体"/>
          <w:b w:val="0"/>
          <w:bCs w:val="0"/>
          <w:sz w:val="32"/>
          <w:szCs w:val="32"/>
          <w:lang w:val="en-US" w:eastAsia="zh-CN"/>
        </w:rPr>
        <w:t>二是严厉查处违法行为。</w:t>
      </w:r>
      <w:r>
        <w:rPr>
          <w:rFonts w:hint="eastAsia" w:ascii="仿宋_GB2312" w:hAnsi="仿宋_GB2312" w:eastAsia="仿宋_GB2312" w:cs="仿宋_GB2312"/>
          <w:sz w:val="32"/>
          <w:szCs w:val="32"/>
          <w:lang w:val="en-US" w:eastAsia="zh-CN"/>
        </w:rPr>
        <w:t>加强对突出问题和风险开展随机抽查，提高监管精准性，提升监管效能。对通过投诉举报、数据监测、转办交办等发现的具体问题要进行有针对性的检查，对发现的问题线索依法依规处理。</w:t>
      </w:r>
      <w:r>
        <w:rPr>
          <w:rFonts w:hint="eastAsia" w:ascii="仿宋_GB2312" w:hAnsi="仿宋_GB2312" w:eastAsia="仿宋_GB2312" w:cs="仿宋_GB2312"/>
          <w:sz w:val="32"/>
          <w:szCs w:val="32"/>
        </w:rPr>
        <w:t>开展查处无照经营</w:t>
      </w:r>
      <w:r>
        <w:rPr>
          <w:rFonts w:hint="eastAsia" w:ascii="仿宋_GB2312" w:hAnsi="仿宋_GB2312" w:eastAsia="仿宋_GB2312" w:cs="仿宋_GB2312"/>
          <w:sz w:val="32"/>
          <w:szCs w:val="32"/>
          <w:lang w:val="en-US" w:eastAsia="zh-CN"/>
        </w:rPr>
        <w:t>洗车房、</w:t>
      </w:r>
      <w:r>
        <w:rPr>
          <w:rFonts w:hint="eastAsia" w:ascii="仿宋_GB2312" w:hAnsi="仿宋_GB2312" w:eastAsia="仿宋_GB2312" w:cs="仿宋_GB2312"/>
          <w:sz w:val="32"/>
          <w:szCs w:val="32"/>
        </w:rPr>
        <w:t>自建房无照经营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查处无证无照经营行为等专项整治，对纹身店、彩钢房等重点场所进行检查，下达责令整改通知书98份，立案办结11起。</w:t>
      </w:r>
      <w:r>
        <w:rPr>
          <w:rFonts w:hint="eastAsia" w:ascii="楷体" w:hAnsi="楷体" w:eastAsia="楷体" w:cs="楷体"/>
          <w:b w:val="0"/>
          <w:bCs w:val="0"/>
          <w:sz w:val="32"/>
          <w:szCs w:val="32"/>
          <w:lang w:val="en-US" w:eastAsia="zh-CN"/>
        </w:rPr>
        <w:t>三是助力企业年报。</w:t>
      </w:r>
      <w:r>
        <w:rPr>
          <w:rFonts w:hint="eastAsia" w:ascii="仿宋_GB2312" w:hAnsi="仿宋_GB2312" w:eastAsia="仿宋_GB2312" w:cs="仿宋_GB2312"/>
          <w:sz w:val="32"/>
          <w:szCs w:val="32"/>
          <w:lang w:val="en-US" w:eastAsia="zh-CN"/>
        </w:rPr>
        <w:t>全面梳理企业年报名单，建立分时分类精细化管理数据库，精准提醒企业按时报送年报。全面清理“僵尸企业”。</w:t>
      </w:r>
      <w:r>
        <w:rPr>
          <w:rFonts w:hint="eastAsia" w:ascii="仿宋_GB2312" w:hAnsi="仿宋_GB2312" w:eastAsia="仿宋_GB2312" w:cs="仿宋_GB2312"/>
          <w:sz w:val="32"/>
          <w:szCs w:val="32"/>
        </w:rPr>
        <w:t>通过微信公众号、抖音发布2022年度市场主体年报通告，利用电话、短信、微信、公众号、发放通知书等方式推送(催报)年报公示提醒;在农贸市场、大型商场、工业园区、社区等人流量集中的场所张贴宣传海报;在市场监管登记注册窗口向前来办理业务的企业发放年报宣传手册;组织辖区内较大规模农贸市场、商圈等开展年报</w:t>
      </w:r>
      <w:r>
        <w:rPr>
          <w:rFonts w:hint="eastAsia" w:ascii="仿宋_GB2312" w:hAnsi="仿宋_GB2312" w:eastAsia="仿宋_GB2312" w:cs="仿宋_GB2312"/>
          <w:sz w:val="32"/>
          <w:szCs w:val="32"/>
          <w:lang w:val="en-US" w:eastAsia="zh-CN"/>
        </w:rPr>
        <w:t>“上门服务”</w:t>
      </w:r>
      <w:r>
        <w:rPr>
          <w:rFonts w:hint="eastAsia" w:ascii="仿宋_GB2312" w:hAnsi="仿宋_GB2312" w:eastAsia="仿宋_GB2312" w:cs="仿宋_GB2312"/>
          <w:sz w:val="32"/>
          <w:szCs w:val="32"/>
        </w:rPr>
        <w:t>，指导各类市场经营户年报申报;联合街道、社区、村委会协管员、网格员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食品安全协管员通过集中宣讲、上门指导等形式，不断提高市场主体年报知晓率，提醒企业及时完成年报申报。</w:t>
      </w:r>
      <w:r>
        <w:rPr>
          <w:rFonts w:hint="eastAsia" w:ascii="仿宋_GB2312" w:hAnsi="仿宋_GB2312" w:eastAsia="仿宋_GB2312" w:cs="仿宋_GB2312"/>
          <w:sz w:val="32"/>
          <w:szCs w:val="32"/>
          <w:lang w:val="en-US" w:eastAsia="zh-CN"/>
        </w:rPr>
        <w:t>在各市场监管所设立党员服务窗口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专人接听电话和接待办事人员，为年度报告提供细致的咨询和指导服务，防止出现漏报乱报影响自身信用的情况，提高年报登录故障排除效率;针对部分缺乏线上申报能力的市场主体，指导其采取纸质填报形式;对上门咨询的市场主体，采取“面对面”、“手把手”全程指导服务，充分利用市场主体年报收集企业的信用数据。</w:t>
      </w:r>
    </w:p>
    <w:p>
      <w:pPr>
        <w:keepNext w:val="0"/>
        <w:keepLines w:val="0"/>
        <w:pageBreakBefore w:val="0"/>
        <w:kinsoku/>
        <w:wordWrap/>
        <w:overflowPunct/>
        <w:topLinePunct w:val="0"/>
        <w:bidi w:val="0"/>
        <w:spacing w:line="600" w:lineRule="exact"/>
        <w:ind w:firstLine="640" w:firstLineChars="200"/>
        <w:rPr>
          <w:sz w:val="32"/>
          <w:szCs w:val="32"/>
        </w:rPr>
      </w:pPr>
      <w:r>
        <w:rPr>
          <w:rFonts w:hint="eastAsia" w:ascii="仿宋_GB2312" w:hAnsi="仿宋_GB2312" w:eastAsia="仿宋_GB2312" w:cs="仿宋_GB2312"/>
          <w:sz w:val="32"/>
          <w:szCs w:val="32"/>
          <w:lang w:val="en-US" w:eastAsia="zh-CN"/>
        </w:rPr>
        <w:t>下一步，我县将全面贯彻党的二十大精神，做好全县跨部门综合监管工作，深入推进部门联合“双随机、一公开”监管常态化，推动市场主体信用信息的互联共享，不断扩展信用风险分类应用领域，强化失信惩戒和信用修复管理，共同推进市场主体信用体系建设和市场监管工作高质量发展。</w:t>
      </w:r>
    </w:p>
    <w:p>
      <w:pPr>
        <w:pStyle w:val="2"/>
      </w:pPr>
    </w:p>
    <w:p/>
    <w:p>
      <w:pPr>
        <w:pStyle w:val="2"/>
      </w:pPr>
    </w:p>
    <w:p/>
    <w:p>
      <w:pPr>
        <w:pStyle w:val="2"/>
      </w:pPr>
    </w:p>
    <w:p/>
    <w:p>
      <w:pPr>
        <w:pStyle w:val="2"/>
      </w:pPr>
    </w:p>
    <w:p/>
    <w:p>
      <w:pPr>
        <w:pStyle w:val="2"/>
      </w:pPr>
    </w:p>
    <w:p/>
    <w:p>
      <w:pPr>
        <w:pStyle w:val="2"/>
      </w:pPr>
    </w:p>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汉中市略阳县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2022年度</w:t>
      </w:r>
      <w:r>
        <w:rPr>
          <w:rFonts w:hint="eastAsia" w:ascii="方正小标宋简体" w:hAnsi="方正小标宋简体" w:eastAsia="方正小标宋简体" w:cs="方正小标宋简体"/>
          <w:sz w:val="44"/>
          <w:szCs w:val="44"/>
          <w:lang w:val="en-US" w:eastAsia="zh-CN"/>
        </w:rPr>
        <w:t>商事制度改革主要工作成效</w:t>
      </w:r>
    </w:p>
    <w:p>
      <w:pPr>
        <w:pStyle w:val="2"/>
        <w:rPr>
          <w:rFonts w:hint="eastAsia"/>
          <w:lang w:eastAsia="zh-CN"/>
        </w:rPr>
      </w:pPr>
    </w:p>
    <w:p>
      <w:pPr>
        <w:pStyle w:val="8"/>
        <w:keepNext w:val="0"/>
        <w:keepLines w:val="0"/>
        <w:pageBreakBefore w:val="0"/>
        <w:widowControl w:val="0"/>
        <w:kinsoku/>
        <w:wordWrap/>
        <w:overflowPunct/>
        <w:topLinePunct/>
        <w:autoSpaceDE w:val="0"/>
        <w:autoSpaceDN w:val="0"/>
        <w:bidi w:val="0"/>
        <w:adjustRightInd/>
        <w:snapToGrid/>
        <w:spacing w:before="0" w:line="6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2022年以来，略阳县委、县政府认真贯彻落实中、省、市关于“放管服”改革和商事制度改革系列决策部署，紧紧围绕“在市场监管领域健全以‘双随机、一公开’监管为基本手段、以重点监管为补充、以信用监管为基础的新型监管机制”的总体目标，积极探索创新，真抓实干，建立和完善企业信息归集公示、双随机抽查、经营异常名录和严重违法失信企业名单管理、信息共享和协同监管、联合惩戒、信用修复等各项制度，大力推行“信用+双随机”监管，取得了积极成效。</w:t>
      </w:r>
    </w:p>
    <w:p>
      <w:pPr>
        <w:pStyle w:val="8"/>
        <w:keepNext w:val="0"/>
        <w:keepLines w:val="0"/>
        <w:pageBreakBefore w:val="0"/>
        <w:widowControl w:val="0"/>
        <w:kinsoku/>
        <w:wordWrap/>
        <w:overflowPunct/>
        <w:topLinePunct/>
        <w:autoSpaceDE w:val="0"/>
        <w:autoSpaceDN w:val="0"/>
        <w:bidi w:val="0"/>
        <w:adjustRightInd/>
        <w:snapToGrid/>
        <w:spacing w:before="0" w:line="600" w:lineRule="exact"/>
        <w:ind w:firstLine="640" w:firstLineChars="200"/>
        <w:jc w:val="left"/>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一、依托信用归集公示共享，筑牢信用监管基础</w:t>
      </w:r>
    </w:p>
    <w:p>
      <w:pPr>
        <w:pStyle w:val="8"/>
        <w:keepNext w:val="0"/>
        <w:keepLines w:val="0"/>
        <w:pageBreakBefore w:val="0"/>
        <w:widowControl w:val="0"/>
        <w:kinsoku/>
        <w:wordWrap/>
        <w:overflowPunct/>
        <w:topLinePunct/>
        <w:autoSpaceDE w:val="0"/>
        <w:autoSpaceDN w:val="0"/>
        <w:bidi w:val="0"/>
        <w:adjustRightInd/>
        <w:snapToGrid/>
        <w:spacing w:before="0" w:line="6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按照“谁产生、谁提供、谁负责”原则，各级各部门已将全县1万2千多户市场主体的行政许可信息、企业年报、行政处罚、抽查检查、经营异常、严重违法失信、信用承诺等涉企信息，通过国家企业信用信息公示系统（陕西）和信用中国（陕西·汉中）有效归集公示，特别是各类市场主体年报率多年来一直稳居全市第一方阵，年报信息和即时信息得到及时、充分、高效归集，完成了对每个市场主体信用的“精准画像”，筑牢了全县信用监管基础。</w:t>
      </w:r>
    </w:p>
    <w:p>
      <w:pPr>
        <w:pStyle w:val="8"/>
        <w:keepNext w:val="0"/>
        <w:keepLines w:val="0"/>
        <w:pageBreakBefore w:val="0"/>
        <w:widowControl w:val="0"/>
        <w:numPr>
          <w:ilvl w:val="0"/>
          <w:numId w:val="0"/>
        </w:numPr>
        <w:kinsoku/>
        <w:wordWrap/>
        <w:overflowPunct/>
        <w:topLinePunct/>
        <w:autoSpaceDE w:val="0"/>
        <w:autoSpaceDN w:val="0"/>
        <w:bidi w:val="0"/>
        <w:adjustRightInd/>
        <w:snapToGrid/>
        <w:spacing w:before="0" w:line="600" w:lineRule="exact"/>
        <w:ind w:firstLine="640" w:firstLineChars="200"/>
        <w:jc w:val="both"/>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二、完善失信惩戒制度，强化信用监管威慑</w:t>
      </w:r>
    </w:p>
    <w:p>
      <w:pPr>
        <w:pStyle w:val="8"/>
        <w:keepNext w:val="0"/>
        <w:keepLines w:val="0"/>
        <w:pageBreakBefore w:val="0"/>
        <w:widowControl w:val="0"/>
        <w:numPr>
          <w:ilvl w:val="0"/>
          <w:numId w:val="0"/>
        </w:numPr>
        <w:kinsoku/>
        <w:wordWrap/>
        <w:overflowPunct/>
        <w:topLinePunct/>
        <w:autoSpaceDE w:val="0"/>
        <w:autoSpaceDN w:val="0"/>
        <w:bidi w:val="0"/>
        <w:adjustRightInd/>
        <w:snapToGrid/>
        <w:spacing w:before="0" w:line="600" w:lineRule="exact"/>
        <w:ind w:firstLine="643"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一方面</w:t>
      </w:r>
      <w:r>
        <w:rPr>
          <w:rFonts w:hint="eastAsia" w:ascii="仿宋_GB2312" w:hAnsi="仿宋_GB2312" w:eastAsia="仿宋_GB2312" w:cs="仿宋_GB2312"/>
          <w:b w:val="0"/>
          <w:color w:val="auto"/>
          <w:kern w:val="2"/>
          <w:sz w:val="32"/>
          <w:szCs w:val="32"/>
          <w:lang w:val="en-US" w:eastAsia="zh-CN" w:bidi="ar-SA"/>
        </w:rPr>
        <w:t>，充分发挥经营异常名录和严重违法失信名单作用，依法依规实施信用约束和联合惩戒，使失信企业在市场准入、工程招投标、政府采购、国有土地出让、授予荣誉称号等方面依法受到限制和禁止。目前，全县累计列入经营异常名录（或标记为经营异常状态）市场主体196户、列入严重违法失信企业名单13户、行政处罚案件公示222件。</w:t>
      </w:r>
      <w:r>
        <w:rPr>
          <w:rFonts w:hint="eastAsia" w:ascii="仿宋_GB2312" w:hAnsi="仿宋_GB2312" w:eastAsia="仿宋_GB2312" w:cs="仿宋_GB2312"/>
          <w:b/>
          <w:bCs/>
          <w:color w:val="auto"/>
          <w:kern w:val="2"/>
          <w:sz w:val="32"/>
          <w:szCs w:val="32"/>
          <w:lang w:val="en-US" w:eastAsia="zh-CN" w:bidi="ar-SA"/>
        </w:rPr>
        <w:t>另一方面，</w:t>
      </w:r>
      <w:r>
        <w:rPr>
          <w:rFonts w:hint="eastAsia" w:ascii="仿宋_GB2312" w:hAnsi="仿宋_GB2312" w:eastAsia="仿宋_GB2312" w:cs="仿宋_GB2312"/>
          <w:b w:val="0"/>
          <w:color w:val="auto"/>
          <w:kern w:val="2"/>
          <w:sz w:val="32"/>
          <w:szCs w:val="32"/>
          <w:lang w:val="en-US" w:eastAsia="zh-CN" w:bidi="ar-SA"/>
        </w:rPr>
        <w:t>积极推进信用修复，支持引导相关失信主体重塑信用。目前，移出经营异常名录（或者恢复个体工商户正常记载状态）13户。</w:t>
      </w:r>
    </w:p>
    <w:p>
      <w:pPr>
        <w:pStyle w:val="8"/>
        <w:keepNext w:val="0"/>
        <w:keepLines w:val="0"/>
        <w:pageBreakBefore w:val="0"/>
        <w:widowControl w:val="0"/>
        <w:kinsoku/>
        <w:wordWrap/>
        <w:overflowPunct/>
        <w:topLinePunct/>
        <w:autoSpaceDE w:val="0"/>
        <w:autoSpaceDN w:val="0"/>
        <w:bidi w:val="0"/>
        <w:adjustRightInd/>
        <w:snapToGrid/>
        <w:spacing w:before="0" w:line="60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三、常态化开展“双随机、一公开”监管，夯实信用监管支撑</w:t>
      </w:r>
    </w:p>
    <w:p>
      <w:pPr>
        <w:pStyle w:val="8"/>
        <w:keepNext w:val="0"/>
        <w:keepLines w:val="0"/>
        <w:pageBreakBefore w:val="0"/>
        <w:widowControl w:val="0"/>
        <w:kinsoku/>
        <w:wordWrap/>
        <w:overflowPunct/>
        <w:topLinePunct/>
        <w:autoSpaceDE w:val="0"/>
        <w:autoSpaceDN w:val="0"/>
        <w:bidi w:val="0"/>
        <w:adjustRightInd/>
        <w:snapToGrid/>
        <w:spacing w:before="0" w:line="600" w:lineRule="exact"/>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 w:hAnsi="仿宋" w:eastAsia="仿宋" w:cs="仿宋"/>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我县坚持政府主导、建立健全机制，坚持培训先行、夯实工作基础，坚持目标导向、以实践促提升，坚持协同配合、推动抽查规范化、科学化、常态化，坚持日常督导与年度考核相结合，持续推进“双随机、一公开”监管工作“全覆盖、常态化”。目前，全县“一单两库”已全面建成，检查人员入库614人，建立检查对象库148个，录入部门抽查事项清单761条，全县已有22个成员部门入驻陕西省“双随机、一公开”监管工作信息平台，常态化开展工作。2022年，全县共开展双随机抽查129批次（其中，部门联合抽查42批次），抽取市场主体数1122个，公示检查结果1055条；2023年，全县制定公布年度抽查计划104个（其中，部门联合抽查计划33个），截至5月底，全县已开展双随机抽查检查52批次、抽取市场主体数417个、公示检查结果210条。略阳县“双随机、一公开”监管工作在市双随机办多次督查中均予以了充分肯定，连续两年在年度考核中居全市第一，被评为双随机工作优秀县区。</w:t>
      </w:r>
    </w:p>
    <w:p>
      <w:pPr>
        <w:pStyle w:val="8"/>
        <w:keepNext w:val="0"/>
        <w:keepLines w:val="0"/>
        <w:pageBreakBefore w:val="0"/>
        <w:widowControl w:val="0"/>
        <w:kinsoku/>
        <w:wordWrap/>
        <w:overflowPunct/>
        <w:topLinePunct/>
        <w:autoSpaceDE w:val="0"/>
        <w:autoSpaceDN w:val="0"/>
        <w:bidi w:val="0"/>
        <w:adjustRightInd/>
        <w:snapToGrid/>
        <w:spacing w:before="0" w:line="600" w:lineRule="exact"/>
        <w:ind w:firstLine="640" w:firstLineChars="200"/>
        <w:jc w:val="left"/>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四、扎实推进信用分级分类，加强重点领域监管</w:t>
      </w:r>
    </w:p>
    <w:p>
      <w:pPr>
        <w:pStyle w:val="8"/>
        <w:keepNext w:val="0"/>
        <w:keepLines w:val="0"/>
        <w:pageBreakBefore w:val="0"/>
        <w:widowControl w:val="0"/>
        <w:kinsoku/>
        <w:wordWrap/>
        <w:overflowPunct/>
        <w:topLinePunct/>
        <w:autoSpaceDE w:val="0"/>
        <w:autoSpaceDN w:val="0"/>
        <w:bidi w:val="0"/>
        <w:adjustRightInd/>
        <w:snapToGrid/>
        <w:spacing w:before="0" w:line="6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我县坚决贯彻落实《市双随机办关于全面启动“信用+双随机”监管工作的通知》文件精神，充分运用好省局企业“通用型”分级分类结果（截至目前，全县2375户企业均已按“通用型”标准进行了信用分级分类，其中A类1851户、B类417户、C类32户、D类75户），结合实际，全面推行“通用型”企业信用风险分类与“双随机、一公开”监管有机融合的新型监管模式。同时，县市场监管局主动联系市双随机办谋划“信用+双随机”监管工作，积极探索对食品、药品、特种设备等重点领域实施差异化监管措施，在全省通用型企业信用风险分类指标体系已搭建完成的基础上，根据不同信用风险类别合理确定动态调整抽查比例和频次，既保证必要的抽查覆盖面和监管效果，又防止任意检查和执法扰民。2022年，根据“通用型”企业信用风险分类评级指标体系，率先对企业登记事项和年报公示情况实施差异化监管措施，持续推进常态化部门联合抽查，按不同信用等级对全县企业实施“信用+双随机”抽查检查，检查结果已及时录入双随机平台并对外公示，问题发现率4.12%，信用风险分类监管效能初步显现。目前，按照市双随机办要求，全县已在各领域全面推行“信用+双随机”监管，切实提高监管及时性、精准性、有效性。</w:t>
      </w:r>
    </w:p>
    <w:p>
      <w:pPr>
        <w:pStyle w:val="8"/>
        <w:keepNext w:val="0"/>
        <w:keepLines w:val="0"/>
        <w:pageBreakBefore w:val="0"/>
        <w:widowControl w:val="0"/>
        <w:kinsoku/>
        <w:wordWrap/>
        <w:overflowPunct/>
        <w:topLinePunct/>
        <w:autoSpaceDE w:val="0"/>
        <w:autoSpaceDN w:val="0"/>
        <w:bidi w:val="0"/>
        <w:adjustRightInd/>
        <w:snapToGrid/>
        <w:spacing w:before="0" w:line="600" w:lineRule="exact"/>
        <w:ind w:firstLine="640" w:firstLineChars="200"/>
        <w:jc w:val="both"/>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五、积极推行信用承诺制度，提高社会治理效能</w:t>
      </w:r>
    </w:p>
    <w:p>
      <w:pPr>
        <w:pStyle w:val="8"/>
        <w:keepNext w:val="0"/>
        <w:keepLines w:val="0"/>
        <w:pageBreakBefore w:val="0"/>
        <w:widowControl w:val="0"/>
        <w:kinsoku/>
        <w:wordWrap/>
        <w:overflowPunct/>
        <w:topLinePunct/>
        <w:autoSpaceDE w:val="0"/>
        <w:autoSpaceDN w:val="0"/>
        <w:bidi w:val="0"/>
        <w:adjustRightInd/>
        <w:snapToGrid/>
        <w:spacing w:before="0" w:line="600" w:lineRule="exact"/>
        <w:ind w:firstLine="640" w:firstLineChars="200"/>
        <w:jc w:val="both"/>
        <w:textAlignment w:val="auto"/>
        <w:rPr>
          <w:rFonts w:hint="eastAsia" w:ascii="仿宋_GB2312" w:hAnsi="仿宋_GB2312" w:eastAsia="仿宋_GB2312" w:cs="仿宋_GB2312"/>
          <w:b w:val="0"/>
          <w:color w:val="FF0000"/>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本着“政府引导，企业自愿”原则，我县在市场准入管理和事中事后监管中积极推行信用承诺制度，大力推动市场主体自我约束、诚信经营。2022年以来，全县已公示审批替代型、信用修复型、主动公示型、行业自律型、政务诚信型信用承诺信息3971条。</w:t>
      </w:r>
    </w:p>
    <w:p>
      <w:pPr>
        <w:rPr>
          <w:rFonts w:hint="eastAsia" w:ascii="仿宋_GB2312" w:hAnsi="仿宋_GB2312" w:eastAsia="仿宋_GB2312" w:cs="仿宋_GB2312"/>
          <w:sz w:val="32"/>
          <w:szCs w:val="32"/>
        </w:rPr>
      </w:pPr>
    </w:p>
    <w:p>
      <w:pPr>
        <w:pStyle w:val="2"/>
      </w:pPr>
    </w:p>
    <w:p/>
    <w:p>
      <w:pPr>
        <w:pStyle w:val="2"/>
      </w:pPr>
    </w:p>
    <w:p/>
    <w:p>
      <w:pPr>
        <w:pStyle w:val="2"/>
      </w:pPr>
    </w:p>
    <w:p/>
    <w:p>
      <w:pPr>
        <w:pStyle w:val="2"/>
      </w:pPr>
    </w:p>
    <w:p/>
    <w:p>
      <w:pPr>
        <w:pStyle w:val="2"/>
      </w:pPr>
    </w:p>
    <w:p/>
    <w:p>
      <w:pPr>
        <w:pStyle w:val="2"/>
      </w:pPr>
    </w:p>
    <w:p/>
    <w:p>
      <w:pPr>
        <w:pStyle w:val="2"/>
      </w:pPr>
    </w:p>
    <w:p/>
    <w:p>
      <w:pPr>
        <w:pStyle w:val="2"/>
      </w:pPr>
    </w:p>
    <w:p/>
    <w:sectPr>
      <w:footerReference r:id="rId5" w:type="default"/>
      <w:pgSz w:w="11906" w:h="16838"/>
      <w:pgMar w:top="1701" w:right="1474" w:bottom="147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tabs>
                              <w:tab w:val="center" w:pos="4153"/>
                              <w:tab w:val="right" w:pos="8306"/>
                              <w:tab w:val="clear" w:pos="4140"/>
                              <w:tab w:val="clear" w:pos="830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07xCq8BAABLAwAADgAAAGRycy9lMm9Eb2MueG1srVPNahsxEL4H8g5C&#10;91prE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P07xCq8BAABL&#10;AwAADgAAAAAAAAABACAAAAAeAQAAZHJzL2Uyb0RvYy54bWxQSwUGAAAAAAYABgBZAQAAPwUAAAAA&#10;">
              <v:fill on="f" focussize="0,0"/>
              <v:stroke on="f"/>
              <v:imagedata o:title=""/>
              <o:lock v:ext="edit" aspectratio="f"/>
              <v:textbox inset="0mm,0mm,0mm,0mm" style="mso-fit-shape-to-text:t;">
                <w:txbxContent>
                  <w:p>
                    <w:pPr>
                      <w:pStyle w:val="3"/>
                      <w:tabs>
                        <w:tab w:val="center" w:pos="4153"/>
                        <w:tab w:val="right" w:pos="8306"/>
                        <w:tab w:val="clear" w:pos="4140"/>
                        <w:tab w:val="clear" w:pos="830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tabs>
                              <w:tab w:val="center" w:pos="4153"/>
                              <w:tab w:val="right" w:pos="8306"/>
                              <w:tab w:val="clear" w:pos="4140"/>
                              <w:tab w:val="clear" w:pos="830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371jK8BAABLAwAADgAAAGRycy9lMm9Eb2MueG1srVPNahsxEL4H8g5C&#10;91prB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371jK8BAABL&#10;AwAADgAAAAAAAAABACAAAAAeAQAAZHJzL2Uyb0RvYy54bWxQSwUGAAAAAAYABgBZAQAAPwUAAAAA&#10;">
              <v:fill on="f" focussize="0,0"/>
              <v:stroke on="f"/>
              <v:imagedata o:title=""/>
              <o:lock v:ext="edit" aspectratio="f"/>
              <v:textbox inset="0mm,0mm,0mm,0mm" style="mso-fit-shape-to-text:t;">
                <w:txbxContent>
                  <w:p>
                    <w:pPr>
                      <w:pStyle w:val="3"/>
                      <w:tabs>
                        <w:tab w:val="center" w:pos="4153"/>
                        <w:tab w:val="right" w:pos="8306"/>
                        <w:tab w:val="clear" w:pos="4140"/>
                        <w:tab w:val="clear" w:pos="830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 w:val="clear" w:pos="4140"/>
        <w:tab w:val="clear" w:pos="8300"/>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- 1 -</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- 1 -</w:t>
                    </w:r>
                    <w:r>
                      <w:rPr>
                        <w:rFonts w:hint="eastAsia" w:ascii="宋体" w:hAnsi="宋体" w:eastAsia="宋体" w:cs="宋体"/>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26B49"/>
    <w:rsid w:val="05C87D3D"/>
    <w:rsid w:val="0B613B70"/>
    <w:rsid w:val="0D675B63"/>
    <w:rsid w:val="0D686100"/>
    <w:rsid w:val="143A2DC8"/>
    <w:rsid w:val="154140B8"/>
    <w:rsid w:val="16903DCC"/>
    <w:rsid w:val="185D7374"/>
    <w:rsid w:val="1AE47004"/>
    <w:rsid w:val="1B3A41B6"/>
    <w:rsid w:val="1CB27802"/>
    <w:rsid w:val="1E536C92"/>
    <w:rsid w:val="20284D28"/>
    <w:rsid w:val="20E00C12"/>
    <w:rsid w:val="23FD1EE5"/>
    <w:rsid w:val="2A4361BD"/>
    <w:rsid w:val="2CAC4B65"/>
    <w:rsid w:val="2EC611C9"/>
    <w:rsid w:val="2F622F24"/>
    <w:rsid w:val="31E22E98"/>
    <w:rsid w:val="35BA0E72"/>
    <w:rsid w:val="35D02181"/>
    <w:rsid w:val="35E935F7"/>
    <w:rsid w:val="396B31E6"/>
    <w:rsid w:val="3AD131F7"/>
    <w:rsid w:val="3C204731"/>
    <w:rsid w:val="3CDF6834"/>
    <w:rsid w:val="406D39BD"/>
    <w:rsid w:val="41073EBF"/>
    <w:rsid w:val="42D75821"/>
    <w:rsid w:val="45D02469"/>
    <w:rsid w:val="462060CF"/>
    <w:rsid w:val="47734465"/>
    <w:rsid w:val="49DE2B33"/>
    <w:rsid w:val="4B2E44AB"/>
    <w:rsid w:val="4EA30593"/>
    <w:rsid w:val="50143B78"/>
    <w:rsid w:val="5137038D"/>
    <w:rsid w:val="53F95334"/>
    <w:rsid w:val="55BD1788"/>
    <w:rsid w:val="569B4F47"/>
    <w:rsid w:val="5D5A16C9"/>
    <w:rsid w:val="5E881D95"/>
    <w:rsid w:val="604B6BF3"/>
    <w:rsid w:val="6BB265AA"/>
    <w:rsid w:val="6F166803"/>
    <w:rsid w:val="6F680E10"/>
    <w:rsid w:val="724071A0"/>
    <w:rsid w:val="7B5233DC"/>
    <w:rsid w:val="7C733E6C"/>
    <w:rsid w:val="7D3C4316"/>
    <w:rsid w:val="7F461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widowControl w:val="0"/>
      <w:spacing w:after="0"/>
      <w:jc w:val="both"/>
    </w:pPr>
    <w:rPr>
      <w:rFonts w:ascii="宋体" w:hAnsi="宋体" w:eastAsia="宋体" w:cs="宋体"/>
      <w:kern w:val="2"/>
      <w:sz w:val="32"/>
      <w:szCs w:val="32"/>
      <w:lang w:val="en-US" w:eastAsia="zh-CN" w:bidi="ar-SA"/>
    </w:rPr>
  </w:style>
  <w:style w:type="paragraph" w:styleId="3">
    <w:name w:val="footer"/>
    <w:basedOn w:val="1"/>
    <w:qFormat/>
    <w:uiPriority w:val="99"/>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rPr>
      <w:rFonts w:ascii="Calibri" w:hAnsi="Calibri"/>
      <w:sz w:val="21"/>
      <w:szCs w:val="22"/>
    </w:rPr>
  </w:style>
  <w:style w:type="paragraph" w:customStyle="1" w:styleId="8">
    <w:name w:val="Table Paragraph"/>
    <w:basedOn w:val="1"/>
    <w:qFormat/>
    <w:uiPriority w:val="0"/>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2023-06-28T08:11:00Z</dcterms:created>
  <dc:creator>admin</dc:creator>
  <cp:lastModifiedBy>王少勇</cp:lastModifiedBy>
  <dcterms:modified xsi:type="dcterms:W3CDTF">2023-06-30T08:40:32Z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