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40" w:lineRule="exact"/>
        <w:jc w:val="left"/>
        <w:rPr>
          <w:rFonts w:hint="eastAsia" w:eastAsia="方正小标宋简体"/>
          <w:color w:val="000000"/>
          <w:sz w:val="32"/>
          <w:szCs w:val="32"/>
          <w:lang w:val="en-US" w:eastAsia="zh-CN"/>
        </w:rPr>
      </w:pPr>
      <w:r>
        <w:rPr>
          <w:rFonts w:hint="eastAsia" w:ascii="黑体" w:hAnsi="黑体" w:eastAsia="黑体" w:cs="黑体"/>
          <w:sz w:val="32"/>
          <w:szCs w:val="32"/>
          <w:lang w:val="en-US" w:eastAsia="zh-CN"/>
        </w:rPr>
        <w:t>附件6</w:t>
      </w:r>
      <w:bookmarkStart w:id="1" w:name="_GoBack"/>
      <w:bookmarkEnd w:id="1"/>
    </w:p>
    <w:p>
      <w:pPr>
        <w:adjustRightInd w:val="0"/>
        <w:snapToGrid w:val="0"/>
        <w:spacing w:line="594" w:lineRule="exact"/>
        <w:jc w:val="center"/>
        <w:rPr>
          <w:rFonts w:eastAsia="方正小标宋简体"/>
          <w:color w:val="000000"/>
          <w:sz w:val="32"/>
          <w:szCs w:val="32"/>
        </w:rPr>
      </w:pPr>
      <w:r>
        <w:rPr>
          <w:rFonts w:hint="eastAsia" w:eastAsia="方正小标宋简体"/>
          <w:color w:val="000000"/>
          <w:sz w:val="32"/>
          <w:szCs w:val="32"/>
          <w:lang w:val="en-US" w:eastAsia="zh-CN"/>
        </w:rPr>
        <w:t>陕西省</w:t>
      </w:r>
      <w:r>
        <w:rPr>
          <w:rFonts w:hint="eastAsia" w:eastAsia="方正小标宋简体"/>
          <w:color w:val="000000"/>
          <w:sz w:val="32"/>
          <w:szCs w:val="32"/>
          <w:lang w:eastAsia="zh-CN"/>
        </w:rPr>
        <w:t>钾肥</w:t>
      </w:r>
      <w:r>
        <w:rPr>
          <w:rFonts w:eastAsia="方正小标宋简体"/>
          <w:color w:val="000000"/>
          <w:sz w:val="32"/>
          <w:szCs w:val="32"/>
        </w:rPr>
        <w:t>产品质量监督抽查实施细则</w:t>
      </w:r>
    </w:p>
    <w:p>
      <w:pPr>
        <w:adjustRightInd w:val="0"/>
        <w:snapToGrid w:val="0"/>
        <w:spacing w:line="594" w:lineRule="exact"/>
        <w:jc w:val="both"/>
        <w:rPr>
          <w:rFonts w:eastAsia="方正小标宋简体"/>
          <w:color w:val="000000"/>
          <w:sz w:val="32"/>
          <w:szCs w:val="32"/>
        </w:rPr>
      </w:pPr>
    </w:p>
    <w:p>
      <w:pPr>
        <w:snapToGrid w:val="0"/>
        <w:spacing w:line="440" w:lineRule="exact"/>
        <w:rPr>
          <w:rFonts w:eastAsia="黑体"/>
          <w:color w:val="000000"/>
          <w:szCs w:val="21"/>
        </w:rPr>
      </w:pPr>
      <w:r>
        <w:rPr>
          <w:rFonts w:eastAsia="黑体"/>
          <w:color w:val="000000"/>
          <w:szCs w:val="21"/>
        </w:rPr>
        <w:t>1 抽样方法</w:t>
      </w:r>
    </w:p>
    <w:p>
      <w:pPr>
        <w:snapToGrid w:val="0"/>
        <w:spacing w:line="440" w:lineRule="exact"/>
        <w:ind w:firstLine="420" w:firstLineChars="200"/>
        <w:rPr>
          <w:color w:val="000000"/>
          <w:szCs w:val="21"/>
        </w:rPr>
      </w:pPr>
      <w:r>
        <w:rPr>
          <w:color w:val="000000"/>
          <w:szCs w:val="21"/>
        </w:rPr>
        <w:t>以随机抽样的方式在销售者的待销产品中抽取。</w:t>
      </w:r>
    </w:p>
    <w:p>
      <w:pPr>
        <w:snapToGrid w:val="0"/>
        <w:spacing w:line="440" w:lineRule="exact"/>
        <w:ind w:firstLine="420" w:firstLineChars="200"/>
        <w:rPr>
          <w:rFonts w:hint="eastAsia"/>
          <w:color w:val="000000"/>
          <w:szCs w:val="21"/>
          <w:lang w:eastAsia="zh-CN"/>
        </w:rPr>
      </w:pPr>
      <w:r>
        <w:rPr>
          <w:color w:val="000000"/>
          <w:szCs w:val="21"/>
        </w:rPr>
        <w:t>随机数使用随机数表方法产生</w:t>
      </w:r>
      <w:r>
        <w:rPr>
          <w:rFonts w:hint="eastAsia"/>
          <w:color w:val="000000"/>
          <w:szCs w:val="21"/>
          <w:lang w:eastAsia="zh-CN"/>
        </w:rPr>
        <w:t>。</w:t>
      </w:r>
      <w:bookmarkStart w:id="0" w:name="_Hlk103259270"/>
    </w:p>
    <w:p>
      <w:pPr>
        <w:snapToGrid w:val="0"/>
        <w:spacing w:line="440" w:lineRule="exact"/>
        <w:ind w:firstLine="420" w:firstLineChars="200"/>
        <w:rPr>
          <w:rFonts w:hint="eastAsia" w:ascii="宋体" w:hAnsi="宋体"/>
          <w:color w:val="000000"/>
          <w:szCs w:val="21"/>
        </w:rPr>
      </w:pPr>
      <w:r>
        <w:rPr>
          <w:rFonts w:hint="eastAsia" w:ascii="宋体" w:hAnsi="宋体"/>
          <w:color w:val="000000"/>
          <w:szCs w:val="21"/>
          <w:lang w:val="en-US" w:eastAsia="zh-CN"/>
        </w:rPr>
        <w:t>抽样数量：</w:t>
      </w:r>
      <w:r>
        <w:rPr>
          <w:rFonts w:hint="eastAsia" w:ascii="宋体" w:hAnsi="宋体"/>
          <w:color w:val="auto"/>
          <w:szCs w:val="21"/>
        </w:rPr>
        <w:t>将</w:t>
      </w:r>
      <w:r>
        <w:rPr>
          <w:rFonts w:hint="eastAsia" w:ascii="宋体" w:hAnsi="宋体"/>
          <w:color w:val="auto"/>
          <w:szCs w:val="21"/>
          <w:lang w:val="en-US" w:eastAsia="zh-CN"/>
        </w:rPr>
        <w:t>采集</w:t>
      </w:r>
      <w:r>
        <w:rPr>
          <w:rFonts w:hint="eastAsia" w:ascii="宋体" w:hAnsi="宋体"/>
          <w:color w:val="auto"/>
          <w:szCs w:val="21"/>
        </w:rPr>
        <w:t>样品</w:t>
      </w:r>
      <w:r>
        <w:rPr>
          <w:rFonts w:hint="eastAsia" w:ascii="宋体" w:hAnsi="宋体"/>
          <w:color w:val="auto"/>
          <w:szCs w:val="21"/>
          <w:lang w:val="en-US" w:eastAsia="zh-CN"/>
        </w:rPr>
        <w:t>混合均匀后</w:t>
      </w:r>
      <w:r>
        <w:rPr>
          <w:rFonts w:hint="eastAsia" w:ascii="宋体" w:hAnsi="宋体"/>
          <w:color w:val="auto"/>
          <w:szCs w:val="21"/>
        </w:rPr>
        <w:t>缩分至约1kg，再缩分成两份，</w:t>
      </w:r>
      <w:r>
        <w:rPr>
          <w:rFonts w:hint="eastAsia" w:ascii="宋体" w:hAnsi="宋体"/>
          <w:color w:val="auto"/>
          <w:szCs w:val="21"/>
          <w:lang w:val="en-US" w:eastAsia="zh-CN"/>
        </w:rPr>
        <w:t>每份0.5kg,</w:t>
      </w:r>
      <w:r>
        <w:rPr>
          <w:rFonts w:hint="eastAsia" w:ascii="宋体" w:hAnsi="宋体"/>
          <w:color w:val="auto"/>
          <w:szCs w:val="21"/>
        </w:rPr>
        <w:t>分装</w:t>
      </w:r>
      <w:r>
        <w:rPr>
          <w:rFonts w:hint="eastAsia" w:ascii="宋体" w:hAnsi="宋体"/>
          <w:color w:val="000000"/>
          <w:szCs w:val="21"/>
        </w:rPr>
        <w:t>于2个洁净、干燥的塑料瓶中。</w:t>
      </w:r>
      <w:r>
        <w:rPr>
          <w:rFonts w:ascii="宋体" w:hAnsi="宋体"/>
          <w:color w:val="000000"/>
          <w:szCs w:val="21"/>
        </w:rPr>
        <w:t>1</w:t>
      </w:r>
      <w:r>
        <w:rPr>
          <w:rFonts w:hint="eastAsia" w:ascii="宋体" w:hAnsi="宋体"/>
          <w:color w:val="000000"/>
          <w:szCs w:val="21"/>
        </w:rPr>
        <w:t>瓶作为检验样品，另</w:t>
      </w:r>
      <w:r>
        <w:rPr>
          <w:rFonts w:ascii="宋体" w:hAnsi="宋体"/>
          <w:color w:val="000000"/>
          <w:szCs w:val="21"/>
        </w:rPr>
        <w:t>1</w:t>
      </w:r>
      <w:r>
        <w:rPr>
          <w:rFonts w:hint="eastAsia" w:ascii="宋体" w:hAnsi="宋体"/>
          <w:color w:val="000000"/>
          <w:szCs w:val="21"/>
        </w:rPr>
        <w:t>瓶作为备用样品。</w:t>
      </w:r>
    </w:p>
    <w:p>
      <w:pPr>
        <w:snapToGrid w:val="0"/>
        <w:spacing w:line="440" w:lineRule="exact"/>
        <w:rPr>
          <w:rFonts w:hint="eastAsia" w:ascii="宋体" w:hAnsi="宋体"/>
          <w:color w:val="000000"/>
          <w:szCs w:val="21"/>
        </w:rPr>
      </w:pPr>
      <w:r>
        <w:rPr>
          <w:rFonts w:eastAsia="黑体"/>
          <w:color w:val="000000"/>
          <w:szCs w:val="21"/>
        </w:rPr>
        <w:t>2 检验依据</w:t>
      </w:r>
    </w:p>
    <w:bookmarkEnd w:id="0"/>
    <w:p>
      <w:pPr>
        <w:snapToGrid w:val="0"/>
        <w:spacing w:line="440" w:lineRule="exact"/>
        <w:jc w:val="center"/>
        <w:rPr>
          <w:bCs/>
          <w:color w:val="000000"/>
          <w:szCs w:val="21"/>
        </w:rPr>
      </w:pPr>
      <w:r>
        <w:rPr>
          <w:rFonts w:hint="eastAsia"/>
          <w:bCs/>
          <w:color w:val="000000"/>
          <w:szCs w:val="21"/>
        </w:rPr>
        <w:t>表1 农业用硫酸钾</w:t>
      </w:r>
    </w:p>
    <w:tbl>
      <w:tblPr>
        <w:tblStyle w:val="6"/>
        <w:tblW w:w="9078"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356"/>
        <w:gridCol w:w="2354"/>
        <w:gridCol w:w="2354"/>
        <w:gridCol w:w="3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blHeader/>
        </w:trPr>
        <w:tc>
          <w:tcPr>
            <w:tcW w:w="1356"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序号</w:t>
            </w: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检验项目</w:t>
            </w:r>
          </w:p>
        </w:tc>
        <w:tc>
          <w:tcPr>
            <w:tcW w:w="2354" w:type="dxa"/>
            <w:tcBorders>
              <w:tl2br w:val="nil"/>
              <w:tr2bl w:val="nil"/>
            </w:tcBorders>
            <w:shd w:val="clear" w:color="auto" w:fill="FFFFFF"/>
            <w:noWrap/>
            <w:vAlign w:val="center"/>
          </w:tcPr>
          <w:p>
            <w:pPr>
              <w:widowControl/>
              <w:jc w:val="center"/>
              <w:rPr>
                <w:rFonts w:hint="default" w:eastAsia="宋体"/>
                <w:color w:val="000000"/>
                <w:kern w:val="0"/>
                <w:szCs w:val="21"/>
                <w:lang w:val="en-US" w:eastAsia="zh-CN"/>
              </w:rPr>
            </w:pPr>
            <w:r>
              <w:rPr>
                <w:rFonts w:hint="eastAsia"/>
                <w:color w:val="000000"/>
                <w:kern w:val="0"/>
                <w:szCs w:val="21"/>
                <w:lang w:val="en-US" w:eastAsia="zh-CN"/>
              </w:rPr>
              <w:t>检验依据</w:t>
            </w:r>
          </w:p>
        </w:tc>
        <w:tc>
          <w:tcPr>
            <w:tcW w:w="3014" w:type="dxa"/>
            <w:tcBorders>
              <w:tl2br w:val="nil"/>
              <w:tr2bl w:val="nil"/>
            </w:tcBorders>
            <w:shd w:val="clear" w:color="auto" w:fill="FFFFFF"/>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9"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rFonts w:hint="eastAsia"/>
                <w:color w:val="000000"/>
                <w:kern w:val="0"/>
                <w:szCs w:val="21"/>
              </w:rPr>
              <w:t>水溶性氧化钾(</w:t>
            </w:r>
            <w:r>
              <w:rPr>
                <w:color w:val="000000"/>
                <w:kern w:val="0"/>
                <w:szCs w:val="21"/>
              </w:rPr>
              <w:t>K</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54" w:type="dxa"/>
            <w:tcBorders>
              <w:tl2br w:val="nil"/>
              <w:tr2bl w:val="nil"/>
            </w:tcBorders>
            <w:shd w:val="clear" w:color="auto" w:fill="FFFFFF"/>
            <w:noWrap/>
            <w:vAlign w:val="center"/>
          </w:tcPr>
          <w:p>
            <w:pPr>
              <w:widowControl/>
              <w:jc w:val="center"/>
              <w:rPr>
                <w:rFonts w:hint="eastAsia"/>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0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rFonts w:hint="eastAsia"/>
                <w:color w:val="000000"/>
                <w:kern w:val="0"/>
                <w:szCs w:val="21"/>
              </w:rPr>
              <w:t>硫(</w:t>
            </w:r>
            <w:r>
              <w:rPr>
                <w:color w:val="000000"/>
                <w:kern w:val="0"/>
                <w:szCs w:val="21"/>
              </w:rPr>
              <w:t>S)</w:t>
            </w:r>
            <w:r>
              <w:rPr>
                <w:rFonts w:hint="eastAsia"/>
                <w:color w:val="000000"/>
                <w:kern w:val="0"/>
                <w:szCs w:val="21"/>
              </w:rPr>
              <w:t>的质量分数</w:t>
            </w:r>
          </w:p>
        </w:tc>
        <w:tc>
          <w:tcPr>
            <w:tcW w:w="2354" w:type="dxa"/>
            <w:tcBorders>
              <w:tl2br w:val="nil"/>
              <w:tr2bl w:val="nil"/>
            </w:tcBorders>
            <w:shd w:val="clear" w:color="auto" w:fill="FFFFFF"/>
            <w:noWrap/>
            <w:vAlign w:val="center"/>
          </w:tcPr>
          <w:p>
            <w:pPr>
              <w:widowControl/>
              <w:jc w:val="center"/>
              <w:rPr>
                <w:rFonts w:hint="eastAsia"/>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3"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氯离子</w:t>
            </w:r>
            <w:r>
              <w:rPr>
                <w:rFonts w:hint="eastAsia"/>
                <w:color w:val="000000"/>
                <w:kern w:val="0"/>
                <w:szCs w:val="21"/>
              </w:rPr>
              <w:t>(</w:t>
            </w:r>
            <w:r>
              <w:rPr>
                <w:color w:val="000000"/>
                <w:kern w:val="0"/>
                <w:szCs w:val="21"/>
              </w:rPr>
              <w:t>Cl</w:t>
            </w:r>
            <w:r>
              <w:rPr>
                <w:color w:val="000000"/>
                <w:kern w:val="0"/>
                <w:szCs w:val="21"/>
                <w:vertAlign w:val="superscript"/>
              </w:rPr>
              <w:t>-</w:t>
            </w:r>
            <w:r>
              <w:rPr>
                <w:color w:val="000000"/>
                <w:kern w:val="0"/>
                <w:szCs w:val="21"/>
              </w:rPr>
              <w:t>)</w:t>
            </w:r>
            <w:r>
              <w:rPr>
                <w:rFonts w:hint="eastAsia"/>
                <w:color w:val="000000"/>
                <w:kern w:val="0"/>
                <w:szCs w:val="21"/>
              </w:rPr>
              <w:t>的质量分数</w:t>
            </w: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83"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rFonts w:hint="eastAsia"/>
                <w:color w:val="000000"/>
                <w:kern w:val="0"/>
                <w:szCs w:val="21"/>
              </w:rPr>
              <w:t>水分(</w:t>
            </w:r>
            <w:r>
              <w:rPr>
                <w:color w:val="000000"/>
                <w:kern w:val="0"/>
                <w:szCs w:val="21"/>
              </w:rPr>
              <w:t>H</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54" w:type="dxa"/>
            <w:tcBorders>
              <w:tl2br w:val="nil"/>
              <w:tr2bl w:val="nil"/>
            </w:tcBorders>
            <w:shd w:val="clear" w:color="auto" w:fill="FFFFFF"/>
            <w:noWrap/>
            <w:vAlign w:val="center"/>
          </w:tcPr>
          <w:p>
            <w:pPr>
              <w:widowControl/>
              <w:jc w:val="center"/>
              <w:rPr>
                <w:rFonts w:hint="eastAsia"/>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689"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rFonts w:hint="eastAsia"/>
                <w:color w:val="000000"/>
                <w:kern w:val="0"/>
                <w:szCs w:val="21"/>
              </w:rPr>
              <w:t>游离酸(以H</w:t>
            </w:r>
            <w:r>
              <w:rPr>
                <w:color w:val="000000"/>
                <w:kern w:val="0"/>
                <w:szCs w:val="21"/>
                <w:vertAlign w:val="subscript"/>
              </w:rPr>
              <w:t>2</w:t>
            </w:r>
            <w:r>
              <w:rPr>
                <w:color w:val="000000"/>
                <w:kern w:val="0"/>
                <w:szCs w:val="21"/>
              </w:rPr>
              <w:t>SO</w:t>
            </w:r>
            <w:r>
              <w:rPr>
                <w:color w:val="000000"/>
                <w:kern w:val="0"/>
                <w:szCs w:val="21"/>
                <w:vertAlign w:val="subscript"/>
              </w:rPr>
              <w:t>4</w:t>
            </w:r>
            <w:r>
              <w:rPr>
                <w:rFonts w:hint="eastAsia"/>
                <w:color w:val="000000"/>
                <w:kern w:val="0"/>
                <w:szCs w:val="21"/>
              </w:rPr>
              <w:t>计</w:t>
            </w:r>
            <w:r>
              <w:rPr>
                <w:color w:val="000000"/>
                <w:kern w:val="0"/>
                <w:szCs w:val="21"/>
              </w:rPr>
              <w:t>)</w:t>
            </w:r>
            <w:r>
              <w:rPr>
                <w:rFonts w:hint="eastAsia"/>
                <w:color w:val="000000"/>
                <w:kern w:val="0"/>
                <w:szCs w:val="21"/>
              </w:rPr>
              <w:t>的质量分数</w:t>
            </w:r>
          </w:p>
        </w:tc>
        <w:tc>
          <w:tcPr>
            <w:tcW w:w="2354" w:type="dxa"/>
            <w:tcBorders>
              <w:tl2br w:val="nil"/>
              <w:tr2bl w:val="nil"/>
            </w:tcBorders>
            <w:shd w:val="clear" w:color="auto" w:fill="FFFFFF"/>
            <w:noWrap/>
            <w:vAlign w:val="center"/>
          </w:tcPr>
          <w:p>
            <w:pPr>
              <w:widowControl/>
              <w:jc w:val="center"/>
              <w:rPr>
                <w:rFonts w:hint="eastAsia"/>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1028"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粒度</w:t>
            </w:r>
            <w:r>
              <w:rPr>
                <w:rFonts w:hint="eastAsia"/>
                <w:color w:val="000000"/>
                <w:kern w:val="0"/>
                <w:szCs w:val="21"/>
              </w:rPr>
              <w:t>(粒径1</w:t>
            </w:r>
            <w:r>
              <w:rPr>
                <w:color w:val="000000"/>
                <w:kern w:val="0"/>
                <w:szCs w:val="21"/>
              </w:rPr>
              <w:t>.00</w:t>
            </w:r>
            <w:r>
              <w:rPr>
                <w:rFonts w:hint="eastAsia"/>
                <w:color w:val="000000"/>
                <w:kern w:val="0"/>
                <w:szCs w:val="21"/>
              </w:rPr>
              <w:t>mm~</w:t>
            </w:r>
            <w:r>
              <w:rPr>
                <w:color w:val="000000"/>
                <w:kern w:val="0"/>
                <w:szCs w:val="21"/>
              </w:rPr>
              <w:t>4.75</w:t>
            </w:r>
            <w:r>
              <w:rPr>
                <w:rFonts w:hint="eastAsia"/>
                <w:color w:val="000000"/>
                <w:kern w:val="0"/>
                <w:szCs w:val="21"/>
              </w:rPr>
              <w:t>mm或3</w:t>
            </w:r>
            <w:r>
              <w:rPr>
                <w:color w:val="000000"/>
                <w:kern w:val="0"/>
                <w:szCs w:val="21"/>
              </w:rPr>
              <w:t>.35</w:t>
            </w:r>
            <w:r>
              <w:rPr>
                <w:rFonts w:hint="eastAsia"/>
                <w:color w:val="000000"/>
                <w:kern w:val="0"/>
                <w:szCs w:val="21"/>
              </w:rPr>
              <w:t>mm~</w:t>
            </w:r>
            <w:r>
              <w:rPr>
                <w:color w:val="000000"/>
                <w:kern w:val="0"/>
                <w:szCs w:val="21"/>
              </w:rPr>
              <w:t>5.60</w:t>
            </w:r>
            <w:r>
              <w:rPr>
                <w:rFonts w:hint="eastAsia"/>
                <w:color w:val="000000"/>
                <w:kern w:val="0"/>
                <w:szCs w:val="21"/>
              </w:rPr>
              <w:t>mm</w:t>
            </w:r>
            <w:r>
              <w:rPr>
                <w:color w:val="000000"/>
                <w:kern w:val="0"/>
                <w:szCs w:val="21"/>
              </w:rPr>
              <w:t>)</w:t>
            </w: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GB/T 20406—2017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总砷</w:t>
            </w:r>
          </w:p>
        </w:tc>
        <w:tc>
          <w:tcPr>
            <w:tcW w:w="2354" w:type="dxa"/>
            <w:tcBorders>
              <w:tl2br w:val="nil"/>
              <w:tr2bl w:val="nil"/>
            </w:tcBorders>
            <w:shd w:val="clear" w:color="auto" w:fill="FFFFFF"/>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总镉</w:t>
            </w:r>
          </w:p>
        </w:tc>
        <w:tc>
          <w:tcPr>
            <w:tcW w:w="2354" w:type="dxa"/>
            <w:tcBorders>
              <w:tl2br w:val="nil"/>
              <w:tr2bl w:val="nil"/>
            </w:tcBorders>
            <w:shd w:val="clear" w:color="auto" w:fill="FFFFFF"/>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总铅</w:t>
            </w:r>
          </w:p>
        </w:tc>
        <w:tc>
          <w:tcPr>
            <w:tcW w:w="2354" w:type="dxa"/>
            <w:tcBorders>
              <w:tl2br w:val="nil"/>
              <w:tr2bl w:val="nil"/>
            </w:tcBorders>
            <w:shd w:val="clear" w:color="auto" w:fill="FFFFFF"/>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总铬</w:t>
            </w:r>
          </w:p>
        </w:tc>
        <w:tc>
          <w:tcPr>
            <w:tcW w:w="2354" w:type="dxa"/>
            <w:tcBorders>
              <w:tl2br w:val="nil"/>
              <w:tr2bl w:val="nil"/>
            </w:tcBorders>
            <w:shd w:val="clear" w:color="auto" w:fill="FFFFFF"/>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总汞</w:t>
            </w:r>
          </w:p>
        </w:tc>
        <w:tc>
          <w:tcPr>
            <w:tcW w:w="2354" w:type="dxa"/>
            <w:tcBorders>
              <w:tl2br w:val="nil"/>
              <w:tr2bl w:val="nil"/>
            </w:tcBorders>
            <w:shd w:val="clear" w:color="auto" w:fill="FFFFFF"/>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14"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442"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总铊</w:t>
            </w:r>
          </w:p>
        </w:tc>
        <w:tc>
          <w:tcPr>
            <w:tcW w:w="2354" w:type="dxa"/>
            <w:tcBorders>
              <w:tl2br w:val="nil"/>
              <w:tr2bl w:val="nil"/>
            </w:tcBorders>
            <w:shd w:val="clear" w:color="auto" w:fill="FFFFFF"/>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GB 38400—2019</w:t>
            </w:r>
          </w:p>
        </w:tc>
        <w:tc>
          <w:tcPr>
            <w:tcW w:w="3014"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891" w:hRule="atLeast"/>
        </w:trPr>
        <w:tc>
          <w:tcPr>
            <w:tcW w:w="1356" w:type="dxa"/>
            <w:tcBorders>
              <w:tl2br w:val="nil"/>
              <w:tr2bl w:val="nil"/>
            </w:tcBorders>
            <w:shd w:val="clear" w:color="auto" w:fill="FFFFFF"/>
            <w:noWrap/>
            <w:vAlign w:val="center"/>
          </w:tcPr>
          <w:p>
            <w:pPr>
              <w:pStyle w:val="15"/>
              <w:widowControl/>
              <w:numPr>
                <w:ilvl w:val="0"/>
                <w:numId w:val="1"/>
              </w:numPr>
              <w:ind w:firstLineChars="0"/>
              <w:jc w:val="center"/>
              <w:rPr>
                <w:rFonts w:ascii="Times New Roman" w:hAnsi="Times New Roman" w:eastAsia="宋体"/>
                <w:color w:val="000000"/>
                <w:kern w:val="0"/>
                <w:szCs w:val="21"/>
              </w:rPr>
            </w:pPr>
          </w:p>
        </w:tc>
        <w:tc>
          <w:tcPr>
            <w:tcW w:w="2354" w:type="dxa"/>
            <w:tcBorders>
              <w:tl2br w:val="nil"/>
              <w:tr2bl w:val="nil"/>
            </w:tcBorders>
            <w:shd w:val="clear" w:color="auto" w:fill="FFFFFF"/>
            <w:noWrap/>
            <w:vAlign w:val="center"/>
          </w:tcPr>
          <w:p>
            <w:pPr>
              <w:widowControl/>
              <w:jc w:val="center"/>
              <w:rPr>
                <w:color w:val="000000"/>
                <w:kern w:val="0"/>
                <w:szCs w:val="21"/>
              </w:rPr>
            </w:pPr>
            <w:r>
              <w:rPr>
                <w:color w:val="000000"/>
                <w:kern w:val="0"/>
                <w:szCs w:val="21"/>
              </w:rPr>
              <w:t>包装标识（养分含量</w:t>
            </w:r>
            <w:r>
              <w:rPr>
                <w:rFonts w:hint="eastAsia"/>
                <w:color w:val="000000"/>
                <w:kern w:val="0"/>
                <w:szCs w:val="21"/>
              </w:rPr>
              <w:t>、名称中的禁用语</w:t>
            </w:r>
            <w:r>
              <w:rPr>
                <w:color w:val="000000"/>
                <w:kern w:val="0"/>
                <w:szCs w:val="21"/>
              </w:rPr>
              <w:t>）</w:t>
            </w:r>
          </w:p>
        </w:tc>
        <w:tc>
          <w:tcPr>
            <w:tcW w:w="2354" w:type="dxa"/>
            <w:tcBorders>
              <w:tl2br w:val="nil"/>
              <w:tr2bl w:val="nil"/>
            </w:tcBorders>
            <w:shd w:val="clear" w:color="auto" w:fill="FFFFFF"/>
            <w:noWrap/>
            <w:vAlign w:val="center"/>
          </w:tcPr>
          <w:p>
            <w:pPr>
              <w:widowControl/>
              <w:jc w:val="center"/>
              <w:rPr>
                <w:bCs/>
                <w:color w:val="000000"/>
                <w:szCs w:val="21"/>
              </w:rPr>
            </w:pPr>
            <w:r>
              <w:rPr>
                <w:color w:val="000000"/>
                <w:kern w:val="0"/>
                <w:szCs w:val="21"/>
              </w:rPr>
              <w:t>GB 18382—2021</w:t>
            </w:r>
          </w:p>
          <w:p>
            <w:pPr>
              <w:widowControl/>
              <w:jc w:val="center"/>
              <w:rPr>
                <w:color w:val="000000"/>
                <w:kern w:val="0"/>
                <w:szCs w:val="21"/>
              </w:rPr>
            </w:pPr>
            <w:r>
              <w:rPr>
                <w:color w:val="000000"/>
                <w:kern w:val="0"/>
                <w:szCs w:val="21"/>
              </w:rPr>
              <w:t>GB/T 20406—2017</w:t>
            </w:r>
          </w:p>
        </w:tc>
        <w:tc>
          <w:tcPr>
            <w:tcW w:w="3014" w:type="dxa"/>
            <w:tcBorders>
              <w:tl2br w:val="nil"/>
              <w:tr2bl w:val="nil"/>
            </w:tcBorders>
            <w:shd w:val="clear" w:color="auto" w:fill="FFFFFF"/>
            <w:vAlign w:val="center"/>
          </w:tcPr>
          <w:p>
            <w:pPr>
              <w:widowControl/>
              <w:jc w:val="center"/>
              <w:rPr>
                <w:bCs/>
                <w:color w:val="000000"/>
                <w:szCs w:val="21"/>
              </w:rPr>
            </w:pPr>
            <w:r>
              <w:rPr>
                <w:color w:val="000000"/>
                <w:kern w:val="0"/>
                <w:szCs w:val="21"/>
              </w:rPr>
              <w:t>GB 18382—2021</w:t>
            </w:r>
          </w:p>
          <w:p>
            <w:pPr>
              <w:jc w:val="center"/>
              <w:rPr>
                <w:color w:val="000000"/>
                <w:kern w:val="0"/>
                <w:szCs w:val="21"/>
              </w:rPr>
            </w:pPr>
            <w:r>
              <w:rPr>
                <w:color w:val="000000"/>
                <w:kern w:val="0"/>
                <w:szCs w:val="21"/>
              </w:rPr>
              <w:t>GB/T 20406—2017</w:t>
            </w:r>
          </w:p>
        </w:tc>
      </w:tr>
    </w:tbl>
    <w:p>
      <w:pPr>
        <w:snapToGrid w:val="0"/>
        <w:spacing w:line="440" w:lineRule="exact"/>
        <w:jc w:val="both"/>
        <w:rPr>
          <w:bCs/>
          <w:color w:val="000000"/>
          <w:szCs w:val="21"/>
        </w:rPr>
      </w:pPr>
    </w:p>
    <w:p>
      <w:pPr>
        <w:snapToGrid w:val="0"/>
        <w:spacing w:line="440" w:lineRule="exact"/>
        <w:jc w:val="center"/>
        <w:rPr>
          <w:bCs/>
          <w:color w:val="000000"/>
          <w:szCs w:val="21"/>
        </w:rPr>
      </w:pPr>
      <w:r>
        <w:rPr>
          <w:bCs/>
          <w:color w:val="000000"/>
          <w:szCs w:val="21"/>
        </w:rPr>
        <w:t>表</w:t>
      </w:r>
      <w:r>
        <w:rPr>
          <w:rFonts w:hint="eastAsia"/>
          <w:bCs/>
          <w:color w:val="000000"/>
          <w:szCs w:val="21"/>
        </w:rPr>
        <w:t>2</w:t>
      </w:r>
      <w:r>
        <w:rPr>
          <w:bCs/>
          <w:color w:val="000000"/>
          <w:szCs w:val="21"/>
        </w:rPr>
        <w:t xml:space="preserve"> </w:t>
      </w:r>
      <w:r>
        <w:rPr>
          <w:rFonts w:hint="eastAsia"/>
          <w:bCs/>
          <w:color w:val="000000"/>
          <w:szCs w:val="21"/>
        </w:rPr>
        <w:t>肥料级氯化钾</w:t>
      </w:r>
    </w:p>
    <w:tbl>
      <w:tblPr>
        <w:tblStyle w:val="6"/>
        <w:tblW w:w="906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
        <w:gridCol w:w="577"/>
        <w:gridCol w:w="1785"/>
        <w:gridCol w:w="2363"/>
        <w:gridCol w:w="3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312"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362"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363"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lang w:val="en-US" w:eastAsia="zh-CN"/>
              </w:rPr>
              <w:t>检验依据</w:t>
            </w:r>
          </w:p>
        </w:tc>
        <w:tc>
          <w:tcPr>
            <w:tcW w:w="3030"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氧化钾(</w:t>
            </w:r>
            <w:r>
              <w:rPr>
                <w:color w:val="000000"/>
                <w:kern w:val="0"/>
                <w:szCs w:val="21"/>
              </w:rPr>
              <w:t>K</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63"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37918—2019</w:t>
            </w:r>
          </w:p>
        </w:tc>
        <w:tc>
          <w:tcPr>
            <w:tcW w:w="3030" w:type="dxa"/>
            <w:tcBorders>
              <w:tl2br w:val="nil"/>
              <w:tr2bl w:val="nil"/>
            </w:tcBorders>
            <w:shd w:val="clear" w:color="auto" w:fill="auto"/>
            <w:vAlign w:val="center"/>
          </w:tcPr>
          <w:p>
            <w:pPr>
              <w:jc w:val="center"/>
              <w:rPr>
                <w:color w:val="000000"/>
                <w:kern w:val="0"/>
                <w:szCs w:val="21"/>
              </w:rPr>
            </w:pPr>
            <w:r>
              <w:rPr>
                <w:color w:val="000000"/>
                <w:kern w:val="0"/>
                <w:szCs w:val="21"/>
              </w:rPr>
              <w:t>GB/T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水分(</w:t>
            </w:r>
            <w:r>
              <w:rPr>
                <w:color w:val="000000"/>
                <w:kern w:val="0"/>
                <w:szCs w:val="21"/>
              </w:rPr>
              <w:t>H</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63"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37918—2019</w:t>
            </w:r>
          </w:p>
        </w:tc>
        <w:tc>
          <w:tcPr>
            <w:tcW w:w="3030" w:type="dxa"/>
            <w:tcBorders>
              <w:tl2br w:val="nil"/>
              <w:tr2bl w:val="nil"/>
            </w:tcBorders>
            <w:shd w:val="clear" w:color="auto" w:fill="auto"/>
            <w:vAlign w:val="center"/>
          </w:tcPr>
          <w:p>
            <w:pPr>
              <w:jc w:val="center"/>
              <w:rPr>
                <w:color w:val="000000"/>
                <w:kern w:val="0"/>
                <w:szCs w:val="21"/>
              </w:rPr>
            </w:pPr>
            <w:r>
              <w:rPr>
                <w:color w:val="000000"/>
                <w:kern w:val="0"/>
                <w:szCs w:val="21"/>
              </w:rPr>
              <w:t>GB/T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氯化钠(</w:t>
            </w:r>
            <w:r>
              <w:rPr>
                <w:color w:val="000000"/>
                <w:kern w:val="0"/>
                <w:szCs w:val="21"/>
              </w:rPr>
              <w:t>NaCl)</w:t>
            </w:r>
            <w:r>
              <w:rPr>
                <w:rFonts w:hint="eastAsia"/>
                <w:color w:val="000000"/>
                <w:kern w:val="0"/>
                <w:szCs w:val="21"/>
              </w:rPr>
              <w:t>的质量分数</w:t>
            </w:r>
          </w:p>
        </w:tc>
        <w:tc>
          <w:tcPr>
            <w:tcW w:w="2363"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37918—2019</w:t>
            </w:r>
          </w:p>
        </w:tc>
        <w:tc>
          <w:tcPr>
            <w:tcW w:w="3030" w:type="dxa"/>
            <w:tcBorders>
              <w:tl2br w:val="nil"/>
              <w:tr2bl w:val="nil"/>
            </w:tcBorders>
            <w:shd w:val="clear" w:color="auto" w:fill="auto"/>
            <w:vAlign w:val="center"/>
          </w:tcPr>
          <w:p>
            <w:pPr>
              <w:jc w:val="center"/>
              <w:rPr>
                <w:color w:val="000000"/>
                <w:kern w:val="0"/>
                <w:szCs w:val="21"/>
              </w:rPr>
            </w:pPr>
            <w:r>
              <w:rPr>
                <w:color w:val="000000"/>
                <w:kern w:val="0"/>
                <w:szCs w:val="21"/>
              </w:rPr>
              <w:t>GB/T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rFonts w:hint="eastAsia"/>
                <w:color w:val="000000"/>
                <w:kern w:val="0"/>
                <w:szCs w:val="21"/>
              </w:rPr>
              <w:t>水不溶物的质量分数</w:t>
            </w:r>
          </w:p>
        </w:tc>
        <w:tc>
          <w:tcPr>
            <w:tcW w:w="2363" w:type="dxa"/>
            <w:tcBorders>
              <w:tl2br w:val="nil"/>
              <w:tr2bl w:val="nil"/>
            </w:tcBorders>
            <w:shd w:val="clear" w:color="auto" w:fill="auto"/>
            <w:noWrap/>
            <w:vAlign w:val="center"/>
          </w:tcPr>
          <w:p>
            <w:pPr>
              <w:widowControl/>
              <w:jc w:val="center"/>
              <w:rPr>
                <w:color w:val="000000"/>
                <w:kern w:val="0"/>
                <w:szCs w:val="21"/>
              </w:rPr>
            </w:pPr>
            <w:r>
              <w:rPr>
                <w:color w:val="000000"/>
                <w:kern w:val="0"/>
                <w:szCs w:val="21"/>
              </w:rPr>
              <w:t>NY/T 1973—2021</w:t>
            </w:r>
          </w:p>
          <w:p>
            <w:pPr>
              <w:widowControl/>
              <w:jc w:val="center"/>
              <w:rPr>
                <w:rFonts w:hint="eastAsia"/>
                <w:color w:val="000000"/>
                <w:kern w:val="0"/>
                <w:szCs w:val="21"/>
              </w:rPr>
            </w:pPr>
            <w:r>
              <w:rPr>
                <w:color w:val="000000"/>
                <w:kern w:val="0"/>
                <w:szCs w:val="21"/>
              </w:rPr>
              <w:t>GB/T 37918—2019</w:t>
            </w:r>
          </w:p>
        </w:tc>
        <w:tc>
          <w:tcPr>
            <w:tcW w:w="3030" w:type="dxa"/>
            <w:tcBorders>
              <w:tl2br w:val="nil"/>
              <w:tr2bl w:val="nil"/>
            </w:tcBorders>
            <w:shd w:val="clear" w:color="auto" w:fill="auto"/>
            <w:vAlign w:val="center"/>
          </w:tcPr>
          <w:p>
            <w:pPr>
              <w:widowControl/>
              <w:jc w:val="center"/>
              <w:rPr>
                <w:color w:val="000000"/>
                <w:kern w:val="0"/>
                <w:szCs w:val="21"/>
              </w:rPr>
            </w:pPr>
            <w:r>
              <w:rPr>
                <w:color w:val="000000"/>
                <w:kern w:val="0"/>
                <w:szCs w:val="21"/>
              </w:rPr>
              <w:t>NY/T 1973—2021</w:t>
            </w:r>
          </w:p>
          <w:p>
            <w:pPr>
              <w:widowControl/>
              <w:jc w:val="center"/>
              <w:rPr>
                <w:color w:val="000000"/>
                <w:kern w:val="0"/>
                <w:szCs w:val="21"/>
              </w:rPr>
            </w:pPr>
            <w:r>
              <w:rPr>
                <w:color w:val="000000"/>
                <w:kern w:val="0"/>
                <w:szCs w:val="21"/>
              </w:rPr>
              <w:t>GB/T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vMerge w:val="restart"/>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577" w:type="dxa"/>
            <w:vMerge w:val="restart"/>
            <w:tcBorders>
              <w:tl2br w:val="nil"/>
              <w:tr2bl w:val="nil"/>
            </w:tcBorders>
            <w:shd w:val="clear" w:color="auto" w:fill="auto"/>
            <w:vAlign w:val="center"/>
          </w:tcPr>
          <w:p>
            <w:pPr>
              <w:widowControl/>
              <w:jc w:val="center"/>
              <w:rPr>
                <w:color w:val="000000"/>
                <w:kern w:val="0"/>
                <w:szCs w:val="21"/>
              </w:rPr>
            </w:pPr>
            <w:r>
              <w:rPr>
                <w:color w:val="000000"/>
                <w:kern w:val="0"/>
                <w:szCs w:val="21"/>
              </w:rPr>
              <w:t>粒度</w:t>
            </w:r>
          </w:p>
        </w:tc>
        <w:tc>
          <w:tcPr>
            <w:tcW w:w="1785"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1</w:t>
            </w:r>
            <w:r>
              <w:rPr>
                <w:color w:val="000000"/>
                <w:kern w:val="0"/>
                <w:szCs w:val="21"/>
              </w:rPr>
              <w:t>.00</w:t>
            </w:r>
            <w:r>
              <w:rPr>
                <w:rFonts w:hint="eastAsia"/>
                <w:color w:val="000000"/>
                <w:kern w:val="0"/>
                <w:szCs w:val="21"/>
              </w:rPr>
              <w:t>mm~</w:t>
            </w:r>
            <w:r>
              <w:rPr>
                <w:color w:val="000000"/>
                <w:kern w:val="0"/>
                <w:szCs w:val="21"/>
              </w:rPr>
              <w:t>4.75</w:t>
            </w:r>
            <w:r>
              <w:rPr>
                <w:rFonts w:hint="eastAsia"/>
                <w:color w:val="000000"/>
                <w:kern w:val="0"/>
                <w:szCs w:val="21"/>
              </w:rPr>
              <w:t>mm</w:t>
            </w:r>
          </w:p>
        </w:tc>
        <w:tc>
          <w:tcPr>
            <w:tcW w:w="2363" w:type="dxa"/>
            <w:vMerge w:val="restart"/>
            <w:tcBorders>
              <w:tl2br w:val="nil"/>
              <w:tr2bl w:val="nil"/>
            </w:tcBorders>
            <w:shd w:val="clear" w:color="auto" w:fill="auto"/>
            <w:vAlign w:val="center"/>
          </w:tcPr>
          <w:p>
            <w:pPr>
              <w:jc w:val="center"/>
              <w:rPr>
                <w:color w:val="000000"/>
                <w:kern w:val="0"/>
                <w:szCs w:val="21"/>
              </w:rPr>
            </w:pPr>
            <w:r>
              <w:rPr>
                <w:rFonts w:hint="eastAsia"/>
                <w:color w:val="000000"/>
                <w:kern w:val="0"/>
                <w:szCs w:val="21"/>
              </w:rPr>
              <w:t>G</w:t>
            </w:r>
            <w:r>
              <w:rPr>
                <w:color w:val="000000"/>
                <w:kern w:val="0"/>
                <w:szCs w:val="21"/>
              </w:rPr>
              <w:t>B/T 24891—2010</w:t>
            </w:r>
          </w:p>
          <w:p>
            <w:pPr>
              <w:widowControl/>
              <w:jc w:val="center"/>
              <w:rPr>
                <w:rFonts w:hint="eastAsia"/>
                <w:color w:val="000000"/>
                <w:kern w:val="0"/>
                <w:szCs w:val="21"/>
              </w:rPr>
            </w:pPr>
            <w:r>
              <w:rPr>
                <w:rFonts w:hint="eastAsia"/>
                <w:color w:val="000000"/>
                <w:kern w:val="0"/>
                <w:szCs w:val="21"/>
              </w:rPr>
              <w:t>G</w:t>
            </w:r>
            <w:r>
              <w:rPr>
                <w:color w:val="000000"/>
                <w:kern w:val="0"/>
                <w:szCs w:val="21"/>
              </w:rPr>
              <w:t>B/T 37918—2019</w:t>
            </w:r>
          </w:p>
        </w:tc>
        <w:tc>
          <w:tcPr>
            <w:tcW w:w="3030" w:type="dxa"/>
            <w:vMerge w:val="restart"/>
            <w:tcBorders>
              <w:tl2br w:val="nil"/>
              <w:tr2bl w:val="nil"/>
            </w:tcBorders>
            <w:shd w:val="clear" w:color="auto" w:fill="auto"/>
            <w:vAlign w:val="center"/>
          </w:tcPr>
          <w:p>
            <w:pPr>
              <w:jc w:val="center"/>
              <w:rPr>
                <w:color w:val="000000"/>
                <w:kern w:val="0"/>
                <w:szCs w:val="21"/>
              </w:rPr>
            </w:pPr>
            <w:r>
              <w:rPr>
                <w:rFonts w:hint="eastAsia"/>
                <w:color w:val="000000"/>
                <w:kern w:val="0"/>
                <w:szCs w:val="21"/>
              </w:rPr>
              <w:t>G</w:t>
            </w:r>
            <w:r>
              <w:rPr>
                <w:color w:val="000000"/>
                <w:kern w:val="0"/>
                <w:szCs w:val="21"/>
              </w:rPr>
              <w:t>B/T 24891—2010</w:t>
            </w:r>
          </w:p>
          <w:p>
            <w:pPr>
              <w:jc w:val="center"/>
              <w:rPr>
                <w:color w:val="000000"/>
                <w:kern w:val="0"/>
                <w:szCs w:val="21"/>
              </w:rPr>
            </w:pPr>
            <w:r>
              <w:rPr>
                <w:rFonts w:hint="eastAsia"/>
                <w:color w:val="000000"/>
                <w:kern w:val="0"/>
                <w:szCs w:val="21"/>
              </w:rPr>
              <w:t>G</w:t>
            </w:r>
            <w:r>
              <w:rPr>
                <w:color w:val="000000"/>
                <w:kern w:val="0"/>
                <w:szCs w:val="21"/>
              </w:rPr>
              <w:t>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vMerge w:val="continue"/>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577" w:type="dxa"/>
            <w:vMerge w:val="continue"/>
            <w:tcBorders>
              <w:tl2br w:val="nil"/>
              <w:tr2bl w:val="nil"/>
            </w:tcBorders>
            <w:shd w:val="clear" w:color="auto" w:fill="auto"/>
            <w:vAlign w:val="center"/>
          </w:tcPr>
          <w:p>
            <w:pPr>
              <w:widowControl/>
              <w:jc w:val="center"/>
              <w:rPr>
                <w:color w:val="000000"/>
                <w:kern w:val="0"/>
                <w:szCs w:val="21"/>
              </w:rPr>
            </w:pPr>
          </w:p>
        </w:tc>
        <w:tc>
          <w:tcPr>
            <w:tcW w:w="1785"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2</w:t>
            </w:r>
            <w:r>
              <w:rPr>
                <w:color w:val="000000"/>
                <w:kern w:val="0"/>
                <w:szCs w:val="21"/>
              </w:rPr>
              <w:t>.00</w:t>
            </w:r>
            <w:r>
              <w:rPr>
                <w:rFonts w:hint="eastAsia"/>
                <w:color w:val="000000"/>
                <w:kern w:val="0"/>
                <w:szCs w:val="21"/>
              </w:rPr>
              <w:t>mm~</w:t>
            </w:r>
            <w:r>
              <w:rPr>
                <w:color w:val="000000"/>
                <w:kern w:val="0"/>
                <w:szCs w:val="21"/>
              </w:rPr>
              <w:t>4.00</w:t>
            </w:r>
            <w:r>
              <w:rPr>
                <w:rFonts w:hint="eastAsia"/>
                <w:color w:val="000000"/>
                <w:kern w:val="0"/>
                <w:szCs w:val="21"/>
              </w:rPr>
              <w:t>mm</w:t>
            </w:r>
          </w:p>
        </w:tc>
        <w:tc>
          <w:tcPr>
            <w:tcW w:w="2363" w:type="dxa"/>
            <w:vMerge w:val="continue"/>
            <w:tcBorders>
              <w:tl2br w:val="nil"/>
              <w:tr2bl w:val="nil"/>
            </w:tcBorders>
            <w:shd w:val="clear" w:color="auto" w:fill="auto"/>
            <w:vAlign w:val="center"/>
          </w:tcPr>
          <w:p>
            <w:pPr>
              <w:widowControl/>
              <w:jc w:val="center"/>
              <w:rPr>
                <w:rFonts w:hint="eastAsia"/>
                <w:color w:val="000000"/>
                <w:kern w:val="0"/>
                <w:szCs w:val="21"/>
              </w:rPr>
            </w:pPr>
          </w:p>
        </w:tc>
        <w:tc>
          <w:tcPr>
            <w:tcW w:w="3030" w:type="dxa"/>
            <w:vMerge w:val="continue"/>
            <w:tcBorders>
              <w:tl2br w:val="nil"/>
              <w:tr2bl w:val="nil"/>
            </w:tcBorders>
            <w:shd w:val="clear" w:color="auto" w:fill="auto"/>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颗粒平均抗压碎力</w:t>
            </w:r>
          </w:p>
        </w:tc>
        <w:tc>
          <w:tcPr>
            <w:tcW w:w="2363"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37918—2019</w:t>
            </w:r>
          </w:p>
        </w:tc>
        <w:tc>
          <w:tcPr>
            <w:tcW w:w="3030" w:type="dxa"/>
            <w:tcBorders>
              <w:tl2br w:val="nil"/>
              <w:tr2bl w:val="nil"/>
            </w:tcBorders>
            <w:shd w:val="clear" w:color="auto" w:fill="auto"/>
            <w:vAlign w:val="center"/>
          </w:tcPr>
          <w:p>
            <w:pPr>
              <w:jc w:val="center"/>
              <w:rPr>
                <w:color w:val="000000"/>
                <w:kern w:val="0"/>
                <w:szCs w:val="21"/>
              </w:rPr>
            </w:pPr>
            <w:r>
              <w:rPr>
                <w:color w:val="000000"/>
                <w:kern w:val="0"/>
                <w:szCs w:val="21"/>
              </w:rPr>
              <w:t>GB/T 37918—2019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总砷</w:t>
            </w:r>
          </w:p>
        </w:tc>
        <w:tc>
          <w:tcPr>
            <w:tcW w:w="2363" w:type="dxa"/>
            <w:tcBorders>
              <w:tl2br w:val="nil"/>
              <w:tr2bl w:val="nil"/>
            </w:tcBorders>
            <w:shd w:val="clear" w:color="auto" w:fill="auto"/>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3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总镉</w:t>
            </w:r>
          </w:p>
        </w:tc>
        <w:tc>
          <w:tcPr>
            <w:tcW w:w="2363" w:type="dxa"/>
            <w:tcBorders>
              <w:tl2br w:val="nil"/>
              <w:tr2bl w:val="nil"/>
            </w:tcBorders>
            <w:shd w:val="clear" w:color="auto" w:fill="auto"/>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3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总铅</w:t>
            </w:r>
          </w:p>
        </w:tc>
        <w:tc>
          <w:tcPr>
            <w:tcW w:w="2363" w:type="dxa"/>
            <w:tcBorders>
              <w:tl2br w:val="nil"/>
              <w:tr2bl w:val="nil"/>
            </w:tcBorders>
            <w:shd w:val="clear" w:color="auto" w:fill="auto"/>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3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总铬</w:t>
            </w:r>
          </w:p>
        </w:tc>
        <w:tc>
          <w:tcPr>
            <w:tcW w:w="2363" w:type="dxa"/>
            <w:tcBorders>
              <w:tl2br w:val="nil"/>
              <w:tr2bl w:val="nil"/>
            </w:tcBorders>
            <w:shd w:val="clear" w:color="auto" w:fill="auto"/>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3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总汞</w:t>
            </w:r>
          </w:p>
        </w:tc>
        <w:tc>
          <w:tcPr>
            <w:tcW w:w="2363" w:type="dxa"/>
            <w:tcBorders>
              <w:tl2br w:val="nil"/>
              <w:tr2bl w:val="nil"/>
            </w:tcBorders>
            <w:shd w:val="clear" w:color="auto" w:fill="auto"/>
            <w:noWrap/>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3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noWrap/>
            <w:vAlign w:val="center"/>
          </w:tcPr>
          <w:p>
            <w:pPr>
              <w:widowControl/>
              <w:jc w:val="center"/>
              <w:rPr>
                <w:color w:val="000000"/>
                <w:kern w:val="0"/>
                <w:szCs w:val="21"/>
              </w:rPr>
            </w:pPr>
            <w:r>
              <w:rPr>
                <w:color w:val="000000"/>
                <w:kern w:val="0"/>
                <w:szCs w:val="21"/>
              </w:rPr>
              <w:t>总铊</w:t>
            </w:r>
          </w:p>
        </w:tc>
        <w:tc>
          <w:tcPr>
            <w:tcW w:w="2363" w:type="dxa"/>
            <w:tcBorders>
              <w:tl2br w:val="nil"/>
              <w:tr2bl w:val="nil"/>
            </w:tcBorders>
            <w:shd w:val="clear" w:color="auto" w:fill="auto"/>
            <w:noWrap/>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GB 38400—2019</w:t>
            </w:r>
          </w:p>
        </w:tc>
        <w:tc>
          <w:tcPr>
            <w:tcW w:w="303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1312" w:type="dxa"/>
            <w:tcBorders>
              <w:tl2br w:val="nil"/>
              <w:tr2bl w:val="nil"/>
            </w:tcBorders>
            <w:shd w:val="clear" w:color="auto" w:fill="auto"/>
            <w:vAlign w:val="center"/>
          </w:tcPr>
          <w:p>
            <w:pPr>
              <w:pStyle w:val="15"/>
              <w:widowControl/>
              <w:numPr>
                <w:ilvl w:val="0"/>
                <w:numId w:val="2"/>
              </w:numPr>
              <w:ind w:firstLineChars="0"/>
              <w:jc w:val="center"/>
              <w:rPr>
                <w:rFonts w:ascii="Times New Roman" w:hAnsi="Times New Roman" w:eastAsia="宋体"/>
                <w:color w:val="000000"/>
                <w:kern w:val="0"/>
                <w:szCs w:val="21"/>
              </w:rPr>
            </w:pPr>
          </w:p>
        </w:tc>
        <w:tc>
          <w:tcPr>
            <w:tcW w:w="2362"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包装标识（养分含量</w:t>
            </w:r>
            <w:r>
              <w:rPr>
                <w:rFonts w:hint="eastAsia"/>
                <w:color w:val="000000"/>
                <w:kern w:val="0"/>
                <w:szCs w:val="21"/>
              </w:rPr>
              <w:t>、名称中的禁用语</w:t>
            </w:r>
            <w:r>
              <w:rPr>
                <w:color w:val="000000"/>
                <w:kern w:val="0"/>
                <w:szCs w:val="21"/>
              </w:rPr>
              <w:t>）</w:t>
            </w:r>
          </w:p>
        </w:tc>
        <w:tc>
          <w:tcPr>
            <w:tcW w:w="2363" w:type="dxa"/>
            <w:tcBorders>
              <w:tl2br w:val="nil"/>
              <w:tr2bl w:val="nil"/>
            </w:tcBorders>
            <w:shd w:val="clear" w:color="auto" w:fill="auto"/>
            <w:vAlign w:val="center"/>
          </w:tcPr>
          <w:p>
            <w:pPr>
              <w:widowControl/>
              <w:jc w:val="center"/>
              <w:rPr>
                <w:bCs/>
                <w:color w:val="000000"/>
                <w:szCs w:val="21"/>
              </w:rPr>
            </w:pPr>
            <w:r>
              <w:rPr>
                <w:color w:val="000000"/>
                <w:kern w:val="0"/>
                <w:szCs w:val="21"/>
              </w:rPr>
              <w:t>GB 18382—2021</w:t>
            </w:r>
          </w:p>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37918—2019</w:t>
            </w:r>
          </w:p>
        </w:tc>
        <w:tc>
          <w:tcPr>
            <w:tcW w:w="3030" w:type="dxa"/>
            <w:tcBorders>
              <w:tl2br w:val="nil"/>
              <w:tr2bl w:val="nil"/>
            </w:tcBorders>
            <w:shd w:val="clear" w:color="auto" w:fill="auto"/>
            <w:vAlign w:val="center"/>
          </w:tcPr>
          <w:p>
            <w:pPr>
              <w:widowControl/>
              <w:jc w:val="center"/>
              <w:rPr>
                <w:bCs/>
                <w:color w:val="000000"/>
                <w:szCs w:val="21"/>
              </w:rPr>
            </w:pPr>
            <w:r>
              <w:rPr>
                <w:color w:val="000000"/>
                <w:kern w:val="0"/>
                <w:szCs w:val="21"/>
              </w:rPr>
              <w:t>GB 18382—2021</w:t>
            </w:r>
          </w:p>
          <w:p>
            <w:pPr>
              <w:jc w:val="center"/>
              <w:rPr>
                <w:color w:val="000000"/>
                <w:kern w:val="0"/>
                <w:szCs w:val="21"/>
              </w:rPr>
            </w:pPr>
            <w:r>
              <w:rPr>
                <w:color w:val="000000"/>
                <w:kern w:val="0"/>
                <w:szCs w:val="21"/>
              </w:rPr>
              <w:t>GB/T 37918—2019</w:t>
            </w:r>
          </w:p>
        </w:tc>
      </w:tr>
    </w:tbl>
    <w:p>
      <w:pPr>
        <w:adjustRightInd w:val="0"/>
        <w:snapToGrid w:val="0"/>
        <w:spacing w:line="440" w:lineRule="exact"/>
        <w:jc w:val="center"/>
        <w:rPr>
          <w:bCs/>
          <w:color w:val="000000"/>
          <w:szCs w:val="21"/>
        </w:rPr>
      </w:pPr>
    </w:p>
    <w:p>
      <w:pPr>
        <w:adjustRightInd w:val="0"/>
        <w:snapToGrid w:val="0"/>
        <w:spacing w:line="440" w:lineRule="exact"/>
        <w:jc w:val="center"/>
        <w:rPr>
          <w:bCs/>
          <w:color w:val="000000"/>
          <w:szCs w:val="21"/>
        </w:rPr>
      </w:pPr>
      <w:r>
        <w:rPr>
          <w:bCs/>
          <w:color w:val="000000"/>
          <w:szCs w:val="21"/>
        </w:rPr>
        <w:t>表</w:t>
      </w:r>
      <w:r>
        <w:rPr>
          <w:rFonts w:hint="eastAsia"/>
          <w:bCs/>
          <w:color w:val="000000"/>
          <w:szCs w:val="21"/>
        </w:rPr>
        <w:t>3</w:t>
      </w:r>
      <w:r>
        <w:rPr>
          <w:bCs/>
          <w:color w:val="000000"/>
          <w:szCs w:val="21"/>
        </w:rPr>
        <w:t xml:space="preserve"> </w:t>
      </w:r>
      <w:r>
        <w:rPr>
          <w:rFonts w:hint="eastAsia"/>
          <w:bCs/>
          <w:color w:val="000000"/>
          <w:szCs w:val="21"/>
        </w:rPr>
        <w:t>农业用硝酸钾</w:t>
      </w:r>
    </w:p>
    <w:tbl>
      <w:tblPr>
        <w:tblStyle w:val="6"/>
        <w:tblW w:w="9052"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592"/>
        <w:gridCol w:w="1755"/>
        <w:gridCol w:w="2348"/>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297" w:type="dxa"/>
            <w:tcBorders>
              <w:tl2br w:val="nil"/>
              <w:tr2bl w:val="nil"/>
            </w:tcBorders>
            <w:shd w:val="clear" w:color="auto" w:fill="auto"/>
            <w:vAlign w:val="center"/>
          </w:tcPr>
          <w:p>
            <w:pPr>
              <w:widowControl/>
              <w:jc w:val="center"/>
              <w:rPr>
                <w:color w:val="000000"/>
                <w:kern w:val="0"/>
                <w:szCs w:val="21"/>
              </w:rPr>
            </w:pPr>
            <w:r>
              <w:rPr>
                <w:color w:val="000000"/>
                <w:kern w:val="0"/>
                <w:szCs w:val="21"/>
              </w:rPr>
              <w:t>序号</w:t>
            </w: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检验项目</w:t>
            </w:r>
          </w:p>
        </w:tc>
        <w:tc>
          <w:tcPr>
            <w:tcW w:w="2348"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lang w:val="en-US" w:eastAsia="zh-CN"/>
              </w:rPr>
              <w:t>检验依据</w:t>
            </w:r>
          </w:p>
        </w:tc>
        <w:tc>
          <w:tcPr>
            <w:tcW w:w="3060" w:type="dxa"/>
            <w:tcBorders>
              <w:tl2br w:val="nil"/>
              <w:tr2bl w:val="nil"/>
            </w:tcBorders>
            <w:shd w:val="clear" w:color="auto" w:fill="auto"/>
            <w:vAlign w:val="center"/>
          </w:tcPr>
          <w:p>
            <w:pPr>
              <w:widowControl/>
              <w:jc w:val="center"/>
              <w:rPr>
                <w:color w:val="000000"/>
                <w:kern w:val="0"/>
                <w:szCs w:val="21"/>
              </w:rPr>
            </w:pPr>
            <w:r>
              <w:rPr>
                <w:color w:val="000000"/>
                <w:kern w:val="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氧化钾(</w:t>
            </w:r>
            <w:r>
              <w:rPr>
                <w:color w:val="000000"/>
                <w:kern w:val="0"/>
                <w:szCs w:val="21"/>
              </w:rPr>
              <w:t>K</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48"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20784—2018</w:t>
            </w:r>
          </w:p>
        </w:tc>
        <w:tc>
          <w:tcPr>
            <w:tcW w:w="3060" w:type="dxa"/>
            <w:tcBorders>
              <w:tl2br w:val="nil"/>
              <w:tr2bl w:val="nil"/>
            </w:tcBorders>
            <w:shd w:val="clear" w:color="auto" w:fill="auto"/>
            <w:vAlign w:val="center"/>
          </w:tcPr>
          <w:p>
            <w:pPr>
              <w:jc w:val="center"/>
              <w:rPr>
                <w:color w:val="000000"/>
                <w:kern w:val="0"/>
                <w:szCs w:val="21"/>
              </w:rPr>
            </w:pPr>
            <w:r>
              <w:rPr>
                <w:color w:val="000000"/>
                <w:kern w:val="0"/>
                <w:szCs w:val="21"/>
              </w:rPr>
              <w:t>GB/T 20784—2018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总氮(</w:t>
            </w:r>
            <w:r>
              <w:rPr>
                <w:color w:val="000000"/>
                <w:kern w:val="0"/>
                <w:szCs w:val="21"/>
              </w:rPr>
              <w:t>N)</w:t>
            </w:r>
            <w:r>
              <w:rPr>
                <w:rFonts w:hint="eastAsia"/>
                <w:color w:val="000000"/>
                <w:kern w:val="0"/>
                <w:szCs w:val="21"/>
              </w:rPr>
              <w:t>的质量分数</w:t>
            </w:r>
          </w:p>
        </w:tc>
        <w:tc>
          <w:tcPr>
            <w:tcW w:w="2348" w:type="dxa"/>
            <w:tcBorders>
              <w:tl2br w:val="nil"/>
              <w:tr2bl w:val="nil"/>
            </w:tcBorders>
            <w:shd w:val="clear" w:color="auto" w:fill="auto"/>
            <w:vAlign w:val="center"/>
          </w:tcPr>
          <w:p>
            <w:pPr>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20784—2018</w:t>
            </w:r>
          </w:p>
        </w:tc>
        <w:tc>
          <w:tcPr>
            <w:tcW w:w="3060" w:type="dxa"/>
            <w:tcBorders>
              <w:tl2br w:val="nil"/>
              <w:tr2bl w:val="nil"/>
            </w:tcBorders>
            <w:shd w:val="clear" w:color="auto" w:fill="auto"/>
            <w:vAlign w:val="center"/>
          </w:tcPr>
          <w:p>
            <w:pPr>
              <w:jc w:val="center"/>
              <w:rPr>
                <w:color w:val="000000"/>
                <w:kern w:val="0"/>
                <w:szCs w:val="21"/>
              </w:rPr>
            </w:pPr>
            <w:r>
              <w:rPr>
                <w:color w:val="000000"/>
                <w:kern w:val="0"/>
                <w:szCs w:val="21"/>
              </w:rPr>
              <w:t>GB/T 20784—2018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氯离子</w:t>
            </w:r>
            <w:r>
              <w:rPr>
                <w:rFonts w:hint="eastAsia"/>
                <w:color w:val="000000"/>
                <w:kern w:val="0"/>
                <w:szCs w:val="21"/>
              </w:rPr>
              <w:t>(</w:t>
            </w:r>
            <w:r>
              <w:rPr>
                <w:color w:val="000000"/>
                <w:kern w:val="0"/>
                <w:szCs w:val="21"/>
              </w:rPr>
              <w:t>Cl</w:t>
            </w:r>
            <w:r>
              <w:rPr>
                <w:color w:val="000000"/>
                <w:kern w:val="0"/>
                <w:szCs w:val="21"/>
                <w:vertAlign w:val="superscript"/>
              </w:rPr>
              <w:t>-</w:t>
            </w:r>
            <w:r>
              <w:rPr>
                <w:color w:val="000000"/>
                <w:kern w:val="0"/>
                <w:szCs w:val="21"/>
              </w:rPr>
              <w:t>)</w:t>
            </w:r>
            <w:r>
              <w:rPr>
                <w:rFonts w:hint="eastAsia"/>
                <w:color w:val="000000"/>
                <w:kern w:val="0"/>
                <w:szCs w:val="21"/>
              </w:rPr>
              <w:t>的质量分数</w:t>
            </w:r>
          </w:p>
        </w:tc>
        <w:tc>
          <w:tcPr>
            <w:tcW w:w="2348" w:type="dxa"/>
            <w:tcBorders>
              <w:tl2br w:val="nil"/>
              <w:tr2bl w:val="nil"/>
            </w:tcBorders>
            <w:shd w:val="clear" w:color="auto" w:fill="auto"/>
            <w:vAlign w:val="center"/>
          </w:tcPr>
          <w:p>
            <w:pPr>
              <w:widowControl/>
              <w:jc w:val="center"/>
              <w:rPr>
                <w:color w:val="000000"/>
                <w:kern w:val="0"/>
                <w:szCs w:val="21"/>
              </w:rPr>
            </w:pPr>
            <w:r>
              <w:rPr>
                <w:color w:val="000000"/>
                <w:kern w:val="0"/>
                <w:szCs w:val="21"/>
              </w:rPr>
              <w:t>GB/T 24890—2010</w:t>
            </w:r>
          </w:p>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20784—2018</w:t>
            </w:r>
          </w:p>
        </w:tc>
        <w:tc>
          <w:tcPr>
            <w:tcW w:w="3060" w:type="dxa"/>
            <w:tcBorders>
              <w:tl2br w:val="nil"/>
              <w:tr2bl w:val="nil"/>
            </w:tcBorders>
            <w:shd w:val="clear" w:color="auto" w:fill="auto"/>
            <w:vAlign w:val="center"/>
          </w:tcPr>
          <w:p>
            <w:pPr>
              <w:widowControl/>
              <w:jc w:val="center"/>
              <w:rPr>
                <w:color w:val="000000"/>
                <w:kern w:val="0"/>
                <w:szCs w:val="21"/>
              </w:rPr>
            </w:pPr>
            <w:r>
              <w:rPr>
                <w:color w:val="000000"/>
                <w:kern w:val="0"/>
                <w:szCs w:val="21"/>
              </w:rPr>
              <w:t>GB/T 24890—2010</w:t>
            </w:r>
          </w:p>
          <w:p>
            <w:pPr>
              <w:jc w:val="center"/>
              <w:rPr>
                <w:color w:val="000000"/>
                <w:kern w:val="0"/>
                <w:szCs w:val="21"/>
              </w:rPr>
            </w:pPr>
            <w:r>
              <w:rPr>
                <w:color w:val="000000"/>
                <w:kern w:val="0"/>
                <w:szCs w:val="21"/>
              </w:rPr>
              <w:t>GB/T 20784—2018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水分(</w:t>
            </w:r>
            <w:r>
              <w:rPr>
                <w:color w:val="000000"/>
                <w:kern w:val="0"/>
                <w:szCs w:val="21"/>
              </w:rPr>
              <w:t>H</w:t>
            </w:r>
            <w:r>
              <w:rPr>
                <w:color w:val="000000"/>
                <w:kern w:val="0"/>
                <w:szCs w:val="21"/>
                <w:vertAlign w:val="subscript"/>
              </w:rPr>
              <w:t>2</w:t>
            </w:r>
            <w:r>
              <w:rPr>
                <w:color w:val="000000"/>
                <w:kern w:val="0"/>
                <w:szCs w:val="21"/>
              </w:rPr>
              <w:t>O)</w:t>
            </w:r>
            <w:r>
              <w:rPr>
                <w:rFonts w:hint="eastAsia"/>
                <w:color w:val="000000"/>
                <w:kern w:val="0"/>
                <w:szCs w:val="21"/>
              </w:rPr>
              <w:t>的质量分数</w:t>
            </w:r>
          </w:p>
        </w:tc>
        <w:tc>
          <w:tcPr>
            <w:tcW w:w="2348" w:type="dxa"/>
            <w:tcBorders>
              <w:tl2br w:val="nil"/>
              <w:tr2bl w:val="nil"/>
            </w:tcBorders>
            <w:shd w:val="clear" w:color="auto" w:fill="auto"/>
            <w:vAlign w:val="center"/>
          </w:tcPr>
          <w:p>
            <w:pPr>
              <w:widowControl/>
              <w:jc w:val="center"/>
              <w:rPr>
                <w:rFonts w:hint="eastAsia" w:ascii="Times New Roman" w:hAnsi="Times New Roman" w:eastAsia="宋体" w:cs="Times New Roman"/>
                <w:color w:val="000000"/>
                <w:kern w:val="0"/>
                <w:sz w:val="21"/>
                <w:szCs w:val="21"/>
                <w:lang w:val="en-US" w:eastAsia="zh-CN" w:bidi="ar-SA"/>
              </w:rPr>
            </w:pPr>
            <w:r>
              <w:rPr>
                <w:color w:val="000000"/>
                <w:kern w:val="0"/>
                <w:szCs w:val="21"/>
              </w:rPr>
              <w:t>GB/T 20784—2018</w:t>
            </w:r>
          </w:p>
        </w:tc>
        <w:tc>
          <w:tcPr>
            <w:tcW w:w="3060" w:type="dxa"/>
            <w:tcBorders>
              <w:tl2br w:val="nil"/>
              <w:tr2bl w:val="nil"/>
            </w:tcBorders>
            <w:shd w:val="clear" w:color="auto" w:fill="auto"/>
            <w:vAlign w:val="center"/>
          </w:tcPr>
          <w:p>
            <w:pPr>
              <w:widowControl/>
              <w:jc w:val="center"/>
              <w:rPr>
                <w:color w:val="000000"/>
                <w:kern w:val="0"/>
                <w:szCs w:val="21"/>
              </w:rPr>
            </w:pPr>
            <w:r>
              <w:rPr>
                <w:color w:val="000000"/>
                <w:kern w:val="0"/>
                <w:szCs w:val="21"/>
              </w:rPr>
              <w:t>GB/T 20784—2018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水不溶物的质量分数</w:t>
            </w:r>
          </w:p>
        </w:tc>
        <w:tc>
          <w:tcPr>
            <w:tcW w:w="2348" w:type="dxa"/>
            <w:tcBorders>
              <w:tl2br w:val="nil"/>
              <w:tr2bl w:val="nil"/>
            </w:tcBorders>
            <w:shd w:val="clear" w:color="auto" w:fill="auto"/>
            <w:vAlign w:val="center"/>
          </w:tcPr>
          <w:p>
            <w:pPr>
              <w:widowControl/>
              <w:jc w:val="center"/>
              <w:rPr>
                <w:rFonts w:hint="eastAsia"/>
                <w:color w:val="000000"/>
                <w:kern w:val="0"/>
                <w:szCs w:val="21"/>
              </w:rPr>
            </w:pPr>
            <w:r>
              <w:rPr>
                <w:color w:val="000000"/>
                <w:kern w:val="0"/>
                <w:szCs w:val="21"/>
              </w:rPr>
              <w:t>GB/T 20784—2018</w:t>
            </w:r>
          </w:p>
        </w:tc>
        <w:tc>
          <w:tcPr>
            <w:tcW w:w="3060"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G</w:t>
            </w:r>
            <w:r>
              <w:rPr>
                <w:color w:val="000000"/>
                <w:kern w:val="0"/>
                <w:szCs w:val="21"/>
              </w:rPr>
              <w:t>B/T 1918—2011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restart"/>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592" w:type="dxa"/>
            <w:vMerge w:val="restart"/>
            <w:tcBorders>
              <w:tl2br w:val="nil"/>
              <w:tr2bl w:val="nil"/>
            </w:tcBorders>
            <w:shd w:val="clear" w:color="auto" w:fill="auto"/>
            <w:vAlign w:val="center"/>
          </w:tcPr>
          <w:p>
            <w:pPr>
              <w:widowControl/>
              <w:jc w:val="center"/>
              <w:rPr>
                <w:color w:val="000000"/>
                <w:kern w:val="0"/>
                <w:szCs w:val="21"/>
              </w:rPr>
            </w:pPr>
            <w:r>
              <w:rPr>
                <w:color w:val="000000"/>
                <w:kern w:val="0"/>
                <w:szCs w:val="21"/>
              </w:rPr>
              <w:t>粒度</w:t>
            </w:r>
          </w:p>
        </w:tc>
        <w:tc>
          <w:tcPr>
            <w:tcW w:w="1755"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1</w:t>
            </w:r>
            <w:r>
              <w:rPr>
                <w:color w:val="000000"/>
                <w:kern w:val="0"/>
                <w:szCs w:val="21"/>
              </w:rPr>
              <w:t>.00</w:t>
            </w:r>
            <w:r>
              <w:rPr>
                <w:rFonts w:hint="eastAsia"/>
                <w:color w:val="000000"/>
                <w:kern w:val="0"/>
                <w:szCs w:val="21"/>
              </w:rPr>
              <w:t>mm~</w:t>
            </w:r>
            <w:r>
              <w:rPr>
                <w:color w:val="000000"/>
                <w:kern w:val="0"/>
                <w:szCs w:val="21"/>
              </w:rPr>
              <w:t>4.75</w:t>
            </w:r>
            <w:r>
              <w:rPr>
                <w:rFonts w:hint="eastAsia"/>
                <w:color w:val="000000"/>
                <w:kern w:val="0"/>
                <w:szCs w:val="21"/>
              </w:rPr>
              <w:t>mm</w:t>
            </w:r>
          </w:p>
        </w:tc>
        <w:tc>
          <w:tcPr>
            <w:tcW w:w="2348" w:type="dxa"/>
            <w:vMerge w:val="restart"/>
            <w:tcBorders>
              <w:tl2br w:val="nil"/>
              <w:tr2bl w:val="nil"/>
            </w:tcBorders>
            <w:shd w:val="clear" w:color="auto" w:fill="auto"/>
            <w:vAlign w:val="center"/>
          </w:tcPr>
          <w:p>
            <w:pPr>
              <w:jc w:val="center"/>
              <w:rPr>
                <w:color w:val="000000"/>
                <w:kern w:val="0"/>
                <w:szCs w:val="21"/>
              </w:rPr>
            </w:pPr>
            <w:r>
              <w:rPr>
                <w:rFonts w:hint="eastAsia"/>
                <w:color w:val="000000"/>
                <w:kern w:val="0"/>
                <w:szCs w:val="21"/>
              </w:rPr>
              <w:t>G</w:t>
            </w:r>
            <w:r>
              <w:rPr>
                <w:color w:val="000000"/>
                <w:kern w:val="0"/>
                <w:szCs w:val="21"/>
              </w:rPr>
              <w:t>B/T 24891—2010</w:t>
            </w:r>
          </w:p>
          <w:p>
            <w:pPr>
              <w:widowControl/>
              <w:jc w:val="center"/>
              <w:rPr>
                <w:rFonts w:hint="eastAsia"/>
                <w:color w:val="000000"/>
                <w:kern w:val="0"/>
                <w:szCs w:val="21"/>
              </w:rPr>
            </w:pPr>
            <w:r>
              <w:rPr>
                <w:color w:val="000000"/>
                <w:kern w:val="0"/>
                <w:szCs w:val="21"/>
              </w:rPr>
              <w:t>GB/T 20784—2018</w:t>
            </w:r>
          </w:p>
        </w:tc>
        <w:tc>
          <w:tcPr>
            <w:tcW w:w="3060" w:type="dxa"/>
            <w:vMerge w:val="restart"/>
            <w:tcBorders>
              <w:tl2br w:val="nil"/>
              <w:tr2bl w:val="nil"/>
            </w:tcBorders>
            <w:shd w:val="clear" w:color="auto" w:fill="auto"/>
            <w:vAlign w:val="center"/>
          </w:tcPr>
          <w:p>
            <w:pPr>
              <w:jc w:val="center"/>
              <w:rPr>
                <w:color w:val="000000"/>
                <w:kern w:val="0"/>
                <w:szCs w:val="21"/>
              </w:rPr>
            </w:pPr>
            <w:r>
              <w:rPr>
                <w:rFonts w:hint="eastAsia"/>
                <w:color w:val="000000"/>
                <w:kern w:val="0"/>
                <w:szCs w:val="21"/>
              </w:rPr>
              <w:t>G</w:t>
            </w:r>
            <w:r>
              <w:rPr>
                <w:color w:val="000000"/>
                <w:kern w:val="0"/>
                <w:szCs w:val="21"/>
              </w:rPr>
              <w:t>B/T 24891—2010</w:t>
            </w:r>
          </w:p>
          <w:p>
            <w:pPr>
              <w:widowControl/>
              <w:jc w:val="center"/>
              <w:rPr>
                <w:color w:val="000000"/>
                <w:kern w:val="0"/>
                <w:szCs w:val="21"/>
              </w:rPr>
            </w:pPr>
            <w:r>
              <w:rPr>
                <w:color w:val="000000"/>
                <w:kern w:val="0"/>
                <w:szCs w:val="21"/>
              </w:rPr>
              <w:t>GB/T 20784—2018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vMerge w:val="continue"/>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592" w:type="dxa"/>
            <w:vMerge w:val="continue"/>
            <w:tcBorders>
              <w:tl2br w:val="nil"/>
              <w:tr2bl w:val="nil"/>
            </w:tcBorders>
            <w:shd w:val="clear" w:color="auto" w:fill="auto"/>
            <w:vAlign w:val="center"/>
          </w:tcPr>
          <w:p>
            <w:pPr>
              <w:widowControl/>
              <w:jc w:val="center"/>
              <w:rPr>
                <w:color w:val="000000"/>
                <w:kern w:val="0"/>
                <w:szCs w:val="21"/>
              </w:rPr>
            </w:pPr>
          </w:p>
        </w:tc>
        <w:tc>
          <w:tcPr>
            <w:tcW w:w="1755" w:type="dxa"/>
            <w:tcBorders>
              <w:tl2br w:val="nil"/>
              <w:tr2bl w:val="nil"/>
            </w:tcBorders>
            <w:shd w:val="clear" w:color="auto" w:fill="auto"/>
            <w:vAlign w:val="center"/>
          </w:tcPr>
          <w:p>
            <w:pPr>
              <w:widowControl/>
              <w:jc w:val="center"/>
              <w:rPr>
                <w:color w:val="000000"/>
                <w:kern w:val="0"/>
                <w:szCs w:val="21"/>
              </w:rPr>
            </w:pPr>
            <w:r>
              <w:rPr>
                <w:rFonts w:hint="eastAsia"/>
                <w:color w:val="000000"/>
                <w:kern w:val="0"/>
                <w:szCs w:val="21"/>
              </w:rPr>
              <w:t>1</w:t>
            </w:r>
            <w:r>
              <w:rPr>
                <w:color w:val="000000"/>
                <w:kern w:val="0"/>
                <w:szCs w:val="21"/>
              </w:rPr>
              <w:t>.00</w:t>
            </w:r>
            <w:r>
              <w:rPr>
                <w:rFonts w:hint="eastAsia"/>
                <w:color w:val="000000"/>
                <w:kern w:val="0"/>
                <w:szCs w:val="21"/>
              </w:rPr>
              <w:t>mm以下</w:t>
            </w:r>
          </w:p>
        </w:tc>
        <w:tc>
          <w:tcPr>
            <w:tcW w:w="2348" w:type="dxa"/>
            <w:vMerge w:val="continue"/>
            <w:tcBorders>
              <w:tl2br w:val="nil"/>
              <w:tr2bl w:val="nil"/>
            </w:tcBorders>
            <w:shd w:val="clear" w:color="auto" w:fill="auto"/>
            <w:vAlign w:val="center"/>
          </w:tcPr>
          <w:p>
            <w:pPr>
              <w:widowControl/>
              <w:jc w:val="center"/>
              <w:rPr>
                <w:rFonts w:hint="eastAsia"/>
                <w:color w:val="000000"/>
                <w:kern w:val="0"/>
                <w:szCs w:val="21"/>
              </w:rPr>
            </w:pPr>
          </w:p>
        </w:tc>
        <w:tc>
          <w:tcPr>
            <w:tcW w:w="3060" w:type="dxa"/>
            <w:vMerge w:val="continue"/>
            <w:tcBorders>
              <w:tl2br w:val="nil"/>
              <w:tr2bl w:val="nil"/>
            </w:tcBorders>
            <w:shd w:val="clear" w:color="auto" w:fill="auto"/>
            <w:vAlign w:val="center"/>
          </w:tcPr>
          <w:p>
            <w:pPr>
              <w:widowControl/>
              <w:jc w:val="center"/>
              <w:rPr>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总砷</w:t>
            </w:r>
          </w:p>
        </w:tc>
        <w:tc>
          <w:tcPr>
            <w:tcW w:w="2348" w:type="dxa"/>
            <w:tcBorders>
              <w:tl2br w:val="nil"/>
              <w:tr2bl w:val="nil"/>
            </w:tcBorders>
            <w:shd w:val="clear" w:color="auto" w:fill="auto"/>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6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总镉</w:t>
            </w:r>
          </w:p>
        </w:tc>
        <w:tc>
          <w:tcPr>
            <w:tcW w:w="2348" w:type="dxa"/>
            <w:tcBorders>
              <w:tl2br w:val="nil"/>
              <w:tr2bl w:val="nil"/>
            </w:tcBorders>
            <w:shd w:val="clear" w:color="auto" w:fill="auto"/>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6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总铅</w:t>
            </w:r>
          </w:p>
        </w:tc>
        <w:tc>
          <w:tcPr>
            <w:tcW w:w="2348" w:type="dxa"/>
            <w:tcBorders>
              <w:tl2br w:val="nil"/>
              <w:tr2bl w:val="nil"/>
            </w:tcBorders>
            <w:shd w:val="clear" w:color="auto" w:fill="auto"/>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6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总铬</w:t>
            </w:r>
          </w:p>
        </w:tc>
        <w:tc>
          <w:tcPr>
            <w:tcW w:w="2348" w:type="dxa"/>
            <w:tcBorders>
              <w:tl2br w:val="nil"/>
              <w:tr2bl w:val="nil"/>
            </w:tcBorders>
            <w:shd w:val="clear" w:color="auto" w:fill="auto"/>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6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总汞</w:t>
            </w:r>
          </w:p>
        </w:tc>
        <w:tc>
          <w:tcPr>
            <w:tcW w:w="2348" w:type="dxa"/>
            <w:tcBorders>
              <w:tl2br w:val="nil"/>
              <w:tr2bl w:val="nil"/>
            </w:tcBorders>
            <w:shd w:val="clear" w:color="auto" w:fill="auto"/>
            <w:vAlign w:val="center"/>
          </w:tcPr>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23349—2020</w:t>
            </w:r>
          </w:p>
        </w:tc>
        <w:tc>
          <w:tcPr>
            <w:tcW w:w="3060" w:type="dxa"/>
            <w:tcBorders>
              <w:tl2br w:val="nil"/>
              <w:tr2bl w:val="nil"/>
            </w:tcBorders>
            <w:shd w:val="clear" w:color="auto" w:fill="FFFFFF"/>
            <w:vAlign w:val="center"/>
          </w:tcPr>
          <w:p>
            <w:pPr>
              <w:jc w:val="center"/>
              <w:rPr>
                <w:color w:val="000000"/>
                <w:kern w:val="0"/>
                <w:szCs w:val="21"/>
              </w:rPr>
            </w:pPr>
            <w:r>
              <w:rPr>
                <w:color w:val="000000"/>
                <w:kern w:val="0"/>
                <w:szCs w:val="21"/>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总铊</w:t>
            </w:r>
          </w:p>
        </w:tc>
        <w:tc>
          <w:tcPr>
            <w:tcW w:w="2348" w:type="dxa"/>
            <w:tcBorders>
              <w:tl2br w:val="nil"/>
              <w:tr2bl w:val="nil"/>
            </w:tcBorders>
            <w:shd w:val="clear" w:color="auto" w:fill="auto"/>
            <w:vAlign w:val="center"/>
          </w:tcPr>
          <w:p>
            <w:pPr>
              <w:widowControl/>
              <w:jc w:val="center"/>
              <w:rPr>
                <w:rFonts w:ascii="Times New Roman" w:hAnsi="Times New Roman" w:eastAsia="宋体" w:cs="Times New Roman"/>
                <w:color w:val="000000"/>
                <w:kern w:val="0"/>
                <w:sz w:val="21"/>
                <w:szCs w:val="21"/>
                <w:lang w:val="en-US" w:eastAsia="zh-CN" w:bidi="ar-SA"/>
              </w:rPr>
            </w:pPr>
            <w:r>
              <w:rPr>
                <w:color w:val="000000"/>
                <w:kern w:val="0"/>
                <w:szCs w:val="21"/>
              </w:rPr>
              <w:t>GB 38400—2019</w:t>
            </w:r>
          </w:p>
        </w:tc>
        <w:tc>
          <w:tcPr>
            <w:tcW w:w="3060" w:type="dxa"/>
            <w:tcBorders>
              <w:tl2br w:val="nil"/>
              <w:tr2bl w:val="nil"/>
            </w:tcBorders>
            <w:shd w:val="clear" w:color="auto" w:fill="FFFFFF"/>
            <w:vAlign w:val="center"/>
          </w:tcPr>
          <w:p>
            <w:pPr>
              <w:widowControl/>
              <w:jc w:val="center"/>
              <w:rPr>
                <w:color w:val="000000"/>
                <w:kern w:val="0"/>
                <w:szCs w:val="21"/>
              </w:rPr>
            </w:pPr>
            <w:r>
              <w:rPr>
                <w:color w:val="000000"/>
                <w:kern w:val="0"/>
                <w:szCs w:val="21"/>
              </w:rPr>
              <w:t>GB 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297" w:type="dxa"/>
            <w:tcBorders>
              <w:tl2br w:val="nil"/>
              <w:tr2bl w:val="nil"/>
            </w:tcBorders>
            <w:shd w:val="clear" w:color="auto" w:fill="auto"/>
            <w:vAlign w:val="center"/>
          </w:tcPr>
          <w:p>
            <w:pPr>
              <w:pStyle w:val="15"/>
              <w:widowControl/>
              <w:numPr>
                <w:ilvl w:val="0"/>
                <w:numId w:val="3"/>
              </w:numPr>
              <w:ind w:firstLineChars="0"/>
              <w:jc w:val="center"/>
              <w:rPr>
                <w:rFonts w:ascii="Times New Roman" w:hAnsi="Times New Roman" w:eastAsia="宋体"/>
                <w:color w:val="000000"/>
                <w:kern w:val="0"/>
                <w:szCs w:val="21"/>
              </w:rPr>
            </w:pPr>
          </w:p>
        </w:tc>
        <w:tc>
          <w:tcPr>
            <w:tcW w:w="2347" w:type="dxa"/>
            <w:gridSpan w:val="2"/>
            <w:tcBorders>
              <w:tl2br w:val="nil"/>
              <w:tr2bl w:val="nil"/>
            </w:tcBorders>
            <w:shd w:val="clear" w:color="auto" w:fill="auto"/>
            <w:vAlign w:val="center"/>
          </w:tcPr>
          <w:p>
            <w:pPr>
              <w:widowControl/>
              <w:jc w:val="center"/>
              <w:rPr>
                <w:color w:val="000000"/>
                <w:kern w:val="0"/>
                <w:szCs w:val="21"/>
              </w:rPr>
            </w:pPr>
            <w:r>
              <w:rPr>
                <w:color w:val="000000"/>
                <w:kern w:val="0"/>
                <w:szCs w:val="21"/>
              </w:rPr>
              <w:t>包装标识（养分含量</w:t>
            </w:r>
            <w:r>
              <w:rPr>
                <w:rFonts w:hint="eastAsia"/>
                <w:color w:val="000000"/>
                <w:kern w:val="0"/>
                <w:szCs w:val="21"/>
              </w:rPr>
              <w:t>、名称中的禁用语</w:t>
            </w:r>
            <w:r>
              <w:rPr>
                <w:color w:val="000000"/>
                <w:kern w:val="0"/>
                <w:szCs w:val="21"/>
              </w:rPr>
              <w:t>）</w:t>
            </w:r>
          </w:p>
        </w:tc>
        <w:tc>
          <w:tcPr>
            <w:tcW w:w="2348" w:type="dxa"/>
            <w:tcBorders>
              <w:tl2br w:val="nil"/>
              <w:tr2bl w:val="nil"/>
            </w:tcBorders>
            <w:shd w:val="clear" w:color="auto" w:fill="auto"/>
            <w:vAlign w:val="center"/>
          </w:tcPr>
          <w:p>
            <w:pPr>
              <w:widowControl/>
              <w:jc w:val="center"/>
              <w:rPr>
                <w:bCs/>
                <w:color w:val="000000"/>
                <w:szCs w:val="21"/>
              </w:rPr>
            </w:pPr>
            <w:r>
              <w:rPr>
                <w:color w:val="000000"/>
                <w:kern w:val="0"/>
                <w:szCs w:val="21"/>
              </w:rPr>
              <w:t>GB 18382—2021</w:t>
            </w:r>
          </w:p>
          <w:p>
            <w:pPr>
              <w:jc w:val="center"/>
              <w:rPr>
                <w:rFonts w:ascii="Times New Roman" w:hAnsi="Times New Roman" w:eastAsia="宋体" w:cs="Times New Roman"/>
                <w:color w:val="000000"/>
                <w:kern w:val="0"/>
                <w:sz w:val="21"/>
                <w:szCs w:val="21"/>
                <w:lang w:val="en-US" w:eastAsia="zh-CN" w:bidi="ar-SA"/>
              </w:rPr>
            </w:pPr>
            <w:r>
              <w:rPr>
                <w:color w:val="000000"/>
                <w:kern w:val="0"/>
                <w:szCs w:val="21"/>
              </w:rPr>
              <w:t>GB/T 20784—2018</w:t>
            </w:r>
          </w:p>
        </w:tc>
        <w:tc>
          <w:tcPr>
            <w:tcW w:w="3060" w:type="dxa"/>
            <w:tcBorders>
              <w:tl2br w:val="nil"/>
              <w:tr2bl w:val="nil"/>
            </w:tcBorders>
            <w:shd w:val="clear" w:color="auto" w:fill="auto"/>
            <w:vAlign w:val="center"/>
          </w:tcPr>
          <w:p>
            <w:pPr>
              <w:widowControl/>
              <w:jc w:val="center"/>
              <w:rPr>
                <w:bCs/>
                <w:color w:val="000000"/>
                <w:szCs w:val="21"/>
              </w:rPr>
            </w:pPr>
            <w:r>
              <w:rPr>
                <w:color w:val="000000"/>
                <w:kern w:val="0"/>
                <w:szCs w:val="21"/>
              </w:rPr>
              <w:t>GB 18382—2021</w:t>
            </w:r>
          </w:p>
          <w:p>
            <w:pPr>
              <w:jc w:val="center"/>
              <w:rPr>
                <w:color w:val="000000"/>
                <w:kern w:val="0"/>
                <w:szCs w:val="21"/>
              </w:rPr>
            </w:pPr>
            <w:r>
              <w:rPr>
                <w:color w:val="000000"/>
                <w:kern w:val="0"/>
                <w:szCs w:val="21"/>
              </w:rPr>
              <w:t>GB/T 20784—2018</w:t>
            </w:r>
          </w:p>
        </w:tc>
      </w:tr>
    </w:tbl>
    <w:p>
      <w:pPr>
        <w:adjustRightInd w:val="0"/>
        <w:snapToGrid w:val="0"/>
        <w:spacing w:line="440" w:lineRule="exact"/>
        <w:ind w:firstLine="420" w:firstLineChars="200"/>
        <w:rPr>
          <w:color w:val="000000"/>
          <w:szCs w:val="21"/>
        </w:rPr>
      </w:pPr>
      <w:r>
        <w:rPr>
          <w:rFonts w:hint="eastAsia"/>
          <w:color w:val="000000"/>
          <w:szCs w:val="21"/>
        </w:rPr>
        <w:t>执行企业标准、团体标准、地方标准的产品，检验项目参照上述内容执行。</w:t>
      </w:r>
    </w:p>
    <w:p>
      <w:pPr>
        <w:spacing w:line="360" w:lineRule="auto"/>
        <w:rPr>
          <w:rFonts w:eastAsia="黑体"/>
          <w:color w:val="000000"/>
          <w:szCs w:val="21"/>
        </w:rPr>
      </w:pPr>
      <w:r>
        <w:rPr>
          <w:rFonts w:eastAsia="黑体"/>
          <w:color w:val="000000"/>
          <w:szCs w:val="21"/>
        </w:rPr>
        <w:t>3 判定规则</w:t>
      </w:r>
    </w:p>
    <w:p>
      <w:pPr>
        <w:snapToGrid w:val="0"/>
        <w:spacing w:line="440" w:lineRule="exact"/>
        <w:rPr>
          <w:color w:val="000000"/>
          <w:szCs w:val="21"/>
        </w:rPr>
      </w:pPr>
      <w:r>
        <w:rPr>
          <w:color w:val="000000"/>
          <w:szCs w:val="21"/>
        </w:rPr>
        <w:t>3.1依据标准</w:t>
      </w:r>
    </w:p>
    <w:p>
      <w:pPr>
        <w:spacing w:line="440" w:lineRule="exact"/>
        <w:ind w:firstLine="420" w:firstLineChars="200"/>
        <w:rPr>
          <w:bCs/>
          <w:color w:val="auto"/>
          <w:szCs w:val="21"/>
        </w:rPr>
      </w:pPr>
      <w:r>
        <w:rPr>
          <w:rFonts w:hint="eastAsia"/>
          <w:bCs/>
          <w:color w:val="auto"/>
          <w:szCs w:val="21"/>
        </w:rPr>
        <w:t>GB 18382</w:t>
      </w:r>
      <w:r>
        <w:rPr>
          <w:color w:val="auto"/>
          <w:kern w:val="0"/>
          <w:szCs w:val="21"/>
        </w:rPr>
        <w:t>—</w:t>
      </w:r>
      <w:r>
        <w:rPr>
          <w:rFonts w:hint="eastAsia"/>
          <w:bCs/>
          <w:color w:val="auto"/>
          <w:szCs w:val="21"/>
        </w:rPr>
        <w:t>20</w:t>
      </w:r>
      <w:r>
        <w:rPr>
          <w:bCs/>
          <w:color w:val="auto"/>
          <w:szCs w:val="21"/>
        </w:rPr>
        <w:t>2</w:t>
      </w:r>
      <w:r>
        <w:rPr>
          <w:rFonts w:hint="eastAsia"/>
          <w:bCs/>
          <w:color w:val="auto"/>
          <w:szCs w:val="21"/>
        </w:rPr>
        <w:t>1 肥料标识 内容和要求</w:t>
      </w:r>
    </w:p>
    <w:p>
      <w:pPr>
        <w:spacing w:line="440" w:lineRule="exact"/>
        <w:ind w:firstLine="420" w:firstLineChars="200"/>
        <w:rPr>
          <w:bCs/>
          <w:color w:val="000000"/>
          <w:szCs w:val="21"/>
        </w:rPr>
      </w:pPr>
      <w:r>
        <w:rPr>
          <w:rFonts w:hint="eastAsia"/>
          <w:bCs/>
          <w:color w:val="000000"/>
          <w:szCs w:val="21"/>
        </w:rPr>
        <w:t>G</w:t>
      </w:r>
      <w:r>
        <w:rPr>
          <w:bCs/>
          <w:color w:val="000000"/>
          <w:szCs w:val="21"/>
        </w:rPr>
        <w:t xml:space="preserve">B </w:t>
      </w:r>
      <w:r>
        <w:rPr>
          <w:rFonts w:hint="eastAsia"/>
          <w:bCs/>
          <w:color w:val="000000"/>
          <w:szCs w:val="21"/>
        </w:rPr>
        <w:t>38400</w:t>
      </w:r>
      <w:r>
        <w:rPr>
          <w:color w:val="000000"/>
          <w:kern w:val="0"/>
          <w:szCs w:val="21"/>
        </w:rPr>
        <w:t>—</w:t>
      </w:r>
      <w:r>
        <w:rPr>
          <w:rFonts w:hint="eastAsia"/>
          <w:bCs/>
          <w:color w:val="000000"/>
          <w:szCs w:val="21"/>
        </w:rPr>
        <w:t>2019</w:t>
      </w:r>
      <w:r>
        <w:rPr>
          <w:bCs/>
          <w:color w:val="000000"/>
          <w:szCs w:val="21"/>
        </w:rPr>
        <w:t xml:space="preserve"> </w:t>
      </w:r>
      <w:r>
        <w:rPr>
          <w:rFonts w:hint="eastAsia"/>
          <w:bCs/>
          <w:color w:val="000000"/>
          <w:szCs w:val="21"/>
        </w:rPr>
        <w:t>肥料中有毒有害物质的限量要求</w:t>
      </w:r>
    </w:p>
    <w:p>
      <w:pPr>
        <w:spacing w:line="440" w:lineRule="exact"/>
        <w:ind w:firstLine="420" w:firstLineChars="200"/>
        <w:rPr>
          <w:bCs/>
          <w:color w:val="000000"/>
          <w:szCs w:val="21"/>
        </w:rPr>
      </w:pPr>
      <w:r>
        <w:rPr>
          <w:rFonts w:hint="eastAsia"/>
          <w:bCs/>
          <w:color w:val="000000"/>
          <w:szCs w:val="21"/>
        </w:rPr>
        <w:t xml:space="preserve">GB/T </w:t>
      </w:r>
      <w:r>
        <w:rPr>
          <w:bCs/>
          <w:color w:val="000000"/>
          <w:szCs w:val="21"/>
        </w:rPr>
        <w:t>20406</w:t>
      </w:r>
      <w:r>
        <w:rPr>
          <w:color w:val="000000"/>
          <w:kern w:val="0"/>
          <w:szCs w:val="21"/>
        </w:rPr>
        <w:t>—</w:t>
      </w:r>
      <w:r>
        <w:rPr>
          <w:bCs/>
          <w:color w:val="000000"/>
          <w:szCs w:val="21"/>
        </w:rPr>
        <w:t xml:space="preserve">2017 </w:t>
      </w:r>
      <w:r>
        <w:rPr>
          <w:rFonts w:hint="eastAsia"/>
          <w:bCs/>
          <w:color w:val="000000"/>
          <w:szCs w:val="21"/>
        </w:rPr>
        <w:t>农业用硫酸钾</w:t>
      </w:r>
    </w:p>
    <w:p>
      <w:pPr>
        <w:spacing w:line="440" w:lineRule="exact"/>
        <w:ind w:firstLine="420" w:firstLineChars="200"/>
        <w:rPr>
          <w:bCs/>
          <w:color w:val="000000"/>
          <w:szCs w:val="21"/>
        </w:rPr>
      </w:pPr>
      <w:r>
        <w:rPr>
          <w:rFonts w:hint="eastAsia"/>
          <w:bCs/>
          <w:color w:val="000000"/>
          <w:szCs w:val="21"/>
        </w:rPr>
        <w:t xml:space="preserve">GB/T </w:t>
      </w:r>
      <w:r>
        <w:rPr>
          <w:bCs/>
          <w:color w:val="000000"/>
          <w:szCs w:val="21"/>
        </w:rPr>
        <w:t>20784</w:t>
      </w:r>
      <w:r>
        <w:rPr>
          <w:color w:val="000000"/>
          <w:kern w:val="0"/>
          <w:szCs w:val="21"/>
        </w:rPr>
        <w:t>—</w:t>
      </w:r>
      <w:r>
        <w:rPr>
          <w:bCs/>
          <w:color w:val="000000"/>
          <w:szCs w:val="21"/>
        </w:rPr>
        <w:t xml:space="preserve">2018 </w:t>
      </w:r>
      <w:r>
        <w:rPr>
          <w:rFonts w:hint="eastAsia"/>
          <w:bCs/>
          <w:color w:val="000000"/>
          <w:szCs w:val="21"/>
        </w:rPr>
        <w:t>农业用硝酸钾</w:t>
      </w:r>
    </w:p>
    <w:p>
      <w:pPr>
        <w:spacing w:line="440" w:lineRule="exact"/>
        <w:ind w:firstLine="420" w:firstLineChars="200"/>
        <w:rPr>
          <w:bCs/>
          <w:color w:val="000000"/>
          <w:szCs w:val="21"/>
        </w:rPr>
      </w:pPr>
      <w:r>
        <w:rPr>
          <w:rFonts w:hint="eastAsia"/>
          <w:bCs/>
          <w:color w:val="000000"/>
          <w:szCs w:val="21"/>
        </w:rPr>
        <w:t xml:space="preserve">GB/T </w:t>
      </w:r>
      <w:r>
        <w:rPr>
          <w:bCs/>
          <w:color w:val="000000"/>
          <w:szCs w:val="21"/>
        </w:rPr>
        <w:t>37918</w:t>
      </w:r>
      <w:r>
        <w:rPr>
          <w:color w:val="000000"/>
          <w:kern w:val="0"/>
          <w:szCs w:val="21"/>
        </w:rPr>
        <w:t>—</w:t>
      </w:r>
      <w:r>
        <w:rPr>
          <w:bCs/>
          <w:color w:val="000000"/>
          <w:szCs w:val="21"/>
        </w:rPr>
        <w:t xml:space="preserve">2019 </w:t>
      </w:r>
      <w:r>
        <w:rPr>
          <w:rFonts w:hint="eastAsia"/>
          <w:bCs/>
          <w:color w:val="000000"/>
          <w:szCs w:val="21"/>
        </w:rPr>
        <w:t>肥料级氯化钾</w:t>
      </w:r>
    </w:p>
    <w:p>
      <w:pPr>
        <w:snapToGrid w:val="0"/>
        <w:spacing w:line="440" w:lineRule="exact"/>
        <w:ind w:firstLine="359" w:firstLineChars="171"/>
        <w:rPr>
          <w:color w:val="000000"/>
          <w:szCs w:val="21"/>
        </w:rPr>
      </w:pPr>
      <w:r>
        <w:rPr>
          <w:color w:val="000000"/>
          <w:szCs w:val="21"/>
        </w:rPr>
        <w:t>现行有效的企业标准、团体标准、地方标准及产品明示质量要求</w:t>
      </w:r>
    </w:p>
    <w:p>
      <w:pPr>
        <w:snapToGrid w:val="0"/>
        <w:spacing w:line="440" w:lineRule="exact"/>
        <w:rPr>
          <w:color w:val="000000"/>
          <w:szCs w:val="21"/>
        </w:rPr>
      </w:pPr>
      <w:r>
        <w:rPr>
          <w:color w:val="000000"/>
          <w:szCs w:val="21"/>
        </w:rPr>
        <w:t>3.2判定原则</w:t>
      </w:r>
    </w:p>
    <w:p>
      <w:pPr>
        <w:snapToGrid w:val="0"/>
        <w:spacing w:line="440" w:lineRule="exact"/>
        <w:ind w:firstLine="420" w:firstLineChars="200"/>
        <w:rPr>
          <w:rFonts w:ascii="宋体" w:hAnsi="宋体"/>
          <w:color w:val="000000"/>
          <w:szCs w:val="21"/>
        </w:rPr>
      </w:pPr>
      <w:r>
        <w:rPr>
          <w:rFonts w:hint="eastAsia" w:ascii="宋体" w:hAnsi="宋体"/>
          <w:color w:val="000000"/>
          <w:szCs w:val="21"/>
        </w:rPr>
        <w:t>经检验，检验项目全部合格，判定为被抽查产品</w:t>
      </w:r>
      <w:r>
        <w:rPr>
          <w:rFonts w:hint="eastAsia"/>
          <w:color w:val="000000"/>
          <w:szCs w:val="21"/>
        </w:rPr>
        <w:t>所检项目未发现不</w:t>
      </w:r>
      <w:r>
        <w:rPr>
          <w:color w:val="000000"/>
          <w:szCs w:val="21"/>
        </w:rPr>
        <w:t>合格</w:t>
      </w:r>
      <w:r>
        <w:rPr>
          <w:rFonts w:hint="eastAsia" w:ascii="宋体" w:hAnsi="宋体"/>
          <w:color w:val="000000"/>
          <w:szCs w:val="21"/>
        </w:rPr>
        <w:t>；检验项目中任一项或一项以上不合格，判定为被抽查产品不合格。</w:t>
      </w:r>
    </w:p>
    <w:p>
      <w:pPr>
        <w:snapToGrid w:val="0"/>
        <w:spacing w:line="440" w:lineRule="exact"/>
        <w:ind w:firstLine="417" w:firstLineChars="199"/>
        <w:rPr>
          <w:color w:val="000000"/>
          <w:szCs w:val="21"/>
        </w:rPr>
      </w:pPr>
      <w:r>
        <w:rPr>
          <w:rFonts w:hint="eastAsia"/>
          <w:color w:val="000000"/>
          <w:szCs w:val="21"/>
        </w:rPr>
        <w:t>若被检产品明示的质量要求高于本细则中检验项目依据的标准要求时，应按被检产品明示的质量要求判定。</w:t>
      </w:r>
    </w:p>
    <w:p>
      <w:pPr>
        <w:snapToGrid w:val="0"/>
        <w:spacing w:line="440" w:lineRule="exact"/>
        <w:ind w:firstLine="417" w:firstLineChars="199"/>
        <w:rPr>
          <w:color w:val="000000"/>
          <w:szCs w:val="21"/>
        </w:rPr>
      </w:pPr>
      <w:r>
        <w:rPr>
          <w:rFonts w:hint="eastAsia"/>
          <w:color w:val="000000"/>
          <w:szCs w:val="21"/>
        </w:rPr>
        <w:t>若被检产品明示的质量要求低于本细则中检验项目依据的强制性标准要求时，应按照强制性标准要求判定。</w:t>
      </w:r>
    </w:p>
    <w:p>
      <w:pPr>
        <w:snapToGrid w:val="0"/>
        <w:spacing w:line="440" w:lineRule="exact"/>
        <w:ind w:firstLine="417" w:firstLineChars="199"/>
        <w:rPr>
          <w:color w:val="000000"/>
          <w:szCs w:val="21"/>
        </w:rPr>
      </w:pPr>
      <w:r>
        <w:rPr>
          <w:rFonts w:hint="eastAsia"/>
          <w:color w:val="000000"/>
          <w:szCs w:val="21"/>
        </w:rPr>
        <w:t>若被检产品明示的质量要求低于或包含本细则中检验项目依据的推荐性标准要求时，应以被检产品明示的质量要求判定。</w:t>
      </w:r>
    </w:p>
    <w:p>
      <w:pPr>
        <w:snapToGrid w:val="0"/>
        <w:spacing w:line="440" w:lineRule="exact"/>
        <w:ind w:firstLine="417" w:firstLineChars="199"/>
        <w:rPr>
          <w:color w:val="000000"/>
          <w:szCs w:val="21"/>
        </w:rPr>
      </w:pPr>
      <w:r>
        <w:rPr>
          <w:rFonts w:hint="eastAsia"/>
          <w:color w:val="000000"/>
          <w:szCs w:val="21"/>
        </w:rPr>
        <w:t>若被检产品明示的质量要求缺少本细则中检验项目依据的强制性标准要求时，应按照强制性标准要求判定。</w:t>
      </w:r>
    </w:p>
    <w:p>
      <w:pPr>
        <w:snapToGrid w:val="0"/>
        <w:spacing w:line="440" w:lineRule="exact"/>
        <w:ind w:firstLine="417" w:firstLineChars="199"/>
        <w:rPr>
          <w:color w:val="000000"/>
          <w:szCs w:val="21"/>
        </w:rPr>
      </w:pPr>
      <w:r>
        <w:rPr>
          <w:rFonts w:hint="eastAsia"/>
          <w:color w:val="000000"/>
          <w:szCs w:val="21"/>
        </w:rPr>
        <w:t>若被检产品明示的质量要求缺少本细则中检验项目依据的推荐性标准要求时，该项目不参与判定。</w:t>
      </w:r>
    </w:p>
    <w:p>
      <w:pPr>
        <w:snapToGrid w:val="0"/>
        <w:spacing w:line="440" w:lineRule="exact"/>
        <w:rPr>
          <w:color w:val="FF0000"/>
          <w:szCs w:val="21"/>
        </w:rPr>
      </w:pPr>
    </w:p>
    <w:sectPr>
      <w:headerReference r:id="rId3" w:type="default"/>
      <w:footerReference r:id="rId4" w:type="default"/>
      <w:footerReference r:id="rId5" w:type="even"/>
      <w:pgSz w:w="11906" w:h="16838"/>
      <w:pgMar w:top="1984"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503010"/>
    <w:multiLevelType w:val="multilevel"/>
    <w:tmpl w:val="34503010"/>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5605519"/>
    <w:multiLevelType w:val="multilevel"/>
    <w:tmpl w:val="65605519"/>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59C3213"/>
    <w:multiLevelType w:val="multilevel"/>
    <w:tmpl w:val="759C3213"/>
    <w:lvl w:ilvl="0" w:tentative="0">
      <w:start w:val="1"/>
      <w:numFmt w:val="decimal"/>
      <w:suff w:val="nothing"/>
      <w:lvlText w:val="%1"/>
      <w:lvlJc w:val="left"/>
      <w:pPr>
        <w:ind w:left="0" w:firstLine="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00172A27"/>
    <w:rsid w:val="00010BFF"/>
    <w:rsid w:val="0002012A"/>
    <w:rsid w:val="00051A44"/>
    <w:rsid w:val="0006594B"/>
    <w:rsid w:val="00077DED"/>
    <w:rsid w:val="00077E5C"/>
    <w:rsid w:val="00081CBD"/>
    <w:rsid w:val="00084634"/>
    <w:rsid w:val="00093453"/>
    <w:rsid w:val="000976DE"/>
    <w:rsid w:val="000E497D"/>
    <w:rsid w:val="000E49F8"/>
    <w:rsid w:val="000F5226"/>
    <w:rsid w:val="000F7C16"/>
    <w:rsid w:val="00100B50"/>
    <w:rsid w:val="00105FEA"/>
    <w:rsid w:val="001159CD"/>
    <w:rsid w:val="00120C9C"/>
    <w:rsid w:val="001216D4"/>
    <w:rsid w:val="00133DB1"/>
    <w:rsid w:val="0015070F"/>
    <w:rsid w:val="00172A27"/>
    <w:rsid w:val="001809DD"/>
    <w:rsid w:val="001D5CEF"/>
    <w:rsid w:val="001D6739"/>
    <w:rsid w:val="001E2570"/>
    <w:rsid w:val="001E4523"/>
    <w:rsid w:val="001F23C9"/>
    <w:rsid w:val="001F4FC1"/>
    <w:rsid w:val="0021099B"/>
    <w:rsid w:val="00210CAB"/>
    <w:rsid w:val="002216DC"/>
    <w:rsid w:val="0023519E"/>
    <w:rsid w:val="00243F97"/>
    <w:rsid w:val="00253624"/>
    <w:rsid w:val="00283A5A"/>
    <w:rsid w:val="0028631C"/>
    <w:rsid w:val="002C715B"/>
    <w:rsid w:val="002D0DD0"/>
    <w:rsid w:val="002D44A4"/>
    <w:rsid w:val="002D7441"/>
    <w:rsid w:val="002D7F8A"/>
    <w:rsid w:val="002E0D1D"/>
    <w:rsid w:val="002E21D0"/>
    <w:rsid w:val="003041D3"/>
    <w:rsid w:val="00314654"/>
    <w:rsid w:val="003203A3"/>
    <w:rsid w:val="003254D6"/>
    <w:rsid w:val="0033643C"/>
    <w:rsid w:val="003527BA"/>
    <w:rsid w:val="003736FD"/>
    <w:rsid w:val="00380689"/>
    <w:rsid w:val="003B6C91"/>
    <w:rsid w:val="003C0637"/>
    <w:rsid w:val="003C1705"/>
    <w:rsid w:val="003C210C"/>
    <w:rsid w:val="003C388C"/>
    <w:rsid w:val="003C3C74"/>
    <w:rsid w:val="003E61BF"/>
    <w:rsid w:val="00404ED1"/>
    <w:rsid w:val="00407310"/>
    <w:rsid w:val="00411B89"/>
    <w:rsid w:val="00441637"/>
    <w:rsid w:val="00442162"/>
    <w:rsid w:val="00443505"/>
    <w:rsid w:val="00445E86"/>
    <w:rsid w:val="00474E04"/>
    <w:rsid w:val="004A49AE"/>
    <w:rsid w:val="004A49FE"/>
    <w:rsid w:val="004B29A6"/>
    <w:rsid w:val="004D0C5A"/>
    <w:rsid w:val="004D20AF"/>
    <w:rsid w:val="004E00B8"/>
    <w:rsid w:val="004E1396"/>
    <w:rsid w:val="004F72B4"/>
    <w:rsid w:val="00520D97"/>
    <w:rsid w:val="00522E8C"/>
    <w:rsid w:val="0052324F"/>
    <w:rsid w:val="00557CC2"/>
    <w:rsid w:val="00557E4C"/>
    <w:rsid w:val="00563EBC"/>
    <w:rsid w:val="00592F05"/>
    <w:rsid w:val="005A511C"/>
    <w:rsid w:val="005A7E01"/>
    <w:rsid w:val="005B51E3"/>
    <w:rsid w:val="005E51E9"/>
    <w:rsid w:val="005E5702"/>
    <w:rsid w:val="005F6E13"/>
    <w:rsid w:val="00604576"/>
    <w:rsid w:val="00616424"/>
    <w:rsid w:val="00617C9E"/>
    <w:rsid w:val="00631634"/>
    <w:rsid w:val="0063505C"/>
    <w:rsid w:val="006361EA"/>
    <w:rsid w:val="0065079E"/>
    <w:rsid w:val="006657F4"/>
    <w:rsid w:val="00676490"/>
    <w:rsid w:val="00690888"/>
    <w:rsid w:val="006B2100"/>
    <w:rsid w:val="006C1681"/>
    <w:rsid w:val="006D1E9D"/>
    <w:rsid w:val="006F0971"/>
    <w:rsid w:val="00702D69"/>
    <w:rsid w:val="0072334C"/>
    <w:rsid w:val="0074263C"/>
    <w:rsid w:val="007736DD"/>
    <w:rsid w:val="00775779"/>
    <w:rsid w:val="00791E38"/>
    <w:rsid w:val="007B0C7A"/>
    <w:rsid w:val="007D0B5A"/>
    <w:rsid w:val="00801D2C"/>
    <w:rsid w:val="008136E9"/>
    <w:rsid w:val="00843F0F"/>
    <w:rsid w:val="008862EA"/>
    <w:rsid w:val="00895BEA"/>
    <w:rsid w:val="008A3497"/>
    <w:rsid w:val="008A6CE3"/>
    <w:rsid w:val="008A7D31"/>
    <w:rsid w:val="008B2495"/>
    <w:rsid w:val="008D7D0A"/>
    <w:rsid w:val="00906D2B"/>
    <w:rsid w:val="0091761C"/>
    <w:rsid w:val="00917A54"/>
    <w:rsid w:val="00932064"/>
    <w:rsid w:val="00943DD1"/>
    <w:rsid w:val="00955000"/>
    <w:rsid w:val="00962771"/>
    <w:rsid w:val="00983BE0"/>
    <w:rsid w:val="00994FD5"/>
    <w:rsid w:val="009C3D96"/>
    <w:rsid w:val="009D5C0D"/>
    <w:rsid w:val="00A05741"/>
    <w:rsid w:val="00A2180C"/>
    <w:rsid w:val="00A43553"/>
    <w:rsid w:val="00A606CE"/>
    <w:rsid w:val="00AA65D8"/>
    <w:rsid w:val="00AC30B2"/>
    <w:rsid w:val="00AD62EE"/>
    <w:rsid w:val="00B03346"/>
    <w:rsid w:val="00B1139A"/>
    <w:rsid w:val="00B160C9"/>
    <w:rsid w:val="00B364A0"/>
    <w:rsid w:val="00B5796C"/>
    <w:rsid w:val="00B61DB5"/>
    <w:rsid w:val="00B739EE"/>
    <w:rsid w:val="00B752D8"/>
    <w:rsid w:val="00B76430"/>
    <w:rsid w:val="00B8723C"/>
    <w:rsid w:val="00BA24F7"/>
    <w:rsid w:val="00BB7B19"/>
    <w:rsid w:val="00BE3B8C"/>
    <w:rsid w:val="00C10B51"/>
    <w:rsid w:val="00C26074"/>
    <w:rsid w:val="00C5744D"/>
    <w:rsid w:val="00C67BD2"/>
    <w:rsid w:val="00C7215F"/>
    <w:rsid w:val="00C80957"/>
    <w:rsid w:val="00C83B0A"/>
    <w:rsid w:val="00C91BEB"/>
    <w:rsid w:val="00C92747"/>
    <w:rsid w:val="00C9637F"/>
    <w:rsid w:val="00CA760B"/>
    <w:rsid w:val="00CC1494"/>
    <w:rsid w:val="00CE1E0C"/>
    <w:rsid w:val="00CE277E"/>
    <w:rsid w:val="00D15BE3"/>
    <w:rsid w:val="00D215A2"/>
    <w:rsid w:val="00D2351B"/>
    <w:rsid w:val="00D36889"/>
    <w:rsid w:val="00D56867"/>
    <w:rsid w:val="00D65E1F"/>
    <w:rsid w:val="00D70F7F"/>
    <w:rsid w:val="00D77429"/>
    <w:rsid w:val="00D86ADF"/>
    <w:rsid w:val="00DA663E"/>
    <w:rsid w:val="00DD4889"/>
    <w:rsid w:val="00DE7878"/>
    <w:rsid w:val="00E02A7F"/>
    <w:rsid w:val="00E07880"/>
    <w:rsid w:val="00E2187F"/>
    <w:rsid w:val="00E25998"/>
    <w:rsid w:val="00E31EEE"/>
    <w:rsid w:val="00E47EBA"/>
    <w:rsid w:val="00E54137"/>
    <w:rsid w:val="00E82621"/>
    <w:rsid w:val="00E85B7F"/>
    <w:rsid w:val="00E930E9"/>
    <w:rsid w:val="00E9421B"/>
    <w:rsid w:val="00ED0962"/>
    <w:rsid w:val="00EF24BF"/>
    <w:rsid w:val="00F0078F"/>
    <w:rsid w:val="00F1346C"/>
    <w:rsid w:val="00F776C6"/>
    <w:rsid w:val="00F77C9A"/>
    <w:rsid w:val="00F81570"/>
    <w:rsid w:val="00F87443"/>
    <w:rsid w:val="00FB576C"/>
    <w:rsid w:val="00FD2AA6"/>
    <w:rsid w:val="00FE7E8A"/>
    <w:rsid w:val="00FF68B3"/>
    <w:rsid w:val="01B80B7A"/>
    <w:rsid w:val="02E244CB"/>
    <w:rsid w:val="030559FB"/>
    <w:rsid w:val="03FE7EAB"/>
    <w:rsid w:val="05247119"/>
    <w:rsid w:val="05E26032"/>
    <w:rsid w:val="061D5992"/>
    <w:rsid w:val="06241086"/>
    <w:rsid w:val="0711196C"/>
    <w:rsid w:val="073B1452"/>
    <w:rsid w:val="07832BA1"/>
    <w:rsid w:val="082D6FB0"/>
    <w:rsid w:val="085B1D6F"/>
    <w:rsid w:val="08844E22"/>
    <w:rsid w:val="08E72291"/>
    <w:rsid w:val="099F5C8C"/>
    <w:rsid w:val="0A1E73F4"/>
    <w:rsid w:val="0AF941C1"/>
    <w:rsid w:val="0DF3198E"/>
    <w:rsid w:val="10965AC6"/>
    <w:rsid w:val="1140560A"/>
    <w:rsid w:val="12307DC9"/>
    <w:rsid w:val="124D62E4"/>
    <w:rsid w:val="12B74046"/>
    <w:rsid w:val="12E110C3"/>
    <w:rsid w:val="1577438A"/>
    <w:rsid w:val="158E72E0"/>
    <w:rsid w:val="171C0FEA"/>
    <w:rsid w:val="182F1ABD"/>
    <w:rsid w:val="18C16ACC"/>
    <w:rsid w:val="194B54E8"/>
    <w:rsid w:val="1A1670E6"/>
    <w:rsid w:val="1A2E5DED"/>
    <w:rsid w:val="1AE216BB"/>
    <w:rsid w:val="1AFD319C"/>
    <w:rsid w:val="1B6603B7"/>
    <w:rsid w:val="1D4E1BDE"/>
    <w:rsid w:val="1E297B4D"/>
    <w:rsid w:val="1EB17AB5"/>
    <w:rsid w:val="1ED61AE4"/>
    <w:rsid w:val="1F49071C"/>
    <w:rsid w:val="1FB65DB1"/>
    <w:rsid w:val="1FC81641"/>
    <w:rsid w:val="1FD9384E"/>
    <w:rsid w:val="209F03B3"/>
    <w:rsid w:val="20FD71B1"/>
    <w:rsid w:val="211D59BC"/>
    <w:rsid w:val="219F2AFA"/>
    <w:rsid w:val="221C3EC6"/>
    <w:rsid w:val="22D8603F"/>
    <w:rsid w:val="234E72B5"/>
    <w:rsid w:val="23921209"/>
    <w:rsid w:val="23B15503"/>
    <w:rsid w:val="24241890"/>
    <w:rsid w:val="24264B88"/>
    <w:rsid w:val="24D740D4"/>
    <w:rsid w:val="267918E7"/>
    <w:rsid w:val="26962499"/>
    <w:rsid w:val="27364159"/>
    <w:rsid w:val="27A74232"/>
    <w:rsid w:val="29244F27"/>
    <w:rsid w:val="29312005"/>
    <w:rsid w:val="296A0ADF"/>
    <w:rsid w:val="2A353D77"/>
    <w:rsid w:val="2AC717C5"/>
    <w:rsid w:val="2B1D07FC"/>
    <w:rsid w:val="2BDF21EC"/>
    <w:rsid w:val="2C250022"/>
    <w:rsid w:val="2C88600B"/>
    <w:rsid w:val="2D0B213D"/>
    <w:rsid w:val="2D8B2B22"/>
    <w:rsid w:val="2E9F5C62"/>
    <w:rsid w:val="2EE1627B"/>
    <w:rsid w:val="2F503401"/>
    <w:rsid w:val="2F9037FD"/>
    <w:rsid w:val="2FF87D20"/>
    <w:rsid w:val="2FFA2612"/>
    <w:rsid w:val="3150593A"/>
    <w:rsid w:val="31BE28A4"/>
    <w:rsid w:val="31D24110"/>
    <w:rsid w:val="3202689B"/>
    <w:rsid w:val="320D1173"/>
    <w:rsid w:val="3293788C"/>
    <w:rsid w:val="34873A5C"/>
    <w:rsid w:val="359222F5"/>
    <w:rsid w:val="35BC534C"/>
    <w:rsid w:val="35F67EAB"/>
    <w:rsid w:val="35FB69C2"/>
    <w:rsid w:val="363475D8"/>
    <w:rsid w:val="36F823B4"/>
    <w:rsid w:val="37FA1879"/>
    <w:rsid w:val="382C3278"/>
    <w:rsid w:val="383E69E7"/>
    <w:rsid w:val="388163D9"/>
    <w:rsid w:val="38BE13DB"/>
    <w:rsid w:val="3AF64E5C"/>
    <w:rsid w:val="3B7E6C11"/>
    <w:rsid w:val="3B8E367D"/>
    <w:rsid w:val="3B8E778B"/>
    <w:rsid w:val="3BB05953"/>
    <w:rsid w:val="3BF46386"/>
    <w:rsid w:val="3C090BBF"/>
    <w:rsid w:val="3CF7075F"/>
    <w:rsid w:val="3D7B02C4"/>
    <w:rsid w:val="3DA908AC"/>
    <w:rsid w:val="3DBF00CF"/>
    <w:rsid w:val="3DFF227A"/>
    <w:rsid w:val="3E5D51F2"/>
    <w:rsid w:val="3EA13331"/>
    <w:rsid w:val="3F32667F"/>
    <w:rsid w:val="40563507"/>
    <w:rsid w:val="40DC4AF4"/>
    <w:rsid w:val="41474664"/>
    <w:rsid w:val="417B430D"/>
    <w:rsid w:val="418F3021"/>
    <w:rsid w:val="41F06AA9"/>
    <w:rsid w:val="41F83BB0"/>
    <w:rsid w:val="423F533B"/>
    <w:rsid w:val="42457934"/>
    <w:rsid w:val="443C13EE"/>
    <w:rsid w:val="44B30262"/>
    <w:rsid w:val="44DA134B"/>
    <w:rsid w:val="4516763C"/>
    <w:rsid w:val="456357E4"/>
    <w:rsid w:val="4585575A"/>
    <w:rsid w:val="45BE0C6C"/>
    <w:rsid w:val="465D7F9F"/>
    <w:rsid w:val="46D83FB0"/>
    <w:rsid w:val="474B6530"/>
    <w:rsid w:val="475E44B5"/>
    <w:rsid w:val="47606766"/>
    <w:rsid w:val="48593863"/>
    <w:rsid w:val="48C400DF"/>
    <w:rsid w:val="493113C1"/>
    <w:rsid w:val="496D4E83"/>
    <w:rsid w:val="499F7616"/>
    <w:rsid w:val="49B26D3A"/>
    <w:rsid w:val="49D547D7"/>
    <w:rsid w:val="4B0B4B1B"/>
    <w:rsid w:val="4B2C6678"/>
    <w:rsid w:val="4CBA37FD"/>
    <w:rsid w:val="4DB841F3"/>
    <w:rsid w:val="4E404914"/>
    <w:rsid w:val="4E4357B4"/>
    <w:rsid w:val="4E465E03"/>
    <w:rsid w:val="50047BC4"/>
    <w:rsid w:val="50334005"/>
    <w:rsid w:val="505E421B"/>
    <w:rsid w:val="50FA7E11"/>
    <w:rsid w:val="517448D5"/>
    <w:rsid w:val="52205134"/>
    <w:rsid w:val="5279512E"/>
    <w:rsid w:val="528C7C8F"/>
    <w:rsid w:val="52910CBA"/>
    <w:rsid w:val="529E42FF"/>
    <w:rsid w:val="52EB0BC7"/>
    <w:rsid w:val="548D005E"/>
    <w:rsid w:val="549A4653"/>
    <w:rsid w:val="554A6079"/>
    <w:rsid w:val="578153D9"/>
    <w:rsid w:val="57E9601D"/>
    <w:rsid w:val="58350A83"/>
    <w:rsid w:val="58EF1411"/>
    <w:rsid w:val="58EF652E"/>
    <w:rsid w:val="5A056A12"/>
    <w:rsid w:val="5A2677D6"/>
    <w:rsid w:val="5A9647D7"/>
    <w:rsid w:val="5AAB580B"/>
    <w:rsid w:val="5B124BBD"/>
    <w:rsid w:val="5B9024C8"/>
    <w:rsid w:val="5BEA4111"/>
    <w:rsid w:val="5C50253A"/>
    <w:rsid w:val="5D071DDC"/>
    <w:rsid w:val="5D6A1CEF"/>
    <w:rsid w:val="5E666B22"/>
    <w:rsid w:val="5EEE3F19"/>
    <w:rsid w:val="5F377E07"/>
    <w:rsid w:val="5F5A0C98"/>
    <w:rsid w:val="60464805"/>
    <w:rsid w:val="6071095D"/>
    <w:rsid w:val="60BD7DF0"/>
    <w:rsid w:val="60C2740B"/>
    <w:rsid w:val="60CA62C0"/>
    <w:rsid w:val="61A70276"/>
    <w:rsid w:val="620F042E"/>
    <w:rsid w:val="626764BC"/>
    <w:rsid w:val="62B92A90"/>
    <w:rsid w:val="638018DF"/>
    <w:rsid w:val="64A31301"/>
    <w:rsid w:val="64A55079"/>
    <w:rsid w:val="65F53F8F"/>
    <w:rsid w:val="665054B9"/>
    <w:rsid w:val="678278F4"/>
    <w:rsid w:val="68150768"/>
    <w:rsid w:val="68466B73"/>
    <w:rsid w:val="687150F2"/>
    <w:rsid w:val="68B35D2C"/>
    <w:rsid w:val="690F6F65"/>
    <w:rsid w:val="691602F4"/>
    <w:rsid w:val="69321FF3"/>
    <w:rsid w:val="699B6A4B"/>
    <w:rsid w:val="6B286B57"/>
    <w:rsid w:val="6CA9147F"/>
    <w:rsid w:val="6CD174AB"/>
    <w:rsid w:val="6D592EA5"/>
    <w:rsid w:val="6D8D7EC7"/>
    <w:rsid w:val="6E4C47B8"/>
    <w:rsid w:val="6E7F4B8D"/>
    <w:rsid w:val="6E861244"/>
    <w:rsid w:val="6EB507F9"/>
    <w:rsid w:val="6EE449F0"/>
    <w:rsid w:val="6EED7D49"/>
    <w:rsid w:val="6EF72976"/>
    <w:rsid w:val="70F30069"/>
    <w:rsid w:val="71542D7C"/>
    <w:rsid w:val="717F6C52"/>
    <w:rsid w:val="722C7C94"/>
    <w:rsid w:val="72361A07"/>
    <w:rsid w:val="738B18DE"/>
    <w:rsid w:val="73DD4830"/>
    <w:rsid w:val="74DD3B22"/>
    <w:rsid w:val="76006033"/>
    <w:rsid w:val="760A7432"/>
    <w:rsid w:val="76837622"/>
    <w:rsid w:val="76E25746"/>
    <w:rsid w:val="77160F3E"/>
    <w:rsid w:val="774A3AE4"/>
    <w:rsid w:val="7789082B"/>
    <w:rsid w:val="779427CE"/>
    <w:rsid w:val="78E139CE"/>
    <w:rsid w:val="7B35430A"/>
    <w:rsid w:val="7B65510B"/>
    <w:rsid w:val="7C5A4039"/>
    <w:rsid w:val="7D5611AF"/>
    <w:rsid w:val="7DCC76C3"/>
    <w:rsid w:val="7E091FD4"/>
    <w:rsid w:val="7F221B2F"/>
    <w:rsid w:val="7F594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autoRedefine/>
    <w:semiHidden/>
    <w:qFormat/>
    <w:uiPriority w:val="0"/>
    <w:pPr>
      <w:shd w:val="clear" w:color="auto" w:fill="000080"/>
    </w:pPr>
  </w:style>
  <w:style w:type="paragraph" w:styleId="3">
    <w:name w:val="Balloon Text"/>
    <w:basedOn w:val="1"/>
    <w:link w:val="10"/>
    <w:autoRedefine/>
    <w:unhideWhenUsed/>
    <w:qFormat/>
    <w:uiPriority w:val="99"/>
    <w:rPr>
      <w:sz w:val="18"/>
      <w:szCs w:val="18"/>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pPr>
      <w:widowControl w:val="0"/>
      <w:jc w:val="both"/>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autoRedefine/>
    <w:qFormat/>
    <w:uiPriority w:val="0"/>
  </w:style>
  <w:style w:type="character" w:customStyle="1" w:styleId="10">
    <w:name w:val="批注框文本 字符"/>
    <w:link w:val="3"/>
    <w:autoRedefine/>
    <w:semiHidden/>
    <w:qFormat/>
    <w:uiPriority w:val="99"/>
    <w:rPr>
      <w:kern w:val="2"/>
      <w:sz w:val="18"/>
      <w:szCs w:val="18"/>
    </w:rPr>
  </w:style>
  <w:style w:type="character" w:customStyle="1" w:styleId="11">
    <w:name w:val="页脚 字符"/>
    <w:link w:val="4"/>
    <w:autoRedefine/>
    <w:qFormat/>
    <w:uiPriority w:val="99"/>
    <w:rPr>
      <w:kern w:val="2"/>
      <w:sz w:val="18"/>
      <w:szCs w:val="18"/>
    </w:rPr>
  </w:style>
  <w:style w:type="character" w:customStyle="1" w:styleId="12">
    <w:name w:val="页眉 字符"/>
    <w:link w:val="5"/>
    <w:autoRedefine/>
    <w:semiHidden/>
    <w:qFormat/>
    <w:uiPriority w:val="99"/>
    <w:rPr>
      <w:kern w:val="2"/>
      <w:sz w:val="18"/>
      <w:szCs w:val="18"/>
    </w:rPr>
  </w:style>
  <w:style w:type="paragraph" w:customStyle="1" w:styleId="13">
    <w:name w:val="列出段落1"/>
    <w:basedOn w:val="1"/>
    <w:autoRedefine/>
    <w:qFormat/>
    <w:uiPriority w:val="34"/>
    <w:pPr>
      <w:ind w:firstLine="420" w:firstLineChars="200"/>
    </w:pPr>
    <w:rPr>
      <w:rFonts w:ascii="Calibri" w:hAnsi="Calibri"/>
      <w:szCs w:val="22"/>
    </w:rPr>
  </w:style>
  <w:style w:type="paragraph" w:customStyle="1" w:styleId="14">
    <w:name w:val="Revision"/>
    <w:autoRedefine/>
    <w:unhideWhenUsed/>
    <w:qFormat/>
    <w:uiPriority w:val="99"/>
    <w:rPr>
      <w:rFonts w:ascii="Times New Roman" w:hAnsi="Times New Roman" w:eastAsia="宋体" w:cs="Times New Roman"/>
      <w:kern w:val="2"/>
      <w:sz w:val="21"/>
      <w:szCs w:val="24"/>
      <w:lang w:val="en-US" w:eastAsia="zh-CN" w:bidi="ar-SA"/>
    </w:rPr>
  </w:style>
  <w:style w:type="paragraph" w:styleId="15">
    <w:name w:val="List Paragraph"/>
    <w:basedOn w:val="1"/>
    <w:autoRedefine/>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638</Words>
  <Characters>3637</Characters>
  <Lines>30</Lines>
  <Paragraphs>8</Paragraphs>
  <TotalTime>0</TotalTime>
  <ScaleCrop>false</ScaleCrop>
  <LinksUpToDate>false</LinksUpToDate>
  <CharactersWithSpaces>4267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2020-07-27T10:18:00Z</dcterms:created>
  <dc:creator>Legend User</dc:creator>
  <cp:lastModifiedBy>随曲就伸</cp:lastModifiedBy>
  <cp:lastPrinted>2020-05-15T02:06:00Z</cp:lastPrinted>
  <dcterms:modified xsi:type="dcterms:W3CDTF">2024-05-08T03:21:10Z</dcterms:modified>
  <dc:title>××产品质量监督抽查实施细则</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2B099162B00546E3A240FAD98B382F2B_13</vt:lpwstr>
  </property>
</Properties>
</file>