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Theme="majorEastAsia" w:hAnsiTheme="majorEastAsia" w:eastAsiaTheme="majorEastAsia" w:cstheme="majorEastAsia"/>
          <w:b/>
          <w:bCs/>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13</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小标宋简体" w:hAnsi="仿宋" w:eastAsia="方正小标宋简体" w:cs="方正仿宋简体"/>
          <w:b/>
          <w:bCs/>
          <w:color w:val="000000"/>
          <w:sz w:val="32"/>
          <w:szCs w:val="32"/>
        </w:rPr>
      </w:pPr>
      <w:r>
        <w:rPr>
          <w:rFonts w:hint="eastAsia" w:asciiTheme="majorEastAsia" w:hAnsiTheme="majorEastAsia" w:eastAsiaTheme="majorEastAsia" w:cstheme="majorEastAsia"/>
          <w:b/>
          <w:bCs/>
          <w:sz w:val="32"/>
          <w:szCs w:val="32"/>
        </w:rPr>
        <w:t>陕西省</w:t>
      </w:r>
      <w:r>
        <w:rPr>
          <w:rFonts w:hint="eastAsia" w:asciiTheme="majorEastAsia" w:hAnsiTheme="majorEastAsia" w:eastAsiaTheme="majorEastAsia" w:cstheme="majorEastAsia"/>
          <w:b/>
          <w:bCs/>
          <w:color w:val="000000"/>
          <w:sz w:val="32"/>
          <w:szCs w:val="32"/>
        </w:rPr>
        <w:t>机动车儿童乘员用约束系统</w:t>
      </w:r>
      <w:r>
        <w:rPr>
          <w:rFonts w:hint="eastAsia" w:asciiTheme="majorEastAsia" w:hAnsiTheme="majorEastAsia" w:eastAsiaTheme="majorEastAsia" w:cstheme="majorEastAsia"/>
          <w:b/>
          <w:bCs/>
          <w:color w:val="000000"/>
          <w:sz w:val="32"/>
          <w:szCs w:val="32"/>
          <w:lang w:val="en-US" w:eastAsia="zh-CN"/>
        </w:rPr>
        <w:t>产品</w:t>
      </w:r>
      <w:r>
        <w:rPr>
          <w:rFonts w:hint="eastAsia" w:asciiTheme="majorEastAsia" w:hAnsiTheme="majorEastAsia" w:eastAsiaTheme="majorEastAsia" w:cstheme="majorEastAsia"/>
          <w:b/>
          <w:bCs/>
          <w:color w:val="000000"/>
          <w:sz w:val="32"/>
          <w:szCs w:val="32"/>
        </w:rPr>
        <w:t>质量监督抽查实施细则</w:t>
      </w:r>
    </w:p>
    <w:p>
      <w:pPr>
        <w:snapToGrid w:val="0"/>
        <w:spacing w:line="440" w:lineRule="exact"/>
        <w:ind w:firstLine="359" w:firstLineChars="171"/>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黑体" w:hAnsi="宋体" w:eastAsia="黑体"/>
          <w:color w:val="000000"/>
          <w:szCs w:val="21"/>
        </w:rPr>
      </w:pPr>
      <w:r>
        <w:rPr>
          <w:rFonts w:hint="eastAsia" w:ascii="黑体" w:hAnsi="宋体" w:eastAsia="黑体"/>
          <w:color w:val="000000"/>
          <w:szCs w:val="21"/>
        </w:rPr>
        <w:t>1 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以随机抽样的方式在被抽样销售者的待销产品中抽取。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随机数使用随机数表方法产生。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每批次产品抽取样品2台（套），其中1台（套）作为检验样品，1台（套）作为备用样品。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黑体" w:hAnsi="宋体" w:eastAsia="黑体" w:cs="Times New Roman"/>
          <w:color w:val="000000"/>
          <w:szCs w:val="21"/>
        </w:rPr>
      </w:pPr>
      <w:r>
        <w:rPr>
          <w:rFonts w:hint="eastAsia" w:ascii="黑体" w:hAnsi="宋体" w:eastAsia="黑体" w:cs="Times New Roman"/>
          <w:color w:val="000000"/>
          <w:szCs w:val="21"/>
        </w:rPr>
        <w:t>2 检验依据</w:t>
      </w:r>
    </w:p>
    <w:p>
      <w:pPr>
        <w:snapToGrid w:val="0"/>
        <w:spacing w:line="440" w:lineRule="exact"/>
        <w:jc w:val="center"/>
        <w:rPr>
          <w:rFonts w:ascii="宋体" w:hAnsi="宋体"/>
          <w:color w:val="000000"/>
          <w:szCs w:val="21"/>
        </w:rPr>
      </w:pPr>
      <w:r>
        <w:rPr>
          <w:rFonts w:hint="eastAsia" w:ascii="宋体" w:hAnsi="宋体"/>
          <w:color w:val="000000"/>
          <w:szCs w:val="21"/>
        </w:rPr>
        <w:t xml:space="preserve"> 检验项目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2693" w:type="dxa"/>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2835" w:type="dxa"/>
          </w:tcPr>
          <w:p>
            <w:pPr>
              <w:snapToGrid w:val="0"/>
              <w:spacing w:line="440" w:lineRule="exact"/>
              <w:jc w:val="center"/>
              <w:rPr>
                <w:rFonts w:ascii="宋体" w:hAnsi="宋体"/>
                <w:color w:val="000000"/>
                <w:szCs w:val="21"/>
              </w:rPr>
            </w:pPr>
            <w:r>
              <w:rPr>
                <w:rFonts w:hint="eastAsia" w:ascii="宋体" w:hAnsi="宋体"/>
                <w:color w:val="000000"/>
                <w:szCs w:val="21"/>
              </w:rPr>
              <w:t>检验依据</w:t>
            </w:r>
          </w:p>
        </w:tc>
        <w:tc>
          <w:tcPr>
            <w:tcW w:w="2828" w:type="dxa"/>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1</w:t>
            </w:r>
          </w:p>
        </w:tc>
        <w:tc>
          <w:tcPr>
            <w:tcW w:w="2693" w:type="dxa"/>
            <w:vAlign w:val="center"/>
          </w:tcPr>
          <w:p>
            <w:pPr>
              <w:jc w:val="center"/>
            </w:pPr>
            <w:r>
              <w:rPr>
                <w:rFonts w:hint="eastAsia"/>
              </w:rPr>
              <w:t>儿童约束系统分组</w:t>
            </w:r>
          </w:p>
        </w:tc>
        <w:tc>
          <w:tcPr>
            <w:tcW w:w="2835" w:type="dxa"/>
            <w:vAlign w:val="center"/>
          </w:tcPr>
          <w:p>
            <w:pPr>
              <w:snapToGrid w:val="0"/>
              <w:jc w:val="center"/>
              <w:rPr>
                <w:color w:val="000000"/>
              </w:rPr>
            </w:pPr>
            <w:r>
              <w:rPr>
                <w:color w:val="000000"/>
              </w:rPr>
              <w:t>GB 27887-2011</w:t>
            </w:r>
          </w:p>
        </w:tc>
        <w:tc>
          <w:tcPr>
            <w:tcW w:w="2828" w:type="dxa"/>
            <w:vAlign w:val="center"/>
          </w:tcPr>
          <w:p>
            <w:pPr>
              <w:snapToGrid w:val="0"/>
              <w:jc w:val="center"/>
              <w:rPr>
                <w:color w:val="000000"/>
              </w:rPr>
            </w:pPr>
            <w:r>
              <w:rPr>
                <w:color w:val="000000"/>
              </w:rPr>
              <w:t>GB 27887-2011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2</w:t>
            </w:r>
          </w:p>
        </w:tc>
        <w:tc>
          <w:tcPr>
            <w:tcW w:w="2693" w:type="dxa"/>
            <w:vAlign w:val="center"/>
          </w:tcPr>
          <w:p>
            <w:pPr>
              <w:jc w:val="center"/>
            </w:pPr>
            <w:r>
              <w:rPr>
                <w:rFonts w:hint="eastAsia"/>
              </w:rPr>
              <w:t>定位及安装</w:t>
            </w:r>
            <w:r>
              <w:rPr>
                <w:rFonts w:hint="eastAsia"/>
                <w:vertAlign w:val="superscript"/>
              </w:rPr>
              <w:t>a</w:t>
            </w:r>
          </w:p>
        </w:tc>
        <w:tc>
          <w:tcPr>
            <w:tcW w:w="2835" w:type="dxa"/>
            <w:vAlign w:val="center"/>
          </w:tcPr>
          <w:p>
            <w:pPr>
              <w:snapToGrid w:val="0"/>
              <w:jc w:val="center"/>
              <w:rPr>
                <w:color w:val="000000"/>
              </w:rPr>
            </w:pPr>
            <w:r>
              <w:rPr>
                <w:color w:val="000000"/>
              </w:rPr>
              <w:t>GB 27887-2011</w:t>
            </w:r>
          </w:p>
        </w:tc>
        <w:tc>
          <w:tcPr>
            <w:tcW w:w="2828" w:type="dxa"/>
            <w:vAlign w:val="center"/>
          </w:tcPr>
          <w:p>
            <w:pPr>
              <w:snapToGrid w:val="0"/>
              <w:jc w:val="center"/>
              <w:rPr>
                <w:color w:val="000000"/>
              </w:rPr>
            </w:pPr>
            <w:r>
              <w:rPr>
                <w:color w:val="000000"/>
              </w:rPr>
              <w:t>GB 27887-2011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3</w:t>
            </w:r>
          </w:p>
        </w:tc>
        <w:tc>
          <w:tcPr>
            <w:tcW w:w="2693" w:type="dxa"/>
            <w:vAlign w:val="center"/>
          </w:tcPr>
          <w:p>
            <w:pPr>
              <w:jc w:val="center"/>
            </w:pPr>
            <w:r>
              <w:rPr>
                <w:rFonts w:hint="eastAsia"/>
              </w:rPr>
              <w:t>结构</w:t>
            </w:r>
          </w:p>
        </w:tc>
        <w:tc>
          <w:tcPr>
            <w:tcW w:w="2835" w:type="dxa"/>
            <w:vAlign w:val="center"/>
          </w:tcPr>
          <w:p>
            <w:pPr>
              <w:snapToGrid w:val="0"/>
              <w:jc w:val="center"/>
              <w:rPr>
                <w:color w:val="000000"/>
              </w:rPr>
            </w:pPr>
            <w:r>
              <w:rPr>
                <w:color w:val="000000"/>
              </w:rPr>
              <w:t>GB 27887-2011</w:t>
            </w:r>
          </w:p>
        </w:tc>
        <w:tc>
          <w:tcPr>
            <w:tcW w:w="2828" w:type="dxa"/>
            <w:vAlign w:val="center"/>
          </w:tcPr>
          <w:p>
            <w:pPr>
              <w:snapToGrid w:val="0"/>
              <w:jc w:val="center"/>
              <w:rPr>
                <w:color w:val="000000"/>
              </w:rPr>
            </w:pPr>
            <w:r>
              <w:rPr>
                <w:color w:val="000000"/>
              </w:rPr>
              <w:t>GB 27887-2011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4</w:t>
            </w:r>
          </w:p>
        </w:tc>
        <w:tc>
          <w:tcPr>
            <w:tcW w:w="2693" w:type="dxa"/>
            <w:vAlign w:val="center"/>
          </w:tcPr>
          <w:p>
            <w:pPr>
              <w:jc w:val="center"/>
            </w:pPr>
            <w:r>
              <w:rPr>
                <w:rFonts w:hint="eastAsia"/>
              </w:rPr>
              <w:t>ISOFIX约束系统规范</w:t>
            </w:r>
            <w:r>
              <w:rPr>
                <w:rFonts w:hint="eastAsia"/>
                <w:vertAlign w:val="superscript"/>
              </w:rPr>
              <w:t>b</w:t>
            </w:r>
          </w:p>
        </w:tc>
        <w:tc>
          <w:tcPr>
            <w:tcW w:w="2835" w:type="dxa"/>
            <w:vAlign w:val="center"/>
          </w:tcPr>
          <w:p>
            <w:pPr>
              <w:snapToGrid w:val="0"/>
              <w:jc w:val="center"/>
              <w:rPr>
                <w:color w:val="000000"/>
              </w:rPr>
            </w:pPr>
            <w:r>
              <w:rPr>
                <w:color w:val="000000"/>
              </w:rPr>
              <w:t>GB 27887-2011</w:t>
            </w:r>
          </w:p>
        </w:tc>
        <w:tc>
          <w:tcPr>
            <w:tcW w:w="2828" w:type="dxa"/>
            <w:vAlign w:val="center"/>
          </w:tcPr>
          <w:p>
            <w:pPr>
              <w:snapToGrid w:val="0"/>
              <w:jc w:val="center"/>
              <w:rPr>
                <w:color w:val="000000"/>
              </w:rPr>
            </w:pPr>
            <w:r>
              <w:rPr>
                <w:color w:val="000000"/>
              </w:rPr>
              <w:t>GB 27887-2011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5</w:t>
            </w:r>
          </w:p>
        </w:tc>
        <w:tc>
          <w:tcPr>
            <w:tcW w:w="2693" w:type="dxa"/>
            <w:vAlign w:val="center"/>
          </w:tcPr>
          <w:p>
            <w:pPr>
              <w:jc w:val="center"/>
            </w:pPr>
            <w:r>
              <w:rPr>
                <w:rFonts w:hint="eastAsia"/>
              </w:rPr>
              <w:t>抗腐蚀性</w:t>
            </w:r>
          </w:p>
        </w:tc>
        <w:tc>
          <w:tcPr>
            <w:tcW w:w="2835" w:type="dxa"/>
            <w:vAlign w:val="center"/>
          </w:tcPr>
          <w:p>
            <w:pPr>
              <w:snapToGrid w:val="0"/>
              <w:jc w:val="center"/>
              <w:rPr>
                <w:color w:val="000000"/>
              </w:rPr>
            </w:pPr>
            <w:r>
              <w:rPr>
                <w:color w:val="000000"/>
              </w:rPr>
              <w:t>GB 27887-2011</w:t>
            </w:r>
          </w:p>
        </w:tc>
        <w:tc>
          <w:tcPr>
            <w:tcW w:w="2828" w:type="dxa"/>
            <w:vAlign w:val="center"/>
          </w:tcPr>
          <w:p>
            <w:pPr>
              <w:snapToGrid w:val="0"/>
              <w:jc w:val="center"/>
              <w:rPr>
                <w:color w:val="000000"/>
              </w:rPr>
            </w:pPr>
            <w:r>
              <w:rPr>
                <w:color w:val="000000"/>
              </w:rPr>
              <w:t>GB 27887-2011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6</w:t>
            </w:r>
          </w:p>
        </w:tc>
        <w:tc>
          <w:tcPr>
            <w:tcW w:w="2693" w:type="dxa"/>
            <w:vAlign w:val="center"/>
          </w:tcPr>
          <w:p>
            <w:pPr>
              <w:jc w:val="center"/>
            </w:pPr>
            <w:r>
              <w:rPr>
                <w:rFonts w:hint="eastAsia"/>
              </w:rPr>
              <w:t>温度限制</w:t>
            </w:r>
          </w:p>
        </w:tc>
        <w:tc>
          <w:tcPr>
            <w:tcW w:w="2835" w:type="dxa"/>
            <w:vAlign w:val="center"/>
          </w:tcPr>
          <w:p>
            <w:pPr>
              <w:snapToGrid w:val="0"/>
              <w:jc w:val="center"/>
              <w:rPr>
                <w:color w:val="000000"/>
              </w:rPr>
            </w:pPr>
            <w:r>
              <w:rPr>
                <w:color w:val="000000"/>
              </w:rPr>
              <w:t>GB 27887-2011</w:t>
            </w:r>
          </w:p>
        </w:tc>
        <w:tc>
          <w:tcPr>
            <w:tcW w:w="2828" w:type="dxa"/>
            <w:vAlign w:val="center"/>
          </w:tcPr>
          <w:p>
            <w:pPr>
              <w:snapToGrid w:val="0"/>
              <w:jc w:val="center"/>
              <w:rPr>
                <w:color w:val="000000"/>
              </w:rPr>
            </w:pPr>
            <w:r>
              <w:rPr>
                <w:color w:val="000000"/>
              </w:rPr>
              <w:t>GB 27887-2011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ascii="宋体" w:hAnsi="宋体"/>
                <w:color w:val="000000"/>
                <w:szCs w:val="21"/>
              </w:rPr>
            </w:pPr>
            <w:r>
              <w:rPr>
                <w:rFonts w:hint="eastAsia" w:ascii="宋体" w:hAnsi="宋体"/>
                <w:color w:val="000000"/>
                <w:szCs w:val="21"/>
              </w:rPr>
              <w:t>备注</w:t>
            </w:r>
          </w:p>
        </w:tc>
        <w:tc>
          <w:tcPr>
            <w:tcW w:w="8356" w:type="dxa"/>
            <w:gridSpan w:val="3"/>
            <w:vAlign w:val="center"/>
          </w:tcPr>
          <w:p>
            <w:pPr>
              <w:snapToGrid w:val="0"/>
              <w:jc w:val="left"/>
              <w:rPr>
                <w:color w:val="000000"/>
              </w:rPr>
            </w:pPr>
            <w:r>
              <w:rPr>
                <w:color w:val="000000"/>
              </w:rPr>
              <w:t>a：</w:t>
            </w:r>
            <w:r>
              <w:rPr>
                <w:rFonts w:hint="eastAsia"/>
              </w:rPr>
              <w:t>该项目只测：4.2.4条款和4.2.5条款。</w:t>
            </w:r>
          </w:p>
          <w:p>
            <w:pPr>
              <w:snapToGrid w:val="0"/>
              <w:jc w:val="left"/>
              <w:rPr>
                <w:color w:val="000000"/>
              </w:rPr>
            </w:pPr>
            <w:r>
              <w:rPr>
                <w:rFonts w:hint="eastAsia"/>
                <w:color w:val="000000"/>
              </w:rPr>
              <w:t>b：</w:t>
            </w:r>
            <w:r>
              <w:rPr>
                <w:rFonts w:hint="eastAsia"/>
              </w:rPr>
              <w:t>该项目只测：4.4.3条款。</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黑体" w:hAnsi="宋体" w:eastAsia="黑体" w:cs="Times New Roman"/>
          <w:color w:val="000000"/>
          <w:szCs w:val="21"/>
        </w:rPr>
      </w:pPr>
      <w:r>
        <w:rPr>
          <w:rFonts w:hint="eastAsia" w:ascii="黑体" w:hAnsi="宋体" w:eastAsia="黑体" w:cs="Times New Roman"/>
          <w:color w:val="000000"/>
          <w:szCs w:val="21"/>
        </w:rPr>
        <w:t>3 判定规则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rPr>
      </w:pPr>
      <w:bookmarkStart w:id="0" w:name="_Hlk124239383"/>
      <w:r>
        <w:rPr>
          <w:rFonts w:hint="eastAsia" w:ascii="宋体" w:hAnsi="宋体" w:eastAsia="宋体" w:cs="Times New Roman"/>
          <w:color w:val="000000"/>
          <w:szCs w:val="21"/>
        </w:rPr>
        <w:t>GB 27887-2011 机动车儿童乘员用约束系统</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Dc5ODJkZTg1NDRlMGZmODQ0NDFmOTY2ZTA1YmIifQ=="/>
  </w:docVars>
  <w:rsids>
    <w:rsidRoot w:val="00172A27"/>
    <w:rsid w:val="00051A44"/>
    <w:rsid w:val="00081CBD"/>
    <w:rsid w:val="000976DE"/>
    <w:rsid w:val="000B07F5"/>
    <w:rsid w:val="000D0516"/>
    <w:rsid w:val="00123D1C"/>
    <w:rsid w:val="00141C09"/>
    <w:rsid w:val="00166132"/>
    <w:rsid w:val="00172A27"/>
    <w:rsid w:val="001809DD"/>
    <w:rsid w:val="00232530"/>
    <w:rsid w:val="00253624"/>
    <w:rsid w:val="00266107"/>
    <w:rsid w:val="002D7F8A"/>
    <w:rsid w:val="002E0D1D"/>
    <w:rsid w:val="003203A3"/>
    <w:rsid w:val="00365CBE"/>
    <w:rsid w:val="003A7D30"/>
    <w:rsid w:val="003C388C"/>
    <w:rsid w:val="003D09A1"/>
    <w:rsid w:val="003E61BF"/>
    <w:rsid w:val="004104AC"/>
    <w:rsid w:val="00410523"/>
    <w:rsid w:val="00445E86"/>
    <w:rsid w:val="00446C85"/>
    <w:rsid w:val="00447AD2"/>
    <w:rsid w:val="0045434D"/>
    <w:rsid w:val="00474E04"/>
    <w:rsid w:val="00496CB7"/>
    <w:rsid w:val="004D0C5A"/>
    <w:rsid w:val="004D184C"/>
    <w:rsid w:val="004E1396"/>
    <w:rsid w:val="004E6C21"/>
    <w:rsid w:val="00563EBC"/>
    <w:rsid w:val="006467D3"/>
    <w:rsid w:val="00654449"/>
    <w:rsid w:val="006C1250"/>
    <w:rsid w:val="006E1171"/>
    <w:rsid w:val="006F0971"/>
    <w:rsid w:val="0072334C"/>
    <w:rsid w:val="00786C16"/>
    <w:rsid w:val="00895BEA"/>
    <w:rsid w:val="008A0B20"/>
    <w:rsid w:val="008A3497"/>
    <w:rsid w:val="008E0A40"/>
    <w:rsid w:val="008E5454"/>
    <w:rsid w:val="00917A54"/>
    <w:rsid w:val="009C14C4"/>
    <w:rsid w:val="00A23D98"/>
    <w:rsid w:val="00A43553"/>
    <w:rsid w:val="00A85B0D"/>
    <w:rsid w:val="00AC5391"/>
    <w:rsid w:val="00B426C0"/>
    <w:rsid w:val="00B65F23"/>
    <w:rsid w:val="00BF2B8C"/>
    <w:rsid w:val="00C26074"/>
    <w:rsid w:val="00C83B0A"/>
    <w:rsid w:val="00CE1E0C"/>
    <w:rsid w:val="00CE277E"/>
    <w:rsid w:val="00D1472A"/>
    <w:rsid w:val="00D56867"/>
    <w:rsid w:val="00D66F33"/>
    <w:rsid w:val="00E02A7F"/>
    <w:rsid w:val="00E07880"/>
    <w:rsid w:val="00E82621"/>
    <w:rsid w:val="00F5094D"/>
    <w:rsid w:val="00F77C9A"/>
    <w:rsid w:val="00FB576C"/>
    <w:rsid w:val="00FD2AA6"/>
    <w:rsid w:val="00FD4310"/>
    <w:rsid w:val="00FE7E8A"/>
    <w:rsid w:val="09FA0BED"/>
    <w:rsid w:val="10794722"/>
    <w:rsid w:val="1A3A1B59"/>
    <w:rsid w:val="1E5116D1"/>
    <w:rsid w:val="20176124"/>
    <w:rsid w:val="379445DF"/>
    <w:rsid w:val="476D59BD"/>
    <w:rsid w:val="4B5550AF"/>
    <w:rsid w:val="4FC76963"/>
    <w:rsid w:val="683B2128"/>
    <w:rsid w:val="777B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Balloon Text"/>
    <w:basedOn w:val="1"/>
    <w:link w:val="13"/>
    <w:autoRedefine/>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autoRedefine/>
    <w:unhideWhenUsed/>
    <w:qFormat/>
    <w:uiPriority w:val="99"/>
    <w:rPr>
      <w:b/>
      <w:bCs/>
    </w:rPr>
  </w:style>
  <w:style w:type="character" w:styleId="9">
    <w:name w:val="page number"/>
    <w:basedOn w:val="8"/>
    <w:autoRedefine/>
    <w:qFormat/>
    <w:uiPriority w:val="0"/>
  </w:style>
  <w:style w:type="character" w:styleId="10">
    <w:name w:val="annotation reference"/>
    <w:autoRedefine/>
    <w:unhideWhenUsed/>
    <w:qFormat/>
    <w:uiPriority w:val="99"/>
    <w:rPr>
      <w:sz w:val="21"/>
      <w:szCs w:val="21"/>
    </w:rPr>
  </w:style>
  <w:style w:type="character" w:customStyle="1" w:styleId="11">
    <w:name w:val="页脚 Char"/>
    <w:link w:val="4"/>
    <w:autoRedefine/>
    <w:qFormat/>
    <w:uiPriority w:val="99"/>
    <w:rPr>
      <w:kern w:val="2"/>
      <w:sz w:val="18"/>
      <w:szCs w:val="18"/>
    </w:rPr>
  </w:style>
  <w:style w:type="character" w:customStyle="1" w:styleId="12">
    <w:name w:val="批注主题 Char"/>
    <w:link w:val="6"/>
    <w:semiHidden/>
    <w:qFormat/>
    <w:uiPriority w:val="99"/>
    <w:rPr>
      <w:b/>
      <w:bCs/>
      <w:kern w:val="2"/>
      <w:sz w:val="21"/>
      <w:szCs w:val="24"/>
    </w:rPr>
  </w:style>
  <w:style w:type="character" w:customStyle="1" w:styleId="13">
    <w:name w:val="批注框文本 Char"/>
    <w:link w:val="3"/>
    <w:autoRedefine/>
    <w:semiHidden/>
    <w:qFormat/>
    <w:uiPriority w:val="99"/>
    <w:rPr>
      <w:kern w:val="2"/>
      <w:sz w:val="18"/>
      <w:szCs w:val="18"/>
    </w:rPr>
  </w:style>
  <w:style w:type="character" w:customStyle="1" w:styleId="14">
    <w:name w:val="批注文字 Char"/>
    <w:link w:val="2"/>
    <w:semiHidden/>
    <w:qFormat/>
    <w:uiPriority w:val="99"/>
    <w:rPr>
      <w:kern w:val="2"/>
      <w:sz w:val="21"/>
      <w:szCs w:val="24"/>
    </w:rPr>
  </w:style>
  <w:style w:type="character" w:customStyle="1" w:styleId="15">
    <w:name w:val="页眉 Char"/>
    <w:link w:val="5"/>
    <w:semiHidden/>
    <w:qFormat/>
    <w:uiPriority w:val="99"/>
    <w:rPr>
      <w:kern w:val="2"/>
      <w:sz w:val="18"/>
      <w:szCs w:val="18"/>
    </w:rPr>
  </w:style>
  <w:style w:type="paragraph" w:customStyle="1" w:styleId="16">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620</Words>
  <Characters>771</Characters>
  <Lines>6</Lines>
  <Paragraphs>1</Paragraphs>
  <TotalTime>0</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2024-05-23T05:41:00Z</dcterms:created>
  <dc:creator>Legend User</dc:creator>
  <cp:lastModifiedBy>随曲就伸</cp:lastModifiedBy>
  <cp:lastPrinted>2019-12-05T07:53:00Z</cp:lastPrinted>
  <dcterms:modified xsi:type="dcterms:W3CDTF">2024-08-19T01:02:44Z</dcterms:modified>
  <dc:title>××产品质量监督抽查实施细则</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4ED0B57A333A49E683A340900AFB7F73_13</vt:lpwstr>
  </property>
</Properties>
</file>