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left"/>
        <w:rPr>
          <w:rFonts w:hint="default" w:ascii="方正小标宋简体" w:hAnsi="仿宋" w:eastAsia="方正小标宋简体" w:cs="方正仿宋简体"/>
          <w:color w:val="auto"/>
          <w:sz w:val="32"/>
          <w:szCs w:val="32"/>
          <w:lang w:val="en-US"/>
        </w:rPr>
      </w:pPr>
      <w:r>
        <w:rPr>
          <w:rFonts w:hint="eastAsia" w:ascii="黑体" w:hAnsi="黑体" w:eastAsia="黑体" w:cs="黑体"/>
          <w:color w:val="000000"/>
          <w:sz w:val="32"/>
          <w:szCs w:val="32"/>
          <w:lang w:val="en-US" w:eastAsia="zh-CN"/>
        </w:rPr>
        <w:t>附件19</w:t>
      </w:r>
    </w:p>
    <w:p>
      <w:pPr>
        <w:spacing w:line="360" w:lineRule="auto"/>
        <w:jc w:val="center"/>
        <w:rPr>
          <w:rFonts w:ascii="方正小标宋简体" w:hAnsi="仿宋" w:eastAsia="方正小标宋简体" w:cs="方正仿宋简体"/>
          <w:color w:val="000000"/>
          <w:sz w:val="32"/>
          <w:szCs w:val="32"/>
        </w:rPr>
      </w:pPr>
      <w:bookmarkStart w:id="1" w:name="_GoBack"/>
      <w:r>
        <w:rPr>
          <w:rFonts w:hint="eastAsia" w:ascii="方正小标宋简体" w:hAnsi="仿宋" w:eastAsia="方正小标宋简体" w:cs="方正仿宋简体"/>
          <w:color w:val="000000"/>
          <w:sz w:val="32"/>
          <w:szCs w:val="32"/>
        </w:rPr>
        <w:t>陕西省电热毯产品质量监督抽查实施细则</w:t>
      </w:r>
    </w:p>
    <w:bookmarkEnd w:id="1"/>
    <w:p>
      <w:pPr>
        <w:spacing w:line="440" w:lineRule="exact"/>
        <w:ind w:firstLine="359"/>
        <w:rPr>
          <w:rFonts w:ascii="宋体" w:hAnsi="宋体"/>
          <w:color w:val="000000"/>
          <w:szCs w:val="21"/>
        </w:rPr>
      </w:pPr>
    </w:p>
    <w:p>
      <w:pPr>
        <w:spacing w:line="440" w:lineRule="exact"/>
        <w:rPr>
          <w:rFonts w:ascii="黑体" w:hAnsi="宋体" w:eastAsia="黑体"/>
          <w:color w:val="000000"/>
          <w:szCs w:val="21"/>
        </w:rPr>
      </w:pPr>
      <w:r>
        <w:rPr>
          <w:rFonts w:hint="eastAsia" w:ascii="黑体" w:hAnsi="宋体" w:eastAsia="黑体"/>
          <w:color w:val="000000"/>
          <w:szCs w:val="21"/>
        </w:rPr>
        <w:t>1 抽样方法</w:t>
      </w:r>
    </w:p>
    <w:p>
      <w:pPr>
        <w:spacing w:line="440" w:lineRule="exact"/>
        <w:ind w:firstLine="420"/>
        <w:rPr>
          <w:rFonts w:ascii="宋体" w:hAnsi="宋体"/>
          <w:color w:val="000000"/>
          <w:szCs w:val="21"/>
        </w:rPr>
      </w:pPr>
      <w:r>
        <w:rPr>
          <w:rFonts w:hint="eastAsia" w:ascii="宋体" w:hAnsi="宋体"/>
          <w:color w:val="000000"/>
          <w:szCs w:val="21"/>
        </w:rPr>
        <w:t>以随机抽样的方式在被抽样生产者、销售者的待销产品中抽取。</w:t>
      </w:r>
    </w:p>
    <w:p>
      <w:pPr>
        <w:spacing w:line="440" w:lineRule="exact"/>
        <w:ind w:firstLine="420"/>
        <w:rPr>
          <w:rFonts w:ascii="宋体" w:hAnsi="宋体"/>
          <w:color w:val="000000"/>
          <w:szCs w:val="21"/>
        </w:rPr>
      </w:pPr>
      <w:r>
        <w:rPr>
          <w:rFonts w:hint="eastAsia" w:ascii="宋体" w:hAnsi="宋体"/>
          <w:color w:val="000000"/>
          <w:szCs w:val="21"/>
        </w:rPr>
        <w:t>随机数使用随机数表方法产生。</w:t>
      </w:r>
    </w:p>
    <w:p>
      <w:pPr>
        <w:spacing w:line="440" w:lineRule="exact"/>
        <w:ind w:firstLine="420"/>
        <w:rPr>
          <w:rFonts w:ascii="宋体" w:hAnsi="宋体"/>
          <w:color w:val="000000"/>
          <w:szCs w:val="21"/>
        </w:rPr>
      </w:pPr>
      <w:r>
        <w:rPr>
          <w:rFonts w:hint="eastAsia" w:ascii="宋体" w:hAnsi="宋体"/>
          <w:color w:val="000000"/>
          <w:szCs w:val="21"/>
        </w:rPr>
        <w:t>每批次产品抽取样品</w:t>
      </w:r>
      <w:r>
        <w:rPr>
          <w:rFonts w:hint="eastAsia" w:ascii="宋体" w:hAnsi="宋体"/>
          <w:color w:val="000000"/>
          <w:szCs w:val="21"/>
          <w:lang w:val="en-US" w:eastAsia="zh-CN"/>
        </w:rPr>
        <w:t>5</w:t>
      </w:r>
      <w:r>
        <w:rPr>
          <w:rFonts w:hint="eastAsia" w:ascii="宋体" w:hAnsi="宋体"/>
          <w:color w:val="000000"/>
          <w:szCs w:val="21"/>
        </w:rPr>
        <w:t>床（条），其中</w:t>
      </w:r>
      <w:r>
        <w:rPr>
          <w:rFonts w:hint="eastAsia" w:ascii="宋体" w:hAnsi="宋体"/>
          <w:color w:val="000000"/>
          <w:szCs w:val="21"/>
          <w:lang w:val="en-US" w:eastAsia="zh-CN"/>
        </w:rPr>
        <w:t>3</w:t>
      </w:r>
      <w:r>
        <w:rPr>
          <w:rFonts w:hint="eastAsia" w:ascii="宋体" w:hAnsi="宋体"/>
          <w:color w:val="000000"/>
          <w:szCs w:val="21"/>
        </w:rPr>
        <w:t>床（条）作为检验样品，2床（条）作为备用样品。</w:t>
      </w:r>
    </w:p>
    <w:p>
      <w:pPr>
        <w:spacing w:line="440" w:lineRule="exact"/>
        <w:rPr>
          <w:rFonts w:ascii="黑体" w:hAnsi="宋体" w:eastAsia="黑体"/>
          <w:color w:val="000000"/>
          <w:szCs w:val="21"/>
        </w:rPr>
      </w:pPr>
      <w:r>
        <w:rPr>
          <w:rFonts w:hint="eastAsia" w:ascii="黑体" w:hAnsi="宋体" w:eastAsia="黑体"/>
          <w:color w:val="000000"/>
          <w:szCs w:val="21"/>
        </w:rPr>
        <w:t>2 检验依据</w:t>
      </w:r>
    </w:p>
    <w:p>
      <w:pPr>
        <w:spacing w:line="440" w:lineRule="exact"/>
        <w:jc w:val="center"/>
        <w:rPr>
          <w:rFonts w:ascii="宋体" w:hAnsi="宋体"/>
          <w:color w:val="000000"/>
          <w:szCs w:val="21"/>
        </w:rPr>
      </w:pPr>
      <w:r>
        <w:rPr>
          <w:rFonts w:hint="eastAsia" w:ascii="宋体" w:hAnsi="宋体"/>
          <w:color w:val="000000"/>
          <w:szCs w:val="21"/>
        </w:rPr>
        <w:t xml:space="preserve">表1  </w:t>
      </w:r>
      <w:r>
        <w:rPr>
          <w:rFonts w:hint="eastAsia" w:ascii="宋体" w:hAnsi="宋体"/>
          <w:color w:val="auto"/>
          <w:szCs w:val="21"/>
          <w:lang w:val="en-US" w:eastAsia="zh-CN"/>
        </w:rPr>
        <w:t>电热毯产品</w:t>
      </w:r>
      <w:r>
        <w:rPr>
          <w:rFonts w:hint="eastAsia" w:ascii="宋体" w:hAnsi="宋体"/>
          <w:color w:val="000000"/>
          <w:szCs w:val="21"/>
        </w:rPr>
        <w:t>检验项目</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tcPr>
          <w:p>
            <w:pPr>
              <w:spacing w:line="440" w:lineRule="exact"/>
              <w:jc w:val="center"/>
              <w:rPr>
                <w:rFonts w:ascii="宋体" w:hAnsi="宋体"/>
                <w:color w:val="000000"/>
                <w:szCs w:val="21"/>
              </w:rPr>
            </w:pPr>
            <w:r>
              <w:rPr>
                <w:rFonts w:hint="eastAsia" w:ascii="宋体" w:hAnsi="宋体"/>
                <w:color w:val="000000"/>
                <w:szCs w:val="21"/>
              </w:rPr>
              <w:t>序号</w:t>
            </w:r>
          </w:p>
        </w:tc>
        <w:tc>
          <w:tcPr>
            <w:tcW w:w="3685" w:type="dxa"/>
            <w:shd w:val="clear" w:color="auto" w:fill="auto"/>
            <w:noWrap w:val="0"/>
          </w:tcPr>
          <w:p>
            <w:pPr>
              <w:spacing w:line="440" w:lineRule="exact"/>
              <w:jc w:val="center"/>
              <w:rPr>
                <w:rFonts w:ascii="宋体" w:hAnsi="宋体"/>
                <w:color w:val="000000"/>
                <w:szCs w:val="21"/>
              </w:rPr>
            </w:pPr>
            <w:r>
              <w:rPr>
                <w:rFonts w:hint="eastAsia" w:ascii="宋体" w:hAnsi="宋体"/>
                <w:color w:val="000000"/>
                <w:szCs w:val="21"/>
              </w:rPr>
              <w:t>检验项目</w:t>
            </w:r>
          </w:p>
        </w:tc>
        <w:tc>
          <w:tcPr>
            <w:tcW w:w="1985" w:type="dxa"/>
            <w:shd w:val="clear" w:color="auto" w:fill="auto"/>
            <w:noWrap w:val="0"/>
          </w:tcPr>
          <w:p>
            <w:pPr>
              <w:spacing w:line="440" w:lineRule="exact"/>
              <w:jc w:val="center"/>
              <w:rPr>
                <w:rFonts w:ascii="宋体" w:hAnsi="宋体"/>
                <w:color w:val="000000"/>
                <w:szCs w:val="21"/>
              </w:rPr>
            </w:pPr>
            <w:r>
              <w:rPr>
                <w:rFonts w:hint="eastAsia" w:ascii="宋体" w:hAnsi="宋体"/>
                <w:color w:val="000000"/>
                <w:szCs w:val="21"/>
              </w:rPr>
              <w:t>检验依据</w:t>
            </w:r>
          </w:p>
        </w:tc>
        <w:tc>
          <w:tcPr>
            <w:tcW w:w="1984" w:type="dxa"/>
            <w:shd w:val="clear" w:color="auto" w:fill="auto"/>
            <w:noWrap w:val="0"/>
          </w:tcPr>
          <w:p>
            <w:pPr>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spacing w:line="300" w:lineRule="exact"/>
              <w:jc w:val="center"/>
              <w:textAlignment w:val="center"/>
              <w:rPr>
                <w:rFonts w:hint="eastAsia"/>
                <w:szCs w:val="21"/>
              </w:rPr>
            </w:pPr>
            <w:r>
              <w:rPr>
                <w:kern w:val="0"/>
                <w:szCs w:val="21"/>
              </w:rPr>
              <w:t>1</w:t>
            </w:r>
          </w:p>
        </w:tc>
        <w:tc>
          <w:tcPr>
            <w:tcW w:w="3685" w:type="dxa"/>
            <w:shd w:val="clear" w:color="auto" w:fill="auto"/>
            <w:noWrap w:val="0"/>
            <w:vAlign w:val="center"/>
          </w:tcPr>
          <w:p>
            <w:pPr>
              <w:snapToGrid w:val="0"/>
              <w:spacing w:line="300" w:lineRule="exact"/>
              <w:jc w:val="center"/>
              <w:rPr>
                <w:szCs w:val="21"/>
              </w:rPr>
            </w:pPr>
            <w:r>
              <w:rPr>
                <w:color w:val="000000"/>
                <w:szCs w:val="21"/>
              </w:rPr>
              <w:t>标志和说明</w:t>
            </w:r>
          </w:p>
        </w:tc>
        <w:tc>
          <w:tcPr>
            <w:tcW w:w="1985" w:type="dxa"/>
            <w:shd w:val="clear" w:color="auto" w:fill="auto"/>
            <w:noWrap w:val="0"/>
            <w:vAlign w:val="center"/>
          </w:tcPr>
          <w:p>
            <w:pPr>
              <w:spacing w:line="300" w:lineRule="exact"/>
              <w:jc w:val="center"/>
              <w:rPr>
                <w:color w:val="000000"/>
                <w:szCs w:val="21"/>
              </w:rPr>
            </w:pPr>
            <w:r>
              <w:rPr>
                <w:color w:val="000000"/>
                <w:szCs w:val="21"/>
              </w:rPr>
              <w:t xml:space="preserve">GB 4706.1—2005 </w:t>
            </w:r>
          </w:p>
          <w:p>
            <w:pPr>
              <w:spacing w:line="300" w:lineRule="exact"/>
              <w:jc w:val="center"/>
              <w:rPr>
                <w:szCs w:val="21"/>
              </w:rPr>
            </w:pPr>
            <w:r>
              <w:rPr>
                <w:color w:val="000000"/>
                <w:szCs w:val="21"/>
              </w:rPr>
              <w:t>GB 4706.8—2008</w:t>
            </w:r>
          </w:p>
        </w:tc>
        <w:tc>
          <w:tcPr>
            <w:tcW w:w="1984" w:type="dxa"/>
            <w:shd w:val="clear" w:color="auto" w:fill="auto"/>
            <w:noWrap w:val="0"/>
            <w:vAlign w:val="center"/>
          </w:tcPr>
          <w:p>
            <w:pPr>
              <w:spacing w:line="300" w:lineRule="exact"/>
              <w:jc w:val="center"/>
              <w:rPr>
                <w:color w:val="000000"/>
                <w:szCs w:val="21"/>
              </w:rPr>
            </w:pPr>
            <w:r>
              <w:rPr>
                <w:color w:val="000000"/>
                <w:szCs w:val="21"/>
              </w:rPr>
              <w:t xml:space="preserve">GB 4706.1—2005 </w:t>
            </w:r>
          </w:p>
          <w:p>
            <w:pPr>
              <w:spacing w:line="300" w:lineRule="exact"/>
              <w:jc w:val="center"/>
              <w:textAlignment w:val="center"/>
              <w:rPr>
                <w:szCs w:val="21"/>
              </w:rPr>
            </w:pPr>
            <w:r>
              <w:rPr>
                <w:color w:val="000000"/>
                <w:szCs w:val="21"/>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2</w:t>
            </w:r>
          </w:p>
        </w:tc>
        <w:tc>
          <w:tcPr>
            <w:tcW w:w="3685" w:type="dxa"/>
            <w:shd w:val="clear" w:color="auto" w:fill="auto"/>
            <w:noWrap w:val="0"/>
            <w:vAlign w:val="center"/>
          </w:tcPr>
          <w:p>
            <w:pPr>
              <w:jc w:val="center"/>
              <w:rPr>
                <w:szCs w:val="21"/>
              </w:rPr>
            </w:pPr>
            <w:r>
              <w:rPr>
                <w:szCs w:val="21"/>
              </w:rPr>
              <w:t>对触及带电部件的防护</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3</w:t>
            </w:r>
          </w:p>
        </w:tc>
        <w:tc>
          <w:tcPr>
            <w:tcW w:w="3685" w:type="dxa"/>
            <w:shd w:val="clear" w:color="auto" w:fill="auto"/>
            <w:noWrap w:val="0"/>
            <w:vAlign w:val="center"/>
          </w:tcPr>
          <w:p>
            <w:pPr>
              <w:jc w:val="center"/>
              <w:rPr>
                <w:szCs w:val="21"/>
              </w:rPr>
            </w:pPr>
            <w:r>
              <w:rPr>
                <w:szCs w:val="21"/>
              </w:rPr>
              <w:t>输入功率和电流</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4</w:t>
            </w:r>
          </w:p>
        </w:tc>
        <w:tc>
          <w:tcPr>
            <w:tcW w:w="3685" w:type="dxa"/>
            <w:shd w:val="clear" w:color="auto" w:fill="auto"/>
            <w:noWrap w:val="0"/>
            <w:vAlign w:val="center"/>
          </w:tcPr>
          <w:p>
            <w:pPr>
              <w:jc w:val="center"/>
              <w:rPr>
                <w:szCs w:val="21"/>
              </w:rPr>
            </w:pPr>
            <w:r>
              <w:rPr>
                <w:szCs w:val="21"/>
              </w:rPr>
              <w:t>耐潮湿</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5</w:t>
            </w:r>
          </w:p>
        </w:tc>
        <w:tc>
          <w:tcPr>
            <w:tcW w:w="3685" w:type="dxa"/>
            <w:shd w:val="clear" w:color="auto" w:fill="auto"/>
            <w:noWrap w:val="0"/>
            <w:vAlign w:val="center"/>
          </w:tcPr>
          <w:p>
            <w:pPr>
              <w:jc w:val="center"/>
              <w:rPr>
                <w:szCs w:val="21"/>
              </w:rPr>
            </w:pPr>
            <w:r>
              <w:rPr>
                <w:szCs w:val="21"/>
              </w:rPr>
              <w:t>泄漏电流和电气强度</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6</w:t>
            </w:r>
          </w:p>
        </w:tc>
        <w:tc>
          <w:tcPr>
            <w:tcW w:w="3685" w:type="dxa"/>
            <w:shd w:val="clear" w:color="auto" w:fill="auto"/>
            <w:noWrap w:val="0"/>
            <w:vAlign w:val="center"/>
          </w:tcPr>
          <w:p>
            <w:pPr>
              <w:jc w:val="center"/>
              <w:rPr>
                <w:szCs w:val="21"/>
              </w:rPr>
            </w:pPr>
            <w:r>
              <w:rPr>
                <w:szCs w:val="21"/>
              </w:rPr>
              <w:t>非正常工作</w:t>
            </w:r>
            <w:r>
              <w:rPr>
                <w:rFonts w:hint="eastAsia"/>
                <w:szCs w:val="21"/>
              </w:rPr>
              <w:t>（只进行19.102条的试验）</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szCs w:val="21"/>
              </w:rPr>
            </w:pPr>
            <w:r>
              <w:rPr>
                <w:szCs w:val="21"/>
              </w:rPr>
              <w:t>GB 4706.8</w:t>
            </w:r>
            <w:r>
              <w:rPr>
                <w:color w:val="000000"/>
                <w:szCs w:val="21"/>
              </w:rPr>
              <w:t>—</w:t>
            </w:r>
            <w:r>
              <w:rPr>
                <w:szCs w:val="21"/>
              </w:rPr>
              <w:t>2008</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szCs w:val="21"/>
              </w:rPr>
            </w:pPr>
            <w:r>
              <w:rPr>
                <w:szCs w:val="21"/>
              </w:rPr>
              <w:t>GB 4706.8</w:t>
            </w:r>
            <w:r>
              <w:rPr>
                <w:color w:val="000000"/>
                <w:szCs w:val="21"/>
              </w:rPr>
              <w:t>—</w:t>
            </w:r>
            <w:r>
              <w:rPr>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7</w:t>
            </w:r>
          </w:p>
        </w:tc>
        <w:tc>
          <w:tcPr>
            <w:tcW w:w="3685" w:type="dxa"/>
            <w:shd w:val="clear" w:color="auto" w:fill="auto"/>
            <w:noWrap w:val="0"/>
            <w:vAlign w:val="center"/>
          </w:tcPr>
          <w:p>
            <w:pPr>
              <w:jc w:val="center"/>
              <w:rPr>
                <w:szCs w:val="21"/>
              </w:rPr>
            </w:pPr>
            <w:r>
              <w:rPr>
                <w:szCs w:val="21"/>
              </w:rPr>
              <w:t>机械强度</w:t>
            </w:r>
            <w:r>
              <w:rPr>
                <w:rFonts w:hint="eastAsia" w:ascii="宋体" w:hAnsi="宋体"/>
                <w:color w:val="000000"/>
                <w:szCs w:val="21"/>
              </w:rPr>
              <w:t>(只进行</w:t>
            </w:r>
            <w:r>
              <w:rPr>
                <w:rFonts w:hint="eastAsia"/>
                <w:szCs w:val="21"/>
              </w:rPr>
              <w:t>21.111.1</w:t>
            </w:r>
            <w:r>
              <w:rPr>
                <w:rFonts w:hint="eastAsia" w:ascii="宋体" w:hAnsi="宋体"/>
                <w:color w:val="000000"/>
                <w:szCs w:val="21"/>
              </w:rPr>
              <w:t>条的试验)</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8</w:t>
            </w:r>
          </w:p>
        </w:tc>
        <w:tc>
          <w:tcPr>
            <w:tcW w:w="3685" w:type="dxa"/>
            <w:shd w:val="clear" w:color="auto" w:fill="auto"/>
            <w:noWrap w:val="0"/>
            <w:vAlign w:val="center"/>
          </w:tcPr>
          <w:p>
            <w:pPr>
              <w:jc w:val="center"/>
              <w:rPr>
                <w:szCs w:val="21"/>
              </w:rPr>
            </w:pPr>
            <w:r>
              <w:rPr>
                <w:szCs w:val="21"/>
              </w:rPr>
              <w:t>结构</w:t>
            </w:r>
            <w:r>
              <w:rPr>
                <w:color w:val="000000"/>
                <w:szCs w:val="21"/>
              </w:rPr>
              <w:t>（不包括第22.46条的试验）</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eastAsia" w:eastAsia="宋体"/>
                <w:szCs w:val="21"/>
                <w:lang w:eastAsia="zh-CN"/>
              </w:rPr>
            </w:pPr>
            <w:r>
              <w:rPr>
                <w:rFonts w:hint="eastAsia"/>
                <w:szCs w:val="21"/>
                <w:lang w:val="en-US" w:eastAsia="zh-CN"/>
              </w:rPr>
              <w:t>9</w:t>
            </w:r>
          </w:p>
        </w:tc>
        <w:tc>
          <w:tcPr>
            <w:tcW w:w="3685" w:type="dxa"/>
            <w:shd w:val="clear" w:color="auto" w:fill="auto"/>
            <w:noWrap w:val="0"/>
            <w:vAlign w:val="center"/>
          </w:tcPr>
          <w:p>
            <w:pPr>
              <w:jc w:val="center"/>
              <w:rPr>
                <w:szCs w:val="21"/>
              </w:rPr>
            </w:pPr>
            <w:r>
              <w:rPr>
                <w:szCs w:val="21"/>
              </w:rPr>
              <w:t>电源连接和外部软线</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eastAsia="宋体"/>
                <w:szCs w:val="21"/>
                <w:lang w:val="en-US" w:eastAsia="zh-CN"/>
              </w:rPr>
            </w:pPr>
            <w:r>
              <w:rPr>
                <w:rFonts w:hint="eastAsia"/>
                <w:szCs w:val="21"/>
                <w:lang w:val="en-US" w:eastAsia="zh-CN"/>
              </w:rPr>
              <w:t>10</w:t>
            </w:r>
          </w:p>
        </w:tc>
        <w:tc>
          <w:tcPr>
            <w:tcW w:w="3685" w:type="dxa"/>
            <w:shd w:val="clear" w:color="auto" w:fill="auto"/>
            <w:noWrap w:val="0"/>
            <w:vAlign w:val="center"/>
          </w:tcPr>
          <w:p>
            <w:pPr>
              <w:jc w:val="center"/>
              <w:rPr>
                <w:szCs w:val="21"/>
              </w:rPr>
            </w:pPr>
            <w:r>
              <w:rPr>
                <w:szCs w:val="21"/>
              </w:rPr>
              <w:t>电气间隙、爬电距离和固体绝缘</w:t>
            </w:r>
          </w:p>
        </w:tc>
        <w:tc>
          <w:tcPr>
            <w:tcW w:w="1985"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c>
          <w:tcPr>
            <w:tcW w:w="1984" w:type="dxa"/>
            <w:shd w:val="clear" w:color="auto" w:fill="auto"/>
            <w:noWrap w:val="0"/>
          </w:tcPr>
          <w:p>
            <w:pPr>
              <w:jc w:val="center"/>
              <w:rPr>
                <w:szCs w:val="21"/>
              </w:rPr>
            </w:pPr>
            <w:r>
              <w:rPr>
                <w:szCs w:val="21"/>
              </w:rPr>
              <w:t>GB 4706.1</w:t>
            </w:r>
            <w:r>
              <w:rPr>
                <w:color w:val="000000"/>
                <w:szCs w:val="21"/>
              </w:rPr>
              <w:t>—</w:t>
            </w:r>
            <w:r>
              <w:rPr>
                <w:szCs w:val="21"/>
              </w:rPr>
              <w:t>2005</w:t>
            </w:r>
            <w:r>
              <w:rPr>
                <w:rFonts w:hint="eastAsia"/>
                <w:szCs w:val="21"/>
              </w:rPr>
              <w:t xml:space="preserve"> </w:t>
            </w:r>
          </w:p>
          <w:p>
            <w:pPr>
              <w:jc w:val="center"/>
              <w:rPr>
                <w:color w:val="000000"/>
                <w:szCs w:val="21"/>
              </w:rPr>
            </w:pPr>
            <w:r>
              <w:rPr>
                <w:szCs w:val="21"/>
              </w:rPr>
              <w:t>GB 4706.8</w:t>
            </w:r>
            <w:r>
              <w:rPr>
                <w:color w:val="000000"/>
                <w:szCs w:val="21"/>
              </w:rPr>
              <w:t>—</w:t>
            </w:r>
            <w:r>
              <w:rPr>
                <w:szCs w:val="21"/>
              </w:rPr>
              <w:t>2008</w:t>
            </w:r>
          </w:p>
        </w:tc>
      </w:tr>
    </w:tbl>
    <w:p>
      <w:pPr>
        <w:spacing w:line="440" w:lineRule="exact"/>
        <w:ind w:firstLine="42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pacing w:line="440" w:lineRule="exact"/>
        <w:rPr>
          <w:rFonts w:ascii="宋体" w:hAnsi="宋体"/>
          <w:color w:val="000000"/>
          <w:szCs w:val="21"/>
        </w:rPr>
      </w:pPr>
      <w:r>
        <w:rPr>
          <w:rFonts w:hint="eastAsia" w:ascii="宋体" w:hAnsi="宋体"/>
          <w:color w:val="000000"/>
          <w:szCs w:val="21"/>
        </w:rPr>
        <w:t>3.1依据标准</w:t>
      </w:r>
    </w:p>
    <w:p>
      <w:pPr>
        <w:spacing w:line="440" w:lineRule="exact"/>
        <w:ind w:firstLine="420"/>
        <w:rPr>
          <w:color w:val="000000"/>
          <w:szCs w:val="21"/>
        </w:rPr>
      </w:pPr>
      <w:r>
        <w:rPr>
          <w:rFonts w:hint="eastAsia"/>
          <w:color w:val="000000"/>
          <w:szCs w:val="21"/>
        </w:rPr>
        <w:t>GB 4706.1-2005 家用和类似用途电器的安全 第1部分:通用要求</w:t>
      </w:r>
    </w:p>
    <w:p>
      <w:pPr>
        <w:spacing w:line="440" w:lineRule="exact"/>
        <w:ind w:firstLine="420"/>
        <w:rPr>
          <w:color w:val="000000"/>
          <w:szCs w:val="21"/>
        </w:rPr>
      </w:pPr>
      <w:r>
        <w:rPr>
          <w:rFonts w:hint="eastAsia"/>
          <w:color w:val="000000"/>
          <w:szCs w:val="21"/>
        </w:rPr>
        <w:t>GB 4706.8-2008</w:t>
      </w:r>
      <w:r>
        <w:rPr>
          <w:rFonts w:hint="eastAsia" w:ascii="宋体" w:hAnsi="宋体"/>
          <w:szCs w:val="21"/>
        </w:rPr>
        <w:t>家用和类似用途电器的安全 电热毯、电热垫及类似柔性发热器具的特殊要求</w:t>
      </w:r>
    </w:p>
    <w:p>
      <w:pPr>
        <w:spacing w:line="440" w:lineRule="exact"/>
        <w:ind w:firstLine="420"/>
        <w:rPr>
          <w:color w:val="000000"/>
          <w:szCs w:val="21"/>
        </w:rPr>
      </w:pPr>
      <w:r>
        <w:rPr>
          <w:rFonts w:hint="eastAsia"/>
          <w:color w:val="000000"/>
          <w:szCs w:val="21"/>
        </w:rPr>
        <w:t>现行有效的企业标准、团体标准、地方标准及产品明示质量要求</w:t>
      </w:r>
      <w:r>
        <w:rPr>
          <w:rFonts w:hint="eastAsia" w:ascii="宋体" w:hAnsi="宋体"/>
          <w:color w:val="000000"/>
          <w:szCs w:val="21"/>
        </w:rPr>
        <w:t>。</w:t>
      </w:r>
    </w:p>
    <w:p>
      <w:pPr>
        <w:spacing w:line="440" w:lineRule="exact"/>
        <w:rPr>
          <w:rFonts w:ascii="宋体" w:hAnsi="宋体"/>
          <w:color w:val="000000"/>
          <w:szCs w:val="21"/>
        </w:rPr>
      </w:pPr>
      <w:r>
        <w:rPr>
          <w:rFonts w:hint="eastAsia" w:ascii="宋体" w:hAnsi="宋体"/>
          <w:color w:val="000000"/>
          <w:szCs w:val="21"/>
        </w:rPr>
        <w:t>3.2判定原则</w:t>
      </w:r>
    </w:p>
    <w:p>
      <w:pPr>
        <w:spacing w:line="440" w:lineRule="exact"/>
        <w:ind w:firstLine="42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pacing w:line="440" w:lineRule="exact"/>
        <w:ind w:firstLine="418"/>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440" w:lineRule="exact"/>
        <w:ind w:firstLine="418"/>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440" w:lineRule="exact"/>
        <w:ind w:firstLine="418"/>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pacing w:line="440" w:lineRule="exact"/>
        <w:ind w:firstLine="418"/>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440" w:lineRule="exact"/>
        <w:ind w:firstLine="418"/>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pacing w:line="440" w:lineRule="exact"/>
        <w:ind w:firstLine="418"/>
        <w:rPr>
          <w:rFonts w:ascii="宋体" w:hAnsi="宋体"/>
          <w:color w:val="000000"/>
          <w:szCs w:val="21"/>
        </w:rPr>
      </w:pPr>
      <w:bookmarkStart w:id="0" w:name="_PictureBullets"/>
      <w:bookmarkEnd w:id="0"/>
    </w:p>
    <w:p/>
    <w:sectPr>
      <w:footerReference r:id="rId3" w:type="default"/>
      <w:pgSz w:w="11906" w:h="16838" w:orient="landscape"/>
      <w:pgMar w:top="1418" w:right="1418" w:bottom="1361" w:left="170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20B0604020202020204"/>
    <w:charset w:val="00"/>
    <w:family w:val="auto"/>
    <w:pitch w:val="default"/>
    <w:sig w:usb0="00000000" w:usb1="00000000" w:usb2="00000000" w:usb3="00000000" w:csb0="00000000" w:csb1="00000000"/>
  </w:font>
  <w:font w:name="国标宋体-超大字符集扩">
    <w:panose1 w:val="000005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 w:name="汉仪中圆B5">
    <w:panose1 w:val="02010600000101010101"/>
    <w:charset w:val="88"/>
    <w:family w:val="auto"/>
    <w:pitch w:val="default"/>
    <w:sig w:usb0="00000001" w:usb1="080E0800" w:usb2="00000002" w:usb3="00000000" w:csb0="001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00000000"/>
    <w:rsid w:val="0C5D550E"/>
    <w:rsid w:val="360C4468"/>
    <w:rsid w:val="3E382835"/>
    <w:rsid w:val="49E314BD"/>
    <w:rsid w:val="4F8B188B"/>
    <w:rsid w:val="7FFC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183"/>
    <w:semiHidden/>
    <w:unhideWhenUsed/>
    <w:qFormat/>
    <w:uiPriority w:val="99"/>
    <w:pPr>
      <w:tabs>
        <w:tab w:val="center" w:pos="4153"/>
        <w:tab w:val="right" w:pos="8306"/>
      </w:tabs>
      <w:jc w:val="left"/>
    </w:pPr>
    <w:rPr>
      <w:sz w:val="18"/>
      <w:szCs w:val="18"/>
    </w:rPr>
  </w:style>
  <w:style w:type="paragraph" w:styleId="18">
    <w:name w:val="header"/>
    <w:basedOn w:val="1"/>
    <w:link w:val="182"/>
    <w:semiHidden/>
    <w:unhideWhenUsed/>
    <w:qFormat/>
    <w:uiPriority w:val="99"/>
    <w:pPr>
      <w:pBdr>
        <w:bottom w:val="single" w:color="000000" w:sz="6" w:space="1"/>
      </w:pBdr>
      <w:tabs>
        <w:tab w:val="center" w:pos="4153"/>
        <w:tab w:val="right" w:pos="8306"/>
      </w:tabs>
      <w:jc w:val="center"/>
    </w:pPr>
    <w:rPr>
      <w:sz w:val="18"/>
      <w:szCs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qFormat/>
    <w:uiPriority w:val="9"/>
    <w:rPr>
      <w:rFonts w:ascii="等线" w:hAnsi="等线" w:eastAsia="等线" w:cs="等线"/>
      <w:sz w:val="30"/>
      <w:szCs w:val="30"/>
    </w:rPr>
  </w:style>
  <w:style w:type="character" w:customStyle="1" w:styleId="37">
    <w:name w:val="Heading 4 Char"/>
    <w:basedOn w:val="30"/>
    <w:link w:val="5"/>
    <w:qFormat/>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basedOn w:val="2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basedOn w:val="28"/>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basedOn w:val="28"/>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basedOn w:val="28"/>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basedOn w:val="28"/>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basedOn w:val="28"/>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heme="minorHAnsi" w:hAnsiTheme="minorHAnsi" w:eastAsiaTheme="minorEastAsia" w:cstheme="minorBidi"/>
      <w:sz w:val="21"/>
      <w:szCs w:val="22"/>
    </w:rPr>
  </w:style>
  <w:style w:type="character" w:customStyle="1" w:styleId="182">
    <w:name w:val="页眉 Char"/>
    <w:basedOn w:val="30"/>
    <w:link w:val="18"/>
    <w:semiHidden/>
    <w:qFormat/>
    <w:uiPriority w:val="99"/>
    <w:rPr>
      <w:rFonts w:ascii="Times New Roman" w:hAnsi="Times New Roman" w:eastAsia="宋体" w:cs="Times New Roman"/>
      <w:sz w:val="18"/>
      <w:szCs w:val="18"/>
    </w:rPr>
  </w:style>
  <w:style w:type="character" w:customStyle="1" w:styleId="183">
    <w:name w:val="页脚 Char"/>
    <w:basedOn w:val="30"/>
    <w:link w:val="1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1241</Characters>
  <TotalTime>0</TotalTime>
  <ScaleCrop>false</ScaleCrop>
  <LinksUpToDate>false</LinksUpToDate>
  <CharactersWithSpaces>1319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2024-07-08T17:14:00Z</dcterms:created>
  <dc:creator>Administrator</dc:creator>
  <cp:lastModifiedBy>guest</cp:lastModifiedBy>
  <dcterms:modified xsi:type="dcterms:W3CDTF">2025-06-04T15:03:35Z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eyJoZGlkIjoiODViY2JkMjU3NGYzZTEwMzZmMGFkZWViYmNkYWU3NDIiLCJ1c2VySWQiOiI5ODM4NDI2NDgifQ==</vt:lpwstr>
  </property>
  <property fmtid="{D5CDD505-2E9C-101B-9397-08002B2CF9AE}" pid="3" name="KSOProductBuildVer">
    <vt:lpwstr>2052-11.8.2.10229</vt:lpwstr>
  </property>
  <property fmtid="{D5CDD505-2E9C-101B-9397-08002B2CF9AE}" pid="4" name="ICV">
    <vt:lpwstr>5A13E0B5B6664526ADA3E04742BB17FA_12</vt:lpwstr>
  </property>
</Properties>
</file>