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附件2</w:t>
      </w:r>
    </w:p>
    <w:p>
      <w:pPr>
        <w:adjustRightInd w:val="0"/>
        <w:snapToGrid w:val="0"/>
        <w:spacing w:line="594" w:lineRule="exact"/>
        <w:jc w:val="center"/>
        <w:rPr>
          <w:rFonts w:eastAsia="方正小标宋简体"/>
          <w:color w:val="000000"/>
          <w:sz w:val="32"/>
          <w:szCs w:val="32"/>
        </w:rPr>
      </w:pPr>
      <w:r>
        <w:rPr>
          <w:rFonts w:hint="eastAsia" w:eastAsia="方正小标宋简体"/>
          <w:color w:val="000000"/>
          <w:sz w:val="32"/>
          <w:szCs w:val="32"/>
          <w:lang w:val="en-US" w:eastAsia="zh-CN"/>
        </w:rPr>
        <w:t>陕西汽车风窗玻璃清洗液省</w:t>
      </w:r>
      <w:r>
        <w:rPr>
          <w:rFonts w:eastAsia="方正小标宋简体"/>
          <w:color w:val="000000"/>
          <w:sz w:val="32"/>
          <w:szCs w:val="32"/>
        </w:rPr>
        <w:t>产品质量监督抽查实施细则</w:t>
      </w:r>
    </w:p>
    <w:p>
      <w:pPr>
        <w:adjustRightInd w:val="0"/>
        <w:snapToGrid w:val="0"/>
        <w:spacing w:line="594" w:lineRule="exact"/>
        <w:jc w:val="both"/>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w:t>
      </w:r>
      <w:r>
        <w:rPr>
          <w:rFonts w:hint="eastAsia" w:ascii="宋体" w:hAnsi="宋体"/>
          <w:color w:val="000000"/>
          <w:szCs w:val="21"/>
          <w:lang w:val="en-US" w:eastAsia="zh-CN"/>
        </w:rPr>
        <w:t>抽样的</w:t>
      </w:r>
      <w:r>
        <w:rPr>
          <w:rFonts w:hint="eastAsia" w:ascii="宋体" w:hAnsi="宋体"/>
          <w:color w:val="000000"/>
          <w:szCs w:val="21"/>
        </w:rPr>
        <w:t>方式在被抽样销售者的待销产品中抽取。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r>
        <w:rPr>
          <w:color w:val="000000"/>
          <w:szCs w:val="21"/>
        </w:rPr>
        <w:t>每批次产品抽取两份，每份不少于2.5L，其中1份作为检验样品，1份作为备用样品。</w:t>
      </w:r>
    </w:p>
    <w:p>
      <w:pPr>
        <w:snapToGrid w:val="0"/>
        <w:spacing w:line="440" w:lineRule="exact"/>
        <w:rPr>
          <w:rFonts w:eastAsia="黑体"/>
          <w:color w:val="000000"/>
          <w:szCs w:val="21"/>
        </w:rPr>
      </w:pPr>
      <w:r>
        <w:rPr>
          <w:rFonts w:eastAsia="黑体"/>
          <w:color w:val="000000"/>
          <w:szCs w:val="21"/>
        </w:rPr>
        <w:t>2 检验依据</w:t>
      </w:r>
    </w:p>
    <w:p>
      <w:pPr>
        <w:adjustRightInd w:val="0"/>
        <w:snapToGrid w:val="0"/>
        <w:spacing w:line="360" w:lineRule="auto"/>
        <w:ind w:firstLine="420"/>
        <w:jc w:val="center"/>
        <w:rPr>
          <w:szCs w:val="21"/>
        </w:rPr>
      </w:pPr>
      <w:r>
        <w:rPr>
          <w:szCs w:val="21"/>
        </w:rPr>
        <w:t>表</w:t>
      </w:r>
      <w:r>
        <w:rPr>
          <w:rFonts w:hint="eastAsia"/>
          <w:szCs w:val="21"/>
          <w:lang w:val="en-US" w:eastAsia="zh-CN"/>
        </w:rPr>
        <w:t>1</w:t>
      </w:r>
      <w:r>
        <w:rPr>
          <w:szCs w:val="21"/>
        </w:rPr>
        <w:t xml:space="preserve"> </w:t>
      </w:r>
      <w:r>
        <w:rPr>
          <w:rFonts w:hint="eastAsia" w:ascii="宋体" w:hAnsi="宋体" w:eastAsia="宋体" w:cs="方正仿宋简体"/>
          <w:color w:val="000000"/>
          <w:szCs w:val="21"/>
          <w:lang w:val="en-US" w:eastAsia="zh-CN"/>
        </w:rPr>
        <w:t>汽车风窗玻璃清洗液</w:t>
      </w:r>
      <w:r>
        <w:rPr>
          <w:rFonts w:hint="eastAsia" w:ascii="宋体" w:hAnsi="宋体" w:cs="方正仿宋简体"/>
          <w:color w:val="000000"/>
          <w:szCs w:val="21"/>
          <w:lang w:val="en-US" w:eastAsia="zh-CN"/>
        </w:rPr>
        <w:t>（</w:t>
      </w:r>
      <w:r>
        <w:rPr>
          <w:rFonts w:hint="eastAsia" w:ascii="Times New Roman" w:hAnsi="Times New Roman" w:eastAsia="宋体" w:cs="Times New Roman"/>
          <w:color w:val="auto"/>
          <w:kern w:val="2"/>
          <w:sz w:val="21"/>
          <w:szCs w:val="21"/>
          <w:lang w:val="en-US" w:eastAsia="zh-CN" w:bidi="ar-SA"/>
        </w:rPr>
        <w:t xml:space="preserve">GB/T 23436-2009 </w:t>
      </w:r>
      <w:r>
        <w:rPr>
          <w:rFonts w:hint="eastAsia" w:ascii="宋体" w:hAnsi="宋体" w:cs="方正仿宋简体"/>
          <w:color w:val="000000"/>
          <w:szCs w:val="21"/>
          <w:lang w:val="en-US" w:eastAsia="zh-CN"/>
        </w:rPr>
        <w:t>）</w:t>
      </w:r>
    </w:p>
    <w:tbl>
      <w:tblPr>
        <w:tblStyle w:val="6"/>
        <w:tblW w:w="8671" w:type="dxa"/>
        <w:jc w:val="center"/>
        <w:tblLayout w:type="fixed"/>
        <w:tblCellMar>
          <w:top w:w="0" w:type="dxa"/>
          <w:left w:w="108" w:type="dxa"/>
          <w:bottom w:w="0" w:type="dxa"/>
          <w:right w:w="108" w:type="dxa"/>
        </w:tblCellMar>
      </w:tblPr>
      <w:tblGrid>
        <w:gridCol w:w="1164"/>
        <w:gridCol w:w="2790"/>
        <w:gridCol w:w="2280"/>
        <w:gridCol w:w="2437"/>
      </w:tblGrid>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检验依据</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1</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冰点</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仿宋_GB2312" w:hAnsi="仿宋" w:eastAsia="仿宋_GB2312" w:cs="仿宋"/>
                <w:color w:val="auto"/>
                <w:szCs w:val="21"/>
                <w:lang w:val="en-US"/>
              </w:rPr>
            </w:pPr>
            <w:r>
              <w:rPr>
                <w:rFonts w:hint="eastAsia" w:ascii="Times New Roman" w:hAnsi="Times New Roman" w:eastAsia="宋体" w:cs="Times New Roman"/>
                <w:color w:val="auto"/>
                <w:kern w:val="2"/>
                <w:sz w:val="21"/>
                <w:szCs w:val="21"/>
                <w:lang w:val="en-US" w:eastAsia="zh-CN" w:bidi="ar-SA"/>
              </w:rPr>
              <w:t>SH/T 0090</w:t>
            </w:r>
            <w:r>
              <w:rPr>
                <w:rFonts w:hint="eastAsia" w:cs="Times New Roman"/>
                <w:color w:val="auto"/>
                <w:kern w:val="2"/>
                <w:sz w:val="21"/>
                <w:szCs w:val="21"/>
                <w:lang w:val="en-US" w:eastAsia="zh-CN" w:bidi="ar-SA"/>
              </w:rPr>
              <w:t>-1991</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pH值</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仿宋_GB2312" w:hAnsi="仿宋" w:eastAsia="仿宋_GB2312" w:cs="仿宋"/>
                <w:color w:val="auto"/>
                <w:szCs w:val="21"/>
                <w:lang w:val="en-US"/>
              </w:rPr>
            </w:pPr>
            <w:r>
              <w:rPr>
                <w:rFonts w:hint="eastAsia" w:ascii="Times New Roman" w:hAnsi="Times New Roman" w:eastAsia="宋体" w:cs="Times New Roman"/>
                <w:color w:val="auto"/>
                <w:kern w:val="2"/>
                <w:sz w:val="21"/>
                <w:szCs w:val="21"/>
                <w:lang w:val="en-US" w:eastAsia="zh-CN" w:bidi="ar-SA"/>
              </w:rPr>
              <w:t>SH/T 0069</w:t>
            </w:r>
            <w:r>
              <w:rPr>
                <w:rFonts w:hint="eastAsia" w:cs="Times New Roman"/>
                <w:color w:val="auto"/>
                <w:kern w:val="2"/>
                <w:sz w:val="21"/>
                <w:szCs w:val="21"/>
                <w:lang w:val="en-US" w:eastAsia="zh-CN" w:bidi="ar-SA"/>
              </w:rPr>
              <w:t>-1991</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3</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相容性</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ascii="仿宋_GB2312" w:hAnsi="仿宋" w:eastAsia="仿宋_GB2312" w:cs="仿宋"/>
                <w:color w:val="auto"/>
                <w:szCs w:val="21"/>
              </w:rPr>
            </w:pPr>
            <w:r>
              <w:rPr>
                <w:rFonts w:hint="eastAsia" w:ascii="Times New Roman" w:hAnsi="Times New Roman" w:eastAsia="宋体" w:cs="Times New Roman"/>
                <w:color w:val="auto"/>
                <w:kern w:val="2"/>
                <w:sz w:val="21"/>
                <w:szCs w:val="21"/>
                <w:lang w:val="en-US" w:eastAsia="zh-CN" w:bidi="ar-SA"/>
              </w:rPr>
              <w:t>GB/T 23436-2009 附录C</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4</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对橡胶的影响</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23436-2009 附录E</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对塑料的影响</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23436-2009 附录F</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6</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eastAsia="宋体"/>
                <w:color w:val="auto"/>
                <w:szCs w:val="21"/>
                <w:lang w:val="en-US" w:eastAsia="zh-CN"/>
              </w:rPr>
            </w:pPr>
            <w:r>
              <w:rPr>
                <w:rFonts w:hint="eastAsia" w:eastAsia="宋体"/>
                <w:color w:val="auto"/>
                <w:szCs w:val="21"/>
                <w:lang w:val="en-US" w:eastAsia="zh-CN"/>
              </w:rPr>
              <w:t>热稳定性</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GB/T 23436-2009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宋体" w:hAnsi="宋体" w:eastAsia="宋体"/>
                <w:bCs w:val="0"/>
                <w:color w:val="auto"/>
                <w:szCs w:val="21"/>
                <w:lang w:val="en-US" w:eastAsia="zh-CN"/>
              </w:rPr>
            </w:pPr>
            <w:r>
              <w:rPr>
                <w:rFonts w:hint="eastAsia" w:ascii="Times New Roman" w:hAnsi="Times New Roman" w:eastAsia="宋体" w:cs="Times New Roman"/>
                <w:color w:val="auto"/>
                <w:kern w:val="2"/>
                <w:sz w:val="21"/>
                <w:szCs w:val="21"/>
                <w:lang w:val="en-US" w:eastAsia="zh-CN" w:bidi="ar-SA"/>
              </w:rPr>
              <w:t>GB/T 23436-2009 附录H</w:t>
            </w:r>
          </w:p>
        </w:tc>
      </w:tr>
    </w:tbl>
    <w:p>
      <w:pPr>
        <w:snapToGrid w:val="0"/>
        <w:spacing w:line="440" w:lineRule="exact"/>
        <w:rPr>
          <w:rFonts w:eastAsia="黑体"/>
          <w:color w:val="000000"/>
          <w:szCs w:val="21"/>
        </w:rPr>
      </w:pPr>
    </w:p>
    <w:p>
      <w:pPr>
        <w:adjustRightInd w:val="0"/>
        <w:snapToGrid w:val="0"/>
        <w:spacing w:line="360" w:lineRule="auto"/>
        <w:ind w:firstLine="420"/>
        <w:jc w:val="center"/>
        <w:rPr>
          <w:szCs w:val="21"/>
        </w:rPr>
      </w:pPr>
    </w:p>
    <w:p>
      <w:pPr>
        <w:adjustRightInd w:val="0"/>
        <w:snapToGrid w:val="0"/>
        <w:spacing w:line="360" w:lineRule="auto"/>
        <w:ind w:firstLine="420"/>
        <w:jc w:val="center"/>
        <w:rPr>
          <w:rFonts w:hint="eastAsia" w:ascii="Times New Roman" w:hAnsi="Times New Roman" w:eastAsia="宋体" w:cs="Times New Roman"/>
          <w:color w:val="auto"/>
          <w:kern w:val="2"/>
          <w:sz w:val="21"/>
          <w:szCs w:val="21"/>
          <w:lang w:val="en-US" w:eastAsia="zh-CN" w:bidi="ar-SA"/>
        </w:rPr>
      </w:pPr>
      <w:r>
        <w:rPr>
          <w:szCs w:val="21"/>
        </w:rPr>
        <w:t>表</w:t>
      </w:r>
      <w:r>
        <w:rPr>
          <w:rFonts w:hint="eastAsia"/>
          <w:szCs w:val="21"/>
          <w:lang w:val="en-US" w:eastAsia="zh-CN"/>
        </w:rPr>
        <w:t>2</w:t>
      </w:r>
      <w:r>
        <w:rPr>
          <w:szCs w:val="21"/>
        </w:rPr>
        <w:t xml:space="preserve"> </w:t>
      </w:r>
      <w:r>
        <w:rPr>
          <w:rFonts w:hint="eastAsia" w:ascii="宋体" w:hAnsi="宋体" w:eastAsia="宋体" w:cs="方正仿宋简体"/>
          <w:color w:val="000000"/>
          <w:szCs w:val="21"/>
          <w:lang w:val="en-US" w:eastAsia="zh-CN"/>
        </w:rPr>
        <w:t>汽车风窗玻璃清洗液</w:t>
      </w:r>
      <w:r>
        <w:rPr>
          <w:rFonts w:hint="eastAsia" w:ascii="Times New Roman" w:hAnsi="Times New Roman" w:eastAsia="宋体" w:cs="Times New Roman"/>
          <w:color w:val="auto"/>
          <w:kern w:val="2"/>
          <w:sz w:val="21"/>
          <w:szCs w:val="21"/>
          <w:lang w:val="en-US" w:eastAsia="zh-CN" w:bidi="ar-SA"/>
        </w:rPr>
        <w:t>（GB/T 23436-2025）</w:t>
      </w:r>
    </w:p>
    <w:tbl>
      <w:tblPr>
        <w:tblStyle w:val="6"/>
        <w:tblW w:w="8671" w:type="dxa"/>
        <w:jc w:val="center"/>
        <w:tblLayout w:type="fixed"/>
        <w:tblCellMar>
          <w:top w:w="0" w:type="dxa"/>
          <w:left w:w="108" w:type="dxa"/>
          <w:bottom w:w="0" w:type="dxa"/>
          <w:right w:w="108" w:type="dxa"/>
        </w:tblCellMar>
      </w:tblPr>
      <w:tblGrid>
        <w:gridCol w:w="1164"/>
        <w:gridCol w:w="2790"/>
        <w:gridCol w:w="2280"/>
        <w:gridCol w:w="2437"/>
      </w:tblGrid>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检验项目</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检验依据</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检验</w:t>
            </w:r>
            <w:r>
              <w:rPr>
                <w:rFonts w:hint="eastAsia" w:ascii="Times New Roman" w:hAnsi="Times New Roman" w:eastAsia="宋体" w:cs="Times New Roman"/>
                <w:szCs w:val="21"/>
                <w:lang w:val="en-US" w:eastAsia="zh-CN"/>
              </w:rPr>
              <w:t>方法</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eastAsia" w:ascii="仿宋_GB2312" w:hAnsi="仿宋" w:eastAsia="仿宋_GB2312" w:cs="仿宋"/>
                <w:color w:val="auto"/>
                <w:szCs w:val="21"/>
                <w:lang w:val="en-US" w:eastAsia="zh-CN"/>
              </w:rPr>
            </w:pPr>
            <w:bookmarkStart w:id="1" w:name="_GoBack" w:colFirst="2" w:colLast="3"/>
            <w:r>
              <w:rPr>
                <w:rFonts w:hint="eastAsia" w:ascii="仿宋_GB2312" w:hAnsi="仿宋" w:eastAsia="仿宋_GB2312" w:cs="仿宋"/>
                <w:color w:val="auto"/>
                <w:szCs w:val="21"/>
                <w:lang w:val="en-US" w:eastAsia="zh-CN"/>
              </w:rPr>
              <w:t>1</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冰点</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仿宋_GB2312" w:hAnsi="仿宋" w:eastAsia="仿宋_GB2312" w:cs="仿宋"/>
                <w:color w:val="auto"/>
                <w:szCs w:val="21"/>
                <w:lang w:val="en-US"/>
              </w:rPr>
            </w:pPr>
            <w:r>
              <w:rPr>
                <w:rFonts w:hint="eastAsia" w:ascii="Times New Roman" w:hAnsi="Times New Roman" w:eastAsia="宋体" w:cs="Times New Roman"/>
                <w:color w:val="auto"/>
                <w:kern w:val="2"/>
                <w:sz w:val="21"/>
                <w:szCs w:val="21"/>
                <w:lang w:val="en-US" w:eastAsia="zh-CN" w:bidi="ar-SA"/>
              </w:rPr>
              <w:t>SH/T 0090</w:t>
            </w:r>
            <w:r>
              <w:rPr>
                <w:rFonts w:hint="eastAsia" w:cs="Times New Roman"/>
                <w:color w:val="auto"/>
                <w:kern w:val="2"/>
                <w:sz w:val="21"/>
                <w:szCs w:val="21"/>
                <w:lang w:val="en-US" w:eastAsia="zh-CN" w:bidi="ar-SA"/>
              </w:rPr>
              <w:t>-1991</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2</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pH值</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仿宋_GB2312" w:hAnsi="仿宋" w:eastAsia="仿宋_GB2312" w:cs="仿宋"/>
                <w:color w:val="auto"/>
                <w:szCs w:val="21"/>
                <w:lang w:val="en-US"/>
              </w:rPr>
            </w:pPr>
            <w:r>
              <w:rPr>
                <w:rFonts w:hint="eastAsia" w:ascii="Times New Roman" w:hAnsi="Times New Roman" w:eastAsia="宋体" w:cs="Times New Roman"/>
                <w:color w:val="auto"/>
                <w:kern w:val="2"/>
                <w:sz w:val="21"/>
                <w:szCs w:val="21"/>
                <w:lang w:val="en-US" w:eastAsia="zh-CN" w:bidi="ar-SA"/>
              </w:rPr>
              <w:t>SH/T 0069</w:t>
            </w:r>
            <w:r>
              <w:rPr>
                <w:rFonts w:hint="eastAsia" w:cs="Times New Roman"/>
                <w:color w:val="auto"/>
                <w:kern w:val="2"/>
                <w:sz w:val="21"/>
                <w:szCs w:val="21"/>
                <w:lang w:val="en-US" w:eastAsia="zh-CN" w:bidi="ar-SA"/>
              </w:rPr>
              <w:t>-1991</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3</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相容性</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ascii="仿宋_GB2312" w:hAnsi="仿宋" w:eastAsia="仿宋_GB2312" w:cs="仿宋"/>
                <w:color w:val="auto"/>
                <w:szCs w:val="21"/>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附录</w:t>
            </w:r>
            <w:r>
              <w:rPr>
                <w:rFonts w:hint="eastAsia" w:cs="Times New Roman"/>
                <w:color w:val="auto"/>
                <w:kern w:val="2"/>
                <w:sz w:val="21"/>
                <w:szCs w:val="21"/>
                <w:lang w:val="en-US" w:eastAsia="zh-CN" w:bidi="ar-SA"/>
              </w:rPr>
              <w:t>D</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4</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对橡胶的影响</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附录</w:t>
            </w:r>
            <w:r>
              <w:rPr>
                <w:rFonts w:hint="eastAsia" w:cs="Times New Roman"/>
                <w:color w:val="auto"/>
                <w:kern w:val="2"/>
                <w:sz w:val="21"/>
                <w:szCs w:val="21"/>
                <w:lang w:val="en-US" w:eastAsia="zh-CN" w:bidi="ar-SA"/>
              </w:rPr>
              <w:t>F</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5</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color w:val="auto"/>
                <w:kern w:val="2"/>
                <w:sz w:val="21"/>
                <w:szCs w:val="21"/>
                <w:lang w:val="en-US" w:eastAsia="zh-CN" w:bidi="ar-SA"/>
              </w:rPr>
            </w:pPr>
            <w:r>
              <w:rPr>
                <w:rFonts w:hint="eastAsia"/>
                <w:color w:val="auto"/>
                <w:kern w:val="2"/>
                <w:sz w:val="21"/>
                <w:szCs w:val="21"/>
                <w:lang w:val="en-US" w:eastAsia="zh-CN" w:bidi="ar-SA"/>
              </w:rPr>
              <w:t>对塑料的影响</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附录</w:t>
            </w:r>
            <w:r>
              <w:rPr>
                <w:rFonts w:hint="eastAsia" w:cs="Times New Roman"/>
                <w:color w:val="auto"/>
                <w:kern w:val="2"/>
                <w:sz w:val="21"/>
                <w:szCs w:val="21"/>
                <w:lang w:val="en-US" w:eastAsia="zh-CN" w:bidi="ar-SA"/>
              </w:rPr>
              <w:t>G</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6</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eastAsia="宋体"/>
                <w:color w:val="auto"/>
                <w:szCs w:val="21"/>
                <w:lang w:val="en-US" w:eastAsia="zh-CN"/>
              </w:rPr>
            </w:pPr>
            <w:r>
              <w:rPr>
                <w:rFonts w:hint="eastAsia" w:eastAsia="宋体"/>
                <w:color w:val="auto"/>
                <w:szCs w:val="21"/>
                <w:lang w:val="en-US" w:eastAsia="zh-CN"/>
              </w:rPr>
              <w:t>热稳定性</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宋体" w:hAnsi="宋体" w:eastAsia="宋体"/>
                <w:bCs w:val="0"/>
                <w:color w:val="auto"/>
                <w:szCs w:val="21"/>
                <w:lang w:val="en-US" w:eastAsia="zh-CN"/>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附录</w:t>
            </w:r>
            <w:r>
              <w:rPr>
                <w:rFonts w:hint="eastAsia" w:cs="Times New Roman"/>
                <w:color w:val="auto"/>
                <w:kern w:val="2"/>
                <w:sz w:val="21"/>
                <w:szCs w:val="21"/>
                <w:lang w:val="en-US" w:eastAsia="zh-CN" w:bidi="ar-SA"/>
              </w:rPr>
              <w:t>I</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7</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eastAsia="宋体"/>
                <w:color w:val="auto"/>
                <w:szCs w:val="21"/>
                <w:lang w:val="en-US" w:eastAsia="zh-CN"/>
              </w:rPr>
            </w:pPr>
            <w:r>
              <w:rPr>
                <w:rFonts w:hint="eastAsia" w:eastAsia="宋体"/>
                <w:szCs w:val="21"/>
                <w:lang w:val="en-US" w:eastAsia="zh-CN"/>
              </w:rPr>
              <w:t>甲醇含量</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附录</w:t>
            </w:r>
            <w:r>
              <w:rPr>
                <w:rFonts w:hint="eastAsia" w:cs="Times New Roman"/>
                <w:color w:val="auto"/>
                <w:kern w:val="2"/>
                <w:sz w:val="21"/>
                <w:szCs w:val="21"/>
                <w:lang w:val="en-US" w:eastAsia="zh-CN" w:bidi="ar-SA"/>
              </w:rPr>
              <w:t>B</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8</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eastAsia="宋体"/>
                <w:color w:val="auto"/>
                <w:szCs w:val="21"/>
                <w:lang w:val="en-US" w:eastAsia="zh-CN"/>
              </w:rPr>
            </w:pPr>
            <w:r>
              <w:rPr>
                <w:rFonts w:hint="eastAsia" w:eastAsia="宋体"/>
                <w:szCs w:val="21"/>
                <w:lang w:val="en-US" w:eastAsia="zh-CN"/>
              </w:rPr>
              <w:t xml:space="preserve">表面张力 </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GB/T 42415-2023</w:t>
            </w:r>
          </w:p>
        </w:tc>
      </w:tr>
      <w:tr>
        <w:tblPrEx>
          <w:tblCellMar>
            <w:top w:w="0" w:type="dxa"/>
            <w:left w:w="108" w:type="dxa"/>
            <w:bottom w:w="0" w:type="dxa"/>
            <w:right w:w="108" w:type="dxa"/>
          </w:tblCellMar>
        </w:tblPrEx>
        <w:trPr>
          <w:trHeight w:val="362" w:hRule="atLeast"/>
          <w:jc w:val="center"/>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center"/>
              <w:textAlignment w:val="center"/>
              <w:rPr>
                <w:rFonts w:hint="default" w:ascii="仿宋_GB2312" w:hAnsi="仿宋" w:eastAsia="仿宋_GB2312" w:cs="仿宋"/>
                <w:color w:val="auto"/>
                <w:szCs w:val="21"/>
                <w:lang w:val="en-US" w:eastAsia="zh-CN"/>
              </w:rPr>
            </w:pPr>
            <w:r>
              <w:rPr>
                <w:rFonts w:hint="eastAsia" w:ascii="仿宋_GB2312" w:hAnsi="仿宋" w:eastAsia="仿宋_GB2312" w:cs="仿宋"/>
                <w:color w:val="auto"/>
                <w:szCs w:val="21"/>
                <w:lang w:val="en-US" w:eastAsia="zh-CN"/>
              </w:rPr>
              <w:t>9</w:t>
            </w:r>
          </w:p>
        </w:tc>
        <w:tc>
          <w:tcPr>
            <w:tcW w:w="27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val="0"/>
              <w:snapToGrid w:val="0"/>
              <w:jc w:val="center"/>
              <w:rPr>
                <w:rFonts w:hint="eastAsia" w:eastAsia="宋体"/>
                <w:color w:val="auto"/>
                <w:szCs w:val="21"/>
                <w:lang w:val="en-US" w:eastAsia="zh-CN"/>
              </w:rPr>
            </w:pPr>
            <w:r>
              <w:rPr>
                <w:rFonts w:hint="eastAsia" w:eastAsia="宋体"/>
                <w:szCs w:val="21"/>
                <w:lang w:val="en-US" w:eastAsia="zh-CN"/>
              </w:rPr>
              <w:t>机械杂质</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GB/T 23436-</w:t>
            </w:r>
            <w:r>
              <w:rPr>
                <w:rFonts w:hint="eastAsia" w:cs="Times New Roman"/>
                <w:color w:val="auto"/>
                <w:kern w:val="2"/>
                <w:sz w:val="21"/>
                <w:szCs w:val="21"/>
                <w:lang w:val="en-US" w:eastAsia="zh-CN" w:bidi="ar-SA"/>
              </w:rPr>
              <w:t>2025</w:t>
            </w:r>
            <w:r>
              <w:rPr>
                <w:rFonts w:hint="eastAsia" w:ascii="Times New Roman" w:hAnsi="Times New Roman" w:eastAsia="宋体" w:cs="Times New Roman"/>
                <w:color w:val="auto"/>
                <w:kern w:val="2"/>
                <w:sz w:val="21"/>
                <w:szCs w:val="21"/>
                <w:lang w:val="en-US" w:eastAsia="zh-CN" w:bidi="ar-SA"/>
              </w:rPr>
              <w:t xml:space="preserve"> </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jc w:val="left"/>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GB/T 511-2010</w:t>
            </w:r>
          </w:p>
        </w:tc>
      </w:tr>
      <w:bookmarkEnd w:id="1"/>
    </w:tbl>
    <w:p>
      <w:pPr>
        <w:adjustRightInd w:val="0"/>
        <w:snapToGrid w:val="0"/>
        <w:spacing w:line="360" w:lineRule="auto"/>
        <w:ind w:firstLine="420"/>
        <w:jc w:val="center"/>
        <w:rPr>
          <w:color w:val="auto"/>
          <w:szCs w:val="21"/>
        </w:rPr>
      </w:pPr>
    </w:p>
    <w:p>
      <w:pPr>
        <w:adjustRightInd w:val="0"/>
        <w:snapToGrid w:val="0"/>
        <w:spacing w:line="440" w:lineRule="exact"/>
        <w:ind w:firstLine="420" w:firstLineChars="200"/>
        <w:rPr>
          <w:rFonts w:eastAsia="黑体"/>
          <w:color w:val="000000"/>
          <w:szCs w:val="21"/>
        </w:rPr>
      </w:pPr>
      <w:bookmarkStart w:id="0" w:name="_Hlk40347690"/>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adjustRightInd w:val="0"/>
        <w:snapToGrid w:val="0"/>
        <w:spacing w:line="440" w:lineRule="exact"/>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23436-2009《汽车风窗玻璃清洗液》</w:t>
      </w:r>
    </w:p>
    <w:p>
      <w:pPr>
        <w:adjustRightInd w:val="0"/>
        <w:snapToGrid w:val="0"/>
        <w:spacing w:line="440" w:lineRule="exact"/>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23436-</w:t>
      </w:r>
      <w:r>
        <w:rPr>
          <w:rFonts w:hint="eastAsia" w:cs="Times New Roman"/>
          <w:color w:val="000000"/>
          <w:szCs w:val="21"/>
          <w:lang w:val="en-US" w:eastAsia="zh-CN"/>
        </w:rPr>
        <w:t>2025</w:t>
      </w:r>
      <w:r>
        <w:rPr>
          <w:rFonts w:hint="eastAsia" w:ascii="Times New Roman" w:hAnsi="Times New Roman" w:eastAsia="宋体" w:cs="Times New Roman"/>
          <w:color w:val="000000"/>
          <w:szCs w:val="21"/>
          <w:lang w:val="en-US" w:eastAsia="zh-CN"/>
        </w:rPr>
        <w:t>《汽车风窗玻璃清洗液》</w:t>
      </w:r>
    </w:p>
    <w:p>
      <w:pPr>
        <w:adjustRightInd w:val="0"/>
        <w:snapToGrid w:val="0"/>
        <w:spacing w:line="440" w:lineRule="exact"/>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E244CB"/>
    <w:rsid w:val="030559FB"/>
    <w:rsid w:val="03FE7EAB"/>
    <w:rsid w:val="047C599F"/>
    <w:rsid w:val="050E548B"/>
    <w:rsid w:val="061D5992"/>
    <w:rsid w:val="073B1452"/>
    <w:rsid w:val="07832BA1"/>
    <w:rsid w:val="082D6FB0"/>
    <w:rsid w:val="085B1D6F"/>
    <w:rsid w:val="08844E22"/>
    <w:rsid w:val="08E72291"/>
    <w:rsid w:val="099F5C8C"/>
    <w:rsid w:val="0A1E73F4"/>
    <w:rsid w:val="0AF941C1"/>
    <w:rsid w:val="0DF3198E"/>
    <w:rsid w:val="10965AC6"/>
    <w:rsid w:val="1140560A"/>
    <w:rsid w:val="12307DC9"/>
    <w:rsid w:val="124D62E4"/>
    <w:rsid w:val="12887C05"/>
    <w:rsid w:val="12B74046"/>
    <w:rsid w:val="12CC1965"/>
    <w:rsid w:val="12E110C3"/>
    <w:rsid w:val="155E61A1"/>
    <w:rsid w:val="1577438A"/>
    <w:rsid w:val="158E72E0"/>
    <w:rsid w:val="171C0FEA"/>
    <w:rsid w:val="182F1ABD"/>
    <w:rsid w:val="18C16ACC"/>
    <w:rsid w:val="194B54E8"/>
    <w:rsid w:val="1A1670E6"/>
    <w:rsid w:val="1AE216BB"/>
    <w:rsid w:val="1AFD319C"/>
    <w:rsid w:val="1B6603B7"/>
    <w:rsid w:val="1D4E1BDE"/>
    <w:rsid w:val="1E297B4D"/>
    <w:rsid w:val="1EB17AB5"/>
    <w:rsid w:val="1ED61AE4"/>
    <w:rsid w:val="1F49071C"/>
    <w:rsid w:val="1FB65DB1"/>
    <w:rsid w:val="1FC81641"/>
    <w:rsid w:val="1FD4700F"/>
    <w:rsid w:val="1FD9384E"/>
    <w:rsid w:val="209F03B3"/>
    <w:rsid w:val="20EC5BC2"/>
    <w:rsid w:val="20FD71B1"/>
    <w:rsid w:val="211D59BC"/>
    <w:rsid w:val="219F2AFA"/>
    <w:rsid w:val="21FD29DA"/>
    <w:rsid w:val="221C3EC6"/>
    <w:rsid w:val="22D8603F"/>
    <w:rsid w:val="234E72B5"/>
    <w:rsid w:val="23921209"/>
    <w:rsid w:val="23B15503"/>
    <w:rsid w:val="24241890"/>
    <w:rsid w:val="24264B88"/>
    <w:rsid w:val="24D740D4"/>
    <w:rsid w:val="25587FAA"/>
    <w:rsid w:val="25F53768"/>
    <w:rsid w:val="267918E7"/>
    <w:rsid w:val="26962499"/>
    <w:rsid w:val="27364159"/>
    <w:rsid w:val="27A74232"/>
    <w:rsid w:val="29244F27"/>
    <w:rsid w:val="29312005"/>
    <w:rsid w:val="2A353D77"/>
    <w:rsid w:val="2AC717C5"/>
    <w:rsid w:val="2C250022"/>
    <w:rsid w:val="2C88600B"/>
    <w:rsid w:val="2D0B213D"/>
    <w:rsid w:val="2D8B2B22"/>
    <w:rsid w:val="2E2F6D2F"/>
    <w:rsid w:val="2E9F5C62"/>
    <w:rsid w:val="2EE1627B"/>
    <w:rsid w:val="2F503401"/>
    <w:rsid w:val="2F9037FD"/>
    <w:rsid w:val="2FF87D20"/>
    <w:rsid w:val="2FFA2612"/>
    <w:rsid w:val="30522674"/>
    <w:rsid w:val="31496090"/>
    <w:rsid w:val="3150593A"/>
    <w:rsid w:val="31BE28A4"/>
    <w:rsid w:val="31D24110"/>
    <w:rsid w:val="3202689B"/>
    <w:rsid w:val="32056724"/>
    <w:rsid w:val="320D1173"/>
    <w:rsid w:val="3293788C"/>
    <w:rsid w:val="34873A5C"/>
    <w:rsid w:val="356C0266"/>
    <w:rsid w:val="359222F5"/>
    <w:rsid w:val="35BC534C"/>
    <w:rsid w:val="35FB69C2"/>
    <w:rsid w:val="363475D8"/>
    <w:rsid w:val="36A62466"/>
    <w:rsid w:val="36F823B4"/>
    <w:rsid w:val="377346B8"/>
    <w:rsid w:val="37FA1879"/>
    <w:rsid w:val="382C3278"/>
    <w:rsid w:val="383E69E7"/>
    <w:rsid w:val="388163D9"/>
    <w:rsid w:val="38BE13DB"/>
    <w:rsid w:val="3A0E0140"/>
    <w:rsid w:val="3AF64E5C"/>
    <w:rsid w:val="3B4402BD"/>
    <w:rsid w:val="3B7E6C11"/>
    <w:rsid w:val="3B8E367D"/>
    <w:rsid w:val="3B8E778B"/>
    <w:rsid w:val="3BB05953"/>
    <w:rsid w:val="3BF46386"/>
    <w:rsid w:val="3C090BBF"/>
    <w:rsid w:val="3CA37266"/>
    <w:rsid w:val="3CF7075F"/>
    <w:rsid w:val="3D7B02C4"/>
    <w:rsid w:val="3DA908AC"/>
    <w:rsid w:val="3DBF00CF"/>
    <w:rsid w:val="3DC97D5B"/>
    <w:rsid w:val="3DFF227A"/>
    <w:rsid w:val="3E5D51F2"/>
    <w:rsid w:val="3EA13331"/>
    <w:rsid w:val="3F32667F"/>
    <w:rsid w:val="4078764D"/>
    <w:rsid w:val="40DC4AF4"/>
    <w:rsid w:val="41474664"/>
    <w:rsid w:val="417B430D"/>
    <w:rsid w:val="418F3021"/>
    <w:rsid w:val="41F06AA9"/>
    <w:rsid w:val="41F83BB0"/>
    <w:rsid w:val="423F533B"/>
    <w:rsid w:val="42457934"/>
    <w:rsid w:val="443C13EE"/>
    <w:rsid w:val="44B30262"/>
    <w:rsid w:val="44DA134B"/>
    <w:rsid w:val="4516763C"/>
    <w:rsid w:val="456357E4"/>
    <w:rsid w:val="4585575A"/>
    <w:rsid w:val="45BE0C6C"/>
    <w:rsid w:val="465D7F9F"/>
    <w:rsid w:val="46D83FB0"/>
    <w:rsid w:val="474B6530"/>
    <w:rsid w:val="475E44B5"/>
    <w:rsid w:val="48593863"/>
    <w:rsid w:val="48C400DF"/>
    <w:rsid w:val="492C7797"/>
    <w:rsid w:val="493113C1"/>
    <w:rsid w:val="496D4E83"/>
    <w:rsid w:val="499F7616"/>
    <w:rsid w:val="49B26D3A"/>
    <w:rsid w:val="49D547D7"/>
    <w:rsid w:val="4B0B4B1B"/>
    <w:rsid w:val="4B2C6678"/>
    <w:rsid w:val="4B3C24D4"/>
    <w:rsid w:val="4DB841F3"/>
    <w:rsid w:val="4DFC4771"/>
    <w:rsid w:val="4E404914"/>
    <w:rsid w:val="4E4357B4"/>
    <w:rsid w:val="4E465E03"/>
    <w:rsid w:val="4F1B164B"/>
    <w:rsid w:val="50047BC4"/>
    <w:rsid w:val="50334005"/>
    <w:rsid w:val="505E421B"/>
    <w:rsid w:val="50FA7E11"/>
    <w:rsid w:val="517448D5"/>
    <w:rsid w:val="52205134"/>
    <w:rsid w:val="5279512E"/>
    <w:rsid w:val="528C7C8F"/>
    <w:rsid w:val="52910CBA"/>
    <w:rsid w:val="529E42FF"/>
    <w:rsid w:val="52EB0BC7"/>
    <w:rsid w:val="548D005E"/>
    <w:rsid w:val="549A4653"/>
    <w:rsid w:val="554A6079"/>
    <w:rsid w:val="578153D9"/>
    <w:rsid w:val="57E9601D"/>
    <w:rsid w:val="58350A83"/>
    <w:rsid w:val="58EF1411"/>
    <w:rsid w:val="58EF652E"/>
    <w:rsid w:val="5A056A12"/>
    <w:rsid w:val="5A2677D6"/>
    <w:rsid w:val="5A5C61B2"/>
    <w:rsid w:val="5A6F70EB"/>
    <w:rsid w:val="5A9647D7"/>
    <w:rsid w:val="5AAB580B"/>
    <w:rsid w:val="5B124BBD"/>
    <w:rsid w:val="5BEA4111"/>
    <w:rsid w:val="5C50253A"/>
    <w:rsid w:val="5D071DDC"/>
    <w:rsid w:val="5D6A1CEF"/>
    <w:rsid w:val="5ED15115"/>
    <w:rsid w:val="5EEE3F19"/>
    <w:rsid w:val="5F377E07"/>
    <w:rsid w:val="5F5A0C98"/>
    <w:rsid w:val="5F5F2560"/>
    <w:rsid w:val="60464805"/>
    <w:rsid w:val="6071095D"/>
    <w:rsid w:val="60BD7DF0"/>
    <w:rsid w:val="60C2740B"/>
    <w:rsid w:val="60CA62C0"/>
    <w:rsid w:val="615A5895"/>
    <w:rsid w:val="61A70276"/>
    <w:rsid w:val="620F042E"/>
    <w:rsid w:val="626764BC"/>
    <w:rsid w:val="62B92A90"/>
    <w:rsid w:val="638018DF"/>
    <w:rsid w:val="64176A36"/>
    <w:rsid w:val="649B7BE3"/>
    <w:rsid w:val="64A31301"/>
    <w:rsid w:val="64A55079"/>
    <w:rsid w:val="65F53F8F"/>
    <w:rsid w:val="665054B9"/>
    <w:rsid w:val="669A3257"/>
    <w:rsid w:val="678278F4"/>
    <w:rsid w:val="68150768"/>
    <w:rsid w:val="68466B73"/>
    <w:rsid w:val="687142E8"/>
    <w:rsid w:val="687150F2"/>
    <w:rsid w:val="68B35D2C"/>
    <w:rsid w:val="690F6F65"/>
    <w:rsid w:val="691602F4"/>
    <w:rsid w:val="69321FF3"/>
    <w:rsid w:val="699B6A4B"/>
    <w:rsid w:val="6B286B57"/>
    <w:rsid w:val="6CA9147F"/>
    <w:rsid w:val="6CD174AB"/>
    <w:rsid w:val="6D592EA5"/>
    <w:rsid w:val="6D8D7EC7"/>
    <w:rsid w:val="6DF40E20"/>
    <w:rsid w:val="6E4C47B8"/>
    <w:rsid w:val="6E7F4B8D"/>
    <w:rsid w:val="6E861244"/>
    <w:rsid w:val="6E9028F6"/>
    <w:rsid w:val="6EB507F9"/>
    <w:rsid w:val="6EE449F0"/>
    <w:rsid w:val="6EED7D49"/>
    <w:rsid w:val="6EF72976"/>
    <w:rsid w:val="6F357F21"/>
    <w:rsid w:val="70F30069"/>
    <w:rsid w:val="71542D7C"/>
    <w:rsid w:val="717F6C52"/>
    <w:rsid w:val="722C7C94"/>
    <w:rsid w:val="72361A07"/>
    <w:rsid w:val="738B18DE"/>
    <w:rsid w:val="73DD4830"/>
    <w:rsid w:val="73EA055C"/>
    <w:rsid w:val="74DD3B22"/>
    <w:rsid w:val="76006033"/>
    <w:rsid w:val="760A7432"/>
    <w:rsid w:val="76837622"/>
    <w:rsid w:val="76E25746"/>
    <w:rsid w:val="77160F3E"/>
    <w:rsid w:val="774A3AE4"/>
    <w:rsid w:val="7789082B"/>
    <w:rsid w:val="779427CE"/>
    <w:rsid w:val="78E139CE"/>
    <w:rsid w:val="78F2219D"/>
    <w:rsid w:val="79D97847"/>
    <w:rsid w:val="7B35430A"/>
    <w:rsid w:val="7B48560F"/>
    <w:rsid w:val="7B65510B"/>
    <w:rsid w:val="7C5A4039"/>
    <w:rsid w:val="7D5611AF"/>
    <w:rsid w:val="7DCC76C3"/>
    <w:rsid w:val="7E6416AA"/>
    <w:rsid w:val="7F221B2F"/>
    <w:rsid w:val="7F594F87"/>
    <w:rsid w:val="BBBDC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列出段落1"/>
    <w:basedOn w:val="1"/>
    <w:qFormat/>
    <w:uiPriority w:val="34"/>
    <w:pPr>
      <w:ind w:firstLine="420" w:firstLineChars="200"/>
    </w:pPr>
    <w:rPr>
      <w:rFonts w:ascii="Calibri" w:hAnsi="Calibri"/>
      <w:szCs w:val="22"/>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587</Words>
  <Characters>749</Characters>
  <Lines>30</Lines>
  <Paragraphs>8</Paragraphs>
  <TotalTime>1</TotalTime>
  <ScaleCrop>false</ScaleCrop>
  <LinksUpToDate>false</LinksUpToDate>
  <CharactersWithSpaces>776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2020-07-28T02:18:00Z</dcterms:created>
  <dc:creator>Legend User</dc:creator>
  <cp:lastModifiedBy>guest</cp:lastModifiedBy>
  <cp:lastPrinted>2026-05-21T02:37:00Z</cp:lastPrinted>
  <dcterms:modified xsi:type="dcterms:W3CDTF">2026-05-26T09:54:55Z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3617A0B603AD437D97D258D85523C8C2_13</vt:lpwstr>
  </property>
  <property fmtid="{D5CDD505-2E9C-101B-9397-08002B2CF9AE}" pid="4" name="KSOTemplateDocerSaveRecord">
    <vt:lpwstr>eyJoZGlkIjoiYzNiNzU2ZjM1Nzk3NzczMjdhZGNkYjcwODI4ZGE3MjEiLCJ1c2VySWQiOiIxNjA3OTM1ODg3In0=</vt:lpwstr>
  </property>
</Properties>
</file>