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方正小标宋简体" w:hAnsi="仿宋" w:eastAsia="方正小标宋简体" w:cs="方正仿宋简体"/>
          <w:color w:val="auto"/>
          <w:sz w:val="32"/>
          <w:szCs w:val="32"/>
          <w:lang w:val="en-US"/>
        </w:rPr>
      </w:pPr>
      <w:r>
        <w:rPr>
          <w:rFonts w:hint="eastAsia" w:ascii="黑体" w:hAnsi="黑体" w:eastAsia="黑体" w:cs="黑体"/>
          <w:color w:val="auto"/>
          <w:sz w:val="32"/>
          <w:szCs w:val="32"/>
          <w:lang w:val="en-US" w:eastAsia="zh-CN"/>
        </w:rPr>
        <w:t>附件15</w:t>
      </w:r>
    </w:p>
    <w:p>
      <w:pPr>
        <w:snapToGrid w:val="0"/>
        <w:spacing w:line="360" w:lineRule="auto"/>
        <w:jc w:val="center"/>
        <w:rPr>
          <w:rFonts w:hint="eastAsia" w:ascii="方正小标宋简体" w:hAnsi="仿宋" w:eastAsia="方正小标宋简体" w:cs="方正仿宋简体"/>
          <w:color w:val="auto"/>
          <w:sz w:val="32"/>
          <w:szCs w:val="32"/>
        </w:rPr>
      </w:pPr>
      <w:bookmarkStart w:id="0" w:name="_GoBack"/>
      <w:r>
        <w:rPr>
          <w:rFonts w:hint="eastAsia" w:ascii="方正小标宋简体" w:hAnsi="仿宋" w:eastAsia="方正小标宋简体" w:cs="方正仿宋简体"/>
          <w:color w:val="auto"/>
          <w:sz w:val="32"/>
          <w:szCs w:val="32"/>
        </w:rPr>
        <w:t>陕西省</w:t>
      </w:r>
      <w:r>
        <w:rPr>
          <w:rFonts w:hint="eastAsia" w:ascii="方正小标宋简体" w:hAnsi="仿宋" w:eastAsia="方正小标宋简体" w:cs="方正仿宋简体"/>
          <w:color w:val="auto"/>
          <w:sz w:val="32"/>
          <w:szCs w:val="32"/>
          <w:lang w:val="en-US" w:eastAsia="zh-CN"/>
        </w:rPr>
        <w:t>工业洗涤剂</w:t>
      </w:r>
      <w:r>
        <w:rPr>
          <w:rFonts w:hint="eastAsia" w:ascii="方正小标宋简体" w:hAnsi="仿宋" w:eastAsia="方正小标宋简体" w:cs="方正仿宋简体"/>
          <w:color w:val="auto"/>
          <w:sz w:val="32"/>
          <w:szCs w:val="32"/>
        </w:rPr>
        <w:t>产品</w:t>
      </w:r>
      <w:r>
        <w:rPr>
          <w:rFonts w:hint="eastAsia" w:ascii="方正小标宋简体" w:hAnsi="仿宋" w:eastAsia="方正小标宋简体" w:cs="方正仿宋简体"/>
          <w:color w:val="auto"/>
          <w:sz w:val="32"/>
          <w:szCs w:val="32"/>
          <w:lang w:val="en-US" w:eastAsia="zh-CN"/>
        </w:rPr>
        <w:t>质量</w:t>
      </w:r>
      <w:r>
        <w:rPr>
          <w:rFonts w:hint="eastAsia" w:ascii="方正小标宋简体" w:hAnsi="仿宋" w:eastAsia="方正小标宋简体" w:cs="方正仿宋简体"/>
          <w:color w:val="auto"/>
          <w:sz w:val="32"/>
          <w:szCs w:val="32"/>
        </w:rPr>
        <w:t>监督抽查实施细则</w:t>
      </w:r>
    </w:p>
    <w:bookmarkEnd w:id="0"/>
    <w:p>
      <w:pPr>
        <w:snapToGrid w:val="0"/>
        <w:spacing w:line="360" w:lineRule="auto"/>
        <w:jc w:val="both"/>
        <w:rPr>
          <w:rFonts w:hint="default" w:ascii="Times New Roman" w:hAnsi="Times New Roman" w:eastAsia="黑体" w:cs="Times New Roman"/>
          <w:color w:val="000000"/>
          <w:szCs w:val="21"/>
          <w:lang w:val="en-US" w:eastAsia="zh-CN"/>
        </w:rPr>
      </w:pPr>
      <w:r>
        <w:rPr>
          <w:rFonts w:hint="eastAsia" w:ascii="Times New Roman" w:hAnsi="Times New Roman" w:eastAsia="黑体" w:cs="Times New Roman"/>
          <w:color w:val="000000"/>
          <w:szCs w:val="21"/>
        </w:rPr>
        <w:t>1抽样方法</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以随机抽样的方式在被抽样销售者的待销产品中抽取。</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随机数使用随机数表方法产生。</w:t>
      </w:r>
    </w:p>
    <w:p>
      <w:pPr>
        <w:keepNext w:val="0"/>
        <w:keepLines w:val="0"/>
        <w:pageBreakBefore w:val="0"/>
        <w:widowControl w:val="0"/>
        <w:kinsoku/>
        <w:wordWrap/>
        <w:overflowPunct/>
        <w:topLinePunct w:val="0"/>
        <w:autoSpaceDE/>
        <w:autoSpaceDN/>
        <w:bidi w:val="0"/>
        <w:adjustRightInd w:val="0"/>
        <w:snapToGrid/>
        <w:spacing w:beforeAutospacing="0" w:line="360" w:lineRule="auto"/>
        <w:ind w:firstLine="42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当</w:t>
      </w:r>
      <w:r>
        <w:rPr>
          <w:rFonts w:hint="eastAsia" w:ascii="宋体" w:hAnsi="宋体" w:eastAsia="宋体" w:cs="宋体"/>
          <w:color w:val="000000"/>
          <w:sz w:val="21"/>
          <w:szCs w:val="21"/>
        </w:rPr>
        <w:t>产品独立包装质量</w:t>
      </w:r>
      <w:r>
        <w:rPr>
          <w:rFonts w:hint="eastAsia" w:ascii="宋体" w:hAnsi="宋体" w:eastAsia="宋体" w:cs="宋体"/>
          <w:color w:val="000000"/>
          <w:sz w:val="21"/>
          <w:szCs w:val="21"/>
          <w:lang w:val="en-US" w:eastAsia="zh-CN"/>
        </w:rPr>
        <w:t>＜2kg</w:t>
      </w:r>
      <w:r>
        <w:rPr>
          <w:rFonts w:hint="eastAsia" w:ascii="宋体" w:hAnsi="宋体" w:eastAsia="宋体" w:cs="宋体"/>
          <w:color w:val="000000"/>
          <w:sz w:val="21"/>
          <w:szCs w:val="21"/>
        </w:rPr>
        <w:t>时</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抽取</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个独立包装，</w:t>
      </w:r>
      <w:r>
        <w:rPr>
          <w:rFonts w:hint="eastAsia" w:ascii="宋体" w:hAnsi="宋体" w:eastAsia="宋体" w:cs="宋体"/>
          <w:color w:val="000000"/>
          <w:sz w:val="21"/>
          <w:szCs w:val="21"/>
          <w:lang w:val="en-US" w:eastAsia="zh-CN"/>
        </w:rPr>
        <w:t>1份为检验</w:t>
      </w:r>
      <w:r>
        <w:rPr>
          <w:rFonts w:hint="eastAsia" w:ascii="宋体" w:hAnsi="宋体" w:eastAsia="宋体" w:cs="宋体"/>
          <w:color w:val="000000"/>
          <w:sz w:val="21"/>
          <w:szCs w:val="21"/>
        </w:rPr>
        <w:t>样品，1份为备份样品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当</w:t>
      </w:r>
      <w:r>
        <w:rPr>
          <w:rFonts w:hint="eastAsia" w:ascii="宋体" w:hAnsi="宋体" w:eastAsia="宋体" w:cs="宋体"/>
          <w:color w:val="000000"/>
          <w:sz w:val="21"/>
          <w:szCs w:val="21"/>
        </w:rPr>
        <w:t>产品独立包装质量</w:t>
      </w:r>
      <w:r>
        <w:rPr>
          <w:rFonts w:hint="eastAsia" w:ascii="宋体" w:hAnsi="宋体" w:eastAsia="宋体" w:cs="宋体"/>
          <w:color w:val="000000"/>
          <w:sz w:val="21"/>
          <w:szCs w:val="21"/>
          <w:lang w:val="en-US" w:eastAsia="zh-CN"/>
        </w:rPr>
        <w:t>为＞2kg</w:t>
      </w:r>
      <w:r>
        <w:rPr>
          <w:rFonts w:hint="eastAsia" w:ascii="宋体" w:hAnsi="宋体" w:eastAsia="宋体" w:cs="宋体"/>
          <w:color w:val="000000"/>
          <w:sz w:val="21"/>
          <w:szCs w:val="21"/>
        </w:rPr>
        <w:t>时，抽取</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份</w:t>
      </w:r>
      <w:r>
        <w:rPr>
          <w:rFonts w:hint="eastAsia" w:ascii="宋体" w:hAnsi="宋体" w:eastAsia="宋体" w:cs="宋体"/>
          <w:color w:val="000000"/>
          <w:sz w:val="21"/>
          <w:szCs w:val="21"/>
          <w:lang w:val="en-US" w:eastAsia="zh-CN"/>
        </w:rPr>
        <w:t>250mL</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1份为检验</w:t>
      </w:r>
      <w:r>
        <w:rPr>
          <w:rFonts w:hint="eastAsia" w:ascii="宋体" w:hAnsi="宋体" w:eastAsia="宋体" w:cs="宋体"/>
          <w:color w:val="000000"/>
          <w:sz w:val="21"/>
          <w:szCs w:val="21"/>
        </w:rPr>
        <w:t>样品，1份为备份样品。当产品无包装时</w:t>
      </w:r>
      <w:r>
        <w:rPr>
          <w:rFonts w:hint="eastAsia" w:ascii="宋体" w:hAnsi="宋体" w:eastAsia="宋体" w:cs="宋体"/>
          <w:color w:val="000000"/>
          <w:sz w:val="21"/>
          <w:szCs w:val="21"/>
          <w:lang w:val="en-US" w:eastAsia="zh-CN"/>
        </w:rPr>
        <w:t>,即整罐储存时，在罐体液体出口处流出样品，立即装入两个清洁、干燥、具磨口塞的玻璃瓶中，用生胶带密封。每份250mL</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1份为检验</w:t>
      </w:r>
      <w:r>
        <w:rPr>
          <w:rFonts w:hint="eastAsia" w:ascii="宋体" w:hAnsi="宋体" w:eastAsia="宋体" w:cs="宋体"/>
          <w:color w:val="000000"/>
          <w:sz w:val="21"/>
          <w:szCs w:val="21"/>
        </w:rPr>
        <w:t>样品，1份为备份样品</w:t>
      </w:r>
      <w:r>
        <w:rPr>
          <w:rFonts w:hint="eastAsia" w:ascii="宋体" w:hAnsi="宋体" w:eastAsia="宋体" w:cs="宋体"/>
          <w:color w:val="000000"/>
          <w:sz w:val="21"/>
          <w:szCs w:val="21"/>
          <w:lang w:val="en-US" w:eastAsia="zh-CN"/>
        </w:rPr>
        <w:t>。</w:t>
      </w:r>
    </w:p>
    <w:p>
      <w:pPr>
        <w:keepNext w:val="0"/>
        <w:keepLines w:val="0"/>
        <w:pageBreakBefore w:val="0"/>
        <w:widowControl w:val="0"/>
        <w:kinsoku/>
        <w:wordWrap/>
        <w:overflowPunct/>
        <w:topLinePunct w:val="0"/>
        <w:autoSpaceDE/>
        <w:autoSpaceDN/>
        <w:bidi w:val="0"/>
        <w:snapToGrid/>
        <w:spacing w:line="360" w:lineRule="auto"/>
        <w:textAlignment w:val="auto"/>
        <w:rPr>
          <w:rFonts w:ascii="Times New Roman" w:hAnsi="Times New Roman" w:eastAsia="黑体" w:cs="Times New Roman"/>
          <w:color w:val="000000"/>
          <w:szCs w:val="21"/>
        </w:rPr>
      </w:pPr>
      <w:r>
        <w:rPr>
          <w:rFonts w:hint="eastAsia" w:ascii="Times New Roman" w:hAnsi="Times New Roman" w:eastAsia="黑体" w:cs="Times New Roman"/>
          <w:color w:val="000000"/>
          <w:szCs w:val="21"/>
        </w:rPr>
        <w:t>2检验依据</w:t>
      </w:r>
    </w:p>
    <w:p>
      <w:pPr>
        <w:keepNext w:val="0"/>
        <w:keepLines w:val="0"/>
        <w:pageBreakBefore w:val="0"/>
        <w:widowControl w:val="0"/>
        <w:kinsoku/>
        <w:wordWrap/>
        <w:overflowPunct/>
        <w:topLinePunct w:val="0"/>
        <w:autoSpaceDE/>
        <w:autoSpaceDN/>
        <w:bidi w:val="0"/>
        <w:snapToGrid/>
        <w:spacing w:line="36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表1</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检验项目</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3144"/>
        <w:gridCol w:w="2428"/>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序号</w:t>
            </w:r>
          </w:p>
        </w:tc>
        <w:tc>
          <w:tcPr>
            <w:tcW w:w="1845" w:type="pct"/>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检验项目</w:t>
            </w:r>
          </w:p>
        </w:tc>
        <w:tc>
          <w:tcPr>
            <w:tcW w:w="1425" w:type="pct"/>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检验</w:t>
            </w:r>
            <w:r>
              <w:rPr>
                <w:rFonts w:hint="eastAsia" w:ascii="Times New Roman" w:hAnsi="Times New Roman" w:eastAsia="宋体" w:cs="Times New Roman"/>
                <w:color w:val="000000"/>
                <w:sz w:val="21"/>
                <w:szCs w:val="21"/>
                <w:lang w:val="en-US" w:eastAsia="zh-CN"/>
              </w:rPr>
              <w:t>依据</w:t>
            </w:r>
          </w:p>
        </w:tc>
        <w:tc>
          <w:tcPr>
            <w:tcW w:w="1282" w:type="pct"/>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1</w:t>
            </w:r>
          </w:p>
        </w:tc>
        <w:tc>
          <w:tcPr>
            <w:tcW w:w="1845" w:type="pct"/>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VOC含量</w:t>
            </w:r>
            <w:r>
              <w:rPr>
                <w:rFonts w:hint="eastAsia" w:ascii="宋体" w:hAnsi="宋体" w:eastAsia="宋体" w:cs="Times New Roman"/>
                <w:color w:val="000000"/>
                <w:szCs w:val="21"/>
                <w:lang w:val="en-US" w:eastAsia="zh-CN"/>
              </w:rPr>
              <w:t>*</w:t>
            </w:r>
          </w:p>
        </w:tc>
        <w:tc>
          <w:tcPr>
            <w:tcW w:w="1425" w:type="pct"/>
            <w:vAlign w:val="center"/>
          </w:tcPr>
          <w:p>
            <w:pPr>
              <w:keepNext w:val="0"/>
              <w:keepLines w:val="0"/>
              <w:pageBreakBefore w:val="0"/>
              <w:widowControl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GB</w:t>
            </w:r>
            <w:r>
              <w:rPr>
                <w:rFonts w:hint="default" w:ascii="Times New Roman" w:hAnsi="Times New Roman" w:eastAsia="宋体" w:cs="Times New Roman"/>
                <w:color w:val="000000"/>
                <w:sz w:val="21"/>
                <w:szCs w:val="21"/>
                <w:lang w:val="en-US" w:eastAsia="zh-CN"/>
              </w:rPr>
              <w:t xml:space="preserve"> 38508-2020</w:t>
            </w:r>
          </w:p>
        </w:tc>
        <w:tc>
          <w:tcPr>
            <w:tcW w:w="1282" w:type="pct"/>
            <w:vAlign w:val="center"/>
          </w:tcPr>
          <w:p>
            <w:pPr>
              <w:keepNext w:val="0"/>
              <w:keepLines w:val="0"/>
              <w:pageBreakBefore w:val="0"/>
              <w:widowControl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GB</w:t>
            </w:r>
            <w:r>
              <w:rPr>
                <w:rFonts w:hint="default" w:ascii="Times New Roman" w:hAnsi="Times New Roman" w:eastAsia="宋体" w:cs="Times New Roman"/>
                <w:color w:val="000000"/>
                <w:sz w:val="21"/>
                <w:szCs w:val="21"/>
                <w:lang w:val="en-US" w:eastAsia="zh-CN"/>
              </w:rPr>
              <w:t xml:space="preserve"> 38508-2020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2</w:t>
            </w:r>
          </w:p>
        </w:tc>
        <w:tc>
          <w:tcPr>
            <w:tcW w:w="1845" w:type="pct"/>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甲醛</w:t>
            </w:r>
            <w:r>
              <w:rPr>
                <w:rFonts w:hint="eastAsia" w:ascii="宋体" w:hAnsi="宋体" w:eastAsia="宋体" w:cs="Times New Roman"/>
                <w:color w:val="000000"/>
                <w:szCs w:val="21"/>
                <w:lang w:val="en-US" w:eastAsia="zh-CN"/>
              </w:rPr>
              <w:t>*</w:t>
            </w:r>
          </w:p>
        </w:tc>
        <w:tc>
          <w:tcPr>
            <w:tcW w:w="1425" w:type="pct"/>
            <w:vAlign w:val="center"/>
          </w:tcPr>
          <w:p>
            <w:pPr>
              <w:keepNext w:val="0"/>
              <w:keepLines w:val="0"/>
              <w:pageBreakBefore w:val="0"/>
              <w:widowControl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GB</w:t>
            </w:r>
            <w:r>
              <w:rPr>
                <w:rFonts w:hint="default" w:ascii="Times New Roman" w:hAnsi="Times New Roman" w:eastAsia="宋体" w:cs="Times New Roman"/>
                <w:color w:val="000000"/>
                <w:sz w:val="21"/>
                <w:szCs w:val="21"/>
                <w:lang w:val="en-US" w:eastAsia="zh-CN"/>
              </w:rPr>
              <w:t xml:space="preserve"> 38508-2020</w:t>
            </w:r>
          </w:p>
        </w:tc>
        <w:tc>
          <w:tcPr>
            <w:tcW w:w="1282" w:type="pct"/>
            <w:vAlign w:val="center"/>
          </w:tcPr>
          <w:p>
            <w:pPr>
              <w:keepNext w:val="0"/>
              <w:keepLines w:val="0"/>
              <w:pageBreakBefore w:val="0"/>
              <w:widowControl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GB/T 2399</w:t>
            </w:r>
            <w:r>
              <w:rPr>
                <w:rFonts w:hint="default"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rPr>
              <w:t>-2009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6" w:type="pct"/>
            <w:vAlign w:val="center"/>
          </w:tcPr>
          <w:p>
            <w:pPr>
              <w:snapToGrid w:val="0"/>
              <w:spacing w:line="440" w:lineRule="exact"/>
              <w:jc w:val="center"/>
              <w:rPr>
                <w:rFonts w:hint="default" w:ascii="宋体" w:hAnsi="宋体" w:eastAsia="宋体" w:cs="Times New Roman"/>
                <w:color w:val="000000"/>
                <w:szCs w:val="21"/>
              </w:rPr>
            </w:pPr>
            <w:r>
              <w:rPr>
                <w:rFonts w:hint="default" w:ascii="宋体" w:hAnsi="宋体" w:eastAsia="宋体" w:cs="Times New Roman"/>
                <w:color w:val="000000"/>
                <w:szCs w:val="21"/>
              </w:rPr>
              <w:t>3</w:t>
            </w:r>
          </w:p>
        </w:tc>
        <w:tc>
          <w:tcPr>
            <w:tcW w:w="1845" w:type="pct"/>
            <w:vAlign w:val="center"/>
          </w:tcPr>
          <w:p>
            <w:pPr>
              <w:snapToGrid w:val="0"/>
              <w:spacing w:line="440" w:lineRule="exact"/>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苯、甲苯、乙苯和二甲苯总和</w:t>
            </w:r>
            <w:r>
              <w:rPr>
                <w:rFonts w:hint="eastAsia" w:ascii="宋体" w:hAnsi="宋体" w:eastAsia="宋体" w:cs="Times New Roman"/>
                <w:color w:val="000000"/>
                <w:szCs w:val="21"/>
                <w:lang w:val="en-US" w:eastAsia="zh-CN"/>
              </w:rPr>
              <w:t>*</w:t>
            </w:r>
          </w:p>
        </w:tc>
        <w:tc>
          <w:tcPr>
            <w:tcW w:w="1425" w:type="pct"/>
            <w:vAlign w:val="center"/>
          </w:tcPr>
          <w:p>
            <w:pPr>
              <w:keepNext w:val="0"/>
              <w:keepLines w:val="0"/>
              <w:pageBreakBefore w:val="0"/>
              <w:widowControl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GB</w:t>
            </w:r>
            <w:r>
              <w:rPr>
                <w:rFonts w:hint="default" w:ascii="Times New Roman" w:hAnsi="Times New Roman" w:eastAsia="宋体" w:cs="Times New Roman"/>
                <w:color w:val="000000"/>
                <w:sz w:val="21"/>
                <w:szCs w:val="21"/>
                <w:lang w:val="en-US" w:eastAsia="zh-CN"/>
              </w:rPr>
              <w:t xml:space="preserve"> 38508-2020</w:t>
            </w:r>
          </w:p>
        </w:tc>
        <w:tc>
          <w:tcPr>
            <w:tcW w:w="1282" w:type="pct"/>
            <w:vAlign w:val="center"/>
          </w:tcPr>
          <w:p>
            <w:pPr>
              <w:keepNext w:val="0"/>
              <w:keepLines w:val="0"/>
              <w:pageBreakBefore w:val="0"/>
              <w:widowControl w:val="0"/>
              <w:kinsoku/>
              <w:wordWrap/>
              <w:overflowPunct/>
              <w:topLinePunct w:val="0"/>
              <w:autoSpaceDE/>
              <w:autoSpaceDN/>
              <w:bidi w:val="0"/>
              <w:snapToGrid/>
              <w:spacing w:line="360" w:lineRule="auto"/>
              <w:jc w:val="lef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GB/T 23990-2009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keepNext w:val="0"/>
              <w:keepLines w:val="0"/>
              <w:pageBreakBefore w:val="0"/>
              <w:widowControl w:val="0"/>
              <w:kinsoku/>
              <w:wordWrap/>
              <w:overflowPunct/>
              <w:topLinePunct w:val="0"/>
              <w:autoSpaceDE/>
              <w:autoSpaceDN/>
              <w:bidi w:val="0"/>
              <w:snapToGrid/>
              <w:spacing w:line="360" w:lineRule="auto"/>
              <w:jc w:val="left"/>
              <w:textAlignment w:val="auto"/>
              <w:rPr>
                <w:rFonts w:hint="default" w:ascii="Times New Roman" w:hAnsi="Times New Roman" w:cs="Times New Roman"/>
                <w:color w:val="000000"/>
                <w:sz w:val="21"/>
                <w:szCs w:val="21"/>
              </w:rPr>
            </w:pPr>
            <w:r>
              <w:rPr>
                <w:rFonts w:hint="eastAsia" w:ascii="Times New Roman" w:hAnsi="Times New Roman" w:eastAsia="宋体" w:cs="Times New Roman"/>
                <w:color w:val="000000"/>
                <w:sz w:val="21"/>
                <w:szCs w:val="21"/>
                <w:lang w:val="en-US" w:eastAsia="zh-CN"/>
              </w:rPr>
              <w:t>注：加*号检验项目为安全项</w:t>
            </w:r>
            <w:r>
              <w:rPr>
                <w:rFonts w:hint="eastAsia" w:ascii="宋体" w:hAnsi="宋体" w:eastAsia="宋体" w:cs="Times New Roman"/>
                <w:color w:val="000000"/>
                <w:szCs w:val="21"/>
                <w:lang w:val="en-US" w:eastAsia="zh-CN"/>
              </w:rPr>
              <w:t>目</w:t>
            </w:r>
          </w:p>
        </w:tc>
      </w:tr>
    </w:tbl>
    <w:p>
      <w:pPr>
        <w:keepNext w:val="0"/>
        <w:keepLines w:val="0"/>
        <w:pageBreakBefore w:val="0"/>
        <w:widowControl w:val="0"/>
        <w:kinsoku/>
        <w:wordWrap/>
        <w:overflowPunct/>
        <w:topLinePunct w:val="0"/>
        <w:autoSpaceDE/>
        <w:autoSpaceDN/>
        <w:bidi w:val="0"/>
        <w:adjustRightInd w:val="0"/>
        <w:snapToGrid/>
        <w:spacing w:line="360" w:lineRule="auto"/>
        <w:ind w:firstLine="360" w:firstLineChars="200"/>
        <w:textAlignment w:val="auto"/>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snapToGrid/>
        <w:spacing w:line="360" w:lineRule="auto"/>
        <w:textAlignment w:val="auto"/>
        <w:rPr>
          <w:rFonts w:ascii="Times New Roman" w:hAnsi="Times New Roman" w:eastAsia="黑体" w:cs="Times New Roman"/>
          <w:color w:val="000000"/>
          <w:szCs w:val="21"/>
        </w:rPr>
      </w:pPr>
      <w:r>
        <w:rPr>
          <w:rFonts w:hint="eastAsia" w:ascii="Times New Roman" w:hAnsi="Times New Roman" w:eastAsia="黑体" w:cs="Times New Roman"/>
          <w:color w:val="000000"/>
          <w:szCs w:val="21"/>
        </w:rPr>
        <w:t>3判定依据</w:t>
      </w:r>
    </w:p>
    <w:p>
      <w:pPr>
        <w:keepNext w:val="0"/>
        <w:keepLines w:val="0"/>
        <w:pageBreakBefore w:val="0"/>
        <w:widowControl w:val="0"/>
        <w:kinsoku/>
        <w:wordWrap/>
        <w:overflowPunct/>
        <w:topLinePunct w:val="0"/>
        <w:autoSpaceDE/>
        <w:autoSpaceDN/>
        <w:bidi w:val="0"/>
        <w:snapToGrid/>
        <w:spacing w:line="360" w:lineRule="auto"/>
        <w:textAlignment w:val="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依据标准</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 xml:space="preserve">GB 38508-2020 </w:t>
      </w:r>
      <w:r>
        <w:rPr>
          <w:rFonts w:hint="eastAsia" w:ascii="Times New Roman" w:hAnsi="Times New Roman" w:eastAsia="宋体" w:cs="Times New Roman"/>
          <w:color w:val="000000"/>
          <w:szCs w:val="21"/>
          <w:lang w:val="en-US" w:eastAsia="zh-CN"/>
        </w:rPr>
        <w:t xml:space="preserve">  </w:t>
      </w:r>
      <w:r>
        <w:rPr>
          <w:rFonts w:hint="eastAsia" w:ascii="Times New Roman" w:hAnsi="Times New Roman" w:eastAsia="宋体" w:cs="Times New Roman"/>
          <w:color w:val="000000"/>
          <w:szCs w:val="21"/>
        </w:rPr>
        <w:t>清洗剂挥发性有机化合物含量限值</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现行有效的企业标准、团体标准、地方标准及产品明示质量要求。</w:t>
      </w:r>
    </w:p>
    <w:p>
      <w:pPr>
        <w:keepNext w:val="0"/>
        <w:keepLines w:val="0"/>
        <w:pageBreakBefore w:val="0"/>
        <w:widowControl w:val="0"/>
        <w:kinsoku/>
        <w:wordWrap/>
        <w:overflowPunct/>
        <w:topLinePunct w:val="0"/>
        <w:autoSpaceDE/>
        <w:autoSpaceDN/>
        <w:bidi w:val="0"/>
        <w:snapToGrid/>
        <w:spacing w:line="360" w:lineRule="auto"/>
        <w:textAlignment w:val="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3.2判定原则</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若被检产品明示的质量要求缺少本细则中检验项目依据的推荐性标准要求时，该项目不参与判定。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汉仪中圆B5">
    <w:panose1 w:val="02010600000101010101"/>
    <w:charset w:val="88"/>
    <w:family w:val="auto"/>
    <w:pitch w:val="default"/>
    <w:sig w:usb0="00000001" w:usb1="080E0800" w:usb2="00000002" w:usb3="00000000" w:csb0="00100000" w:csb1="0000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YmVhYmUyY2Q4ZTg1ZGE5NWE3NzBkMDgxZTk1YzIifQ=="/>
  </w:docVars>
  <w:rsids>
    <w:rsidRoot w:val="006963A6"/>
    <w:rsid w:val="002333C1"/>
    <w:rsid w:val="00485358"/>
    <w:rsid w:val="00594DE5"/>
    <w:rsid w:val="005F5616"/>
    <w:rsid w:val="00676353"/>
    <w:rsid w:val="006963A6"/>
    <w:rsid w:val="00764837"/>
    <w:rsid w:val="0079328F"/>
    <w:rsid w:val="00861650"/>
    <w:rsid w:val="008A5BE3"/>
    <w:rsid w:val="0090361C"/>
    <w:rsid w:val="009742B7"/>
    <w:rsid w:val="00B53DEA"/>
    <w:rsid w:val="00C927E4"/>
    <w:rsid w:val="00DF0D67"/>
    <w:rsid w:val="00E3663F"/>
    <w:rsid w:val="03653C3D"/>
    <w:rsid w:val="05543A43"/>
    <w:rsid w:val="06A86E67"/>
    <w:rsid w:val="0A9955DD"/>
    <w:rsid w:val="0B4D50C4"/>
    <w:rsid w:val="0C074FFB"/>
    <w:rsid w:val="0DEA693E"/>
    <w:rsid w:val="15F666F8"/>
    <w:rsid w:val="17B96313"/>
    <w:rsid w:val="18384BC8"/>
    <w:rsid w:val="19810A7C"/>
    <w:rsid w:val="290C36CD"/>
    <w:rsid w:val="2EE15433"/>
    <w:rsid w:val="3211359C"/>
    <w:rsid w:val="323C2E8C"/>
    <w:rsid w:val="34F966A4"/>
    <w:rsid w:val="37B45AFD"/>
    <w:rsid w:val="38E6109E"/>
    <w:rsid w:val="39870B8E"/>
    <w:rsid w:val="3D643666"/>
    <w:rsid w:val="409833A6"/>
    <w:rsid w:val="42D00B00"/>
    <w:rsid w:val="4536640F"/>
    <w:rsid w:val="45E6217B"/>
    <w:rsid w:val="47197F94"/>
    <w:rsid w:val="4C4C5250"/>
    <w:rsid w:val="4FD51ACF"/>
    <w:rsid w:val="50C335DB"/>
    <w:rsid w:val="5251638C"/>
    <w:rsid w:val="5E9A705B"/>
    <w:rsid w:val="5FB86457"/>
    <w:rsid w:val="6B19091F"/>
    <w:rsid w:val="6BFFD2B4"/>
    <w:rsid w:val="734D4E3F"/>
    <w:rsid w:val="7CBF5C9D"/>
    <w:rsid w:val="7E190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664</Words>
  <Characters>756</Characters>
  <Lines>4</Lines>
  <Paragraphs>1</Paragraphs>
  <TotalTime>1</TotalTime>
  <ScaleCrop>false</ScaleCrop>
  <LinksUpToDate>false</LinksUpToDate>
  <CharactersWithSpaces>767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2023-04-10T14:10:00Z</dcterms:created>
  <dc:creator>6558075@qq.com</dc:creator>
  <cp:lastModifiedBy>guest</cp:lastModifiedBy>
  <dcterms:modified xsi:type="dcterms:W3CDTF">2026-05-26T10:48:43Z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43C8CC30A1184B88A9EFBDF1B776B142_12</vt:lpwstr>
  </property>
  <property fmtid="{D5CDD505-2E9C-101B-9397-08002B2CF9AE}" pid="4" name="KSOTemplateDocerSaveRecord">
    <vt:lpwstr>eyJoZGlkIjoiM2I3Yjg1YmEyMWJiNjI0ZTAzNzRhNzA0ZDE5ZTljOGEiLCJ1c2VySWQiOiIzOTIxMzk5NDUifQ==</vt:lpwstr>
  </property>
</Properties>
</file>