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83C39">
      <w:pPr>
        <w:snapToGrid w:val="0"/>
        <w:spacing w:line="360" w:lineRule="auto"/>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附件２</w:t>
      </w:r>
    </w:p>
    <w:p w14:paraId="62E1D6FF">
      <w:pPr>
        <w:widowControl w:val="0"/>
        <w:kinsoku/>
        <w:autoSpaceDE/>
        <w:autoSpaceDN/>
        <w:adjustRightInd/>
        <w:snapToGrid w:val="0"/>
        <w:spacing w:line="360" w:lineRule="auto"/>
        <w:jc w:val="center"/>
        <w:textAlignment w:val="auto"/>
        <w:rPr>
          <w:rFonts w:hint="eastAsia" w:ascii="方正小标宋简体" w:hAnsi="仿宋" w:eastAsia="方正小标宋简体" w:cs="方正仿宋简体"/>
          <w:snapToGrid/>
          <w:color w:val="000000"/>
          <w:kern w:val="2"/>
          <w:sz w:val="32"/>
          <w:szCs w:val="32"/>
          <w:lang w:val="en-US" w:eastAsia="zh-CN"/>
        </w:rPr>
      </w:pPr>
      <w:r>
        <w:rPr>
          <w:rFonts w:hint="eastAsia" w:ascii="方正小标宋简体" w:hAnsi="仿宋" w:eastAsia="方正小标宋简体" w:cs="方正仿宋简体"/>
          <w:snapToGrid/>
          <w:color w:val="000000"/>
          <w:kern w:val="2"/>
          <w:sz w:val="32"/>
          <w:szCs w:val="32"/>
          <w:lang w:val="en-US" w:eastAsia="zh-CN"/>
        </w:rPr>
        <w:t>陕西省车用压缩天然气产品质量监督抽查实施细则</w:t>
      </w:r>
    </w:p>
    <w:p w14:paraId="78BE706B">
      <w:pPr>
        <w:keepNext w:val="0"/>
        <w:keepLines w:val="0"/>
        <w:pageBreakBefore w:val="0"/>
        <w:widowControl/>
        <w:kinsoku w:val="0"/>
        <w:wordWrap/>
        <w:overflowPunct/>
        <w:topLinePunct w:val="0"/>
        <w:autoSpaceDE w:val="0"/>
        <w:autoSpaceDN w:val="0"/>
        <w:bidi w:val="0"/>
        <w:adjustRightInd/>
        <w:snapToGrid/>
        <w:spacing w:line="360" w:lineRule="auto"/>
        <w:ind w:left="0"/>
        <w:textAlignment w:val="baseline"/>
        <w:rPr>
          <w:rFonts w:ascii="黑体" w:hAnsi="黑体" w:eastAsia="黑体" w:cs="黑体"/>
          <w:sz w:val="21"/>
          <w:szCs w:val="21"/>
        </w:rPr>
      </w:pPr>
      <w:r>
        <w:rPr>
          <w:rFonts w:ascii="黑体" w:hAnsi="黑体" w:eastAsia="黑体" w:cs="黑体"/>
          <w:spacing w:val="2"/>
          <w:sz w:val="21"/>
          <w:szCs w:val="21"/>
        </w:rPr>
        <w:t>1</w:t>
      </w:r>
      <w:r>
        <w:rPr>
          <w:rFonts w:ascii="黑体" w:hAnsi="黑体" w:eastAsia="黑体" w:cs="黑体"/>
          <w:spacing w:val="16"/>
          <w:sz w:val="21"/>
          <w:szCs w:val="21"/>
        </w:rPr>
        <w:t xml:space="preserve"> </w:t>
      </w:r>
      <w:r>
        <w:rPr>
          <w:rFonts w:ascii="黑体" w:hAnsi="黑体" w:eastAsia="黑体" w:cs="黑体"/>
          <w:spacing w:val="2"/>
          <w:sz w:val="21"/>
          <w:szCs w:val="21"/>
        </w:rPr>
        <w:t>抽样方法</w:t>
      </w:r>
    </w:p>
    <w:p w14:paraId="54EA0A39">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以随机抽样的方式在被抽样生产者、销售者</w:t>
      </w:r>
      <w:bookmarkStart w:id="0" w:name="_GoBack"/>
      <w:bookmarkEnd w:id="0"/>
      <w:r>
        <w:rPr>
          <w:rFonts w:hint="eastAsia" w:asciiTheme="minorEastAsia" w:hAnsiTheme="minorEastAsia" w:eastAsiaTheme="minorEastAsia" w:cstheme="minorEastAsia"/>
          <w:color w:val="000000"/>
          <w:szCs w:val="21"/>
          <w:lang w:val="en-US" w:eastAsia="zh-CN"/>
        </w:rPr>
        <w:t>的待销产品中抽取。</w:t>
      </w:r>
    </w:p>
    <w:p w14:paraId="46FF0D9B">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随机数可使用随机数表方法产生。</w:t>
      </w:r>
    </w:p>
    <w:p w14:paraId="6320E58E">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color w:val="000000"/>
          <w:szCs w:val="21"/>
          <w:lang w:val="en-US" w:eastAsia="zh-CN"/>
        </w:rPr>
        <w:t>每批次样品使用1L钢瓶抽取，共抽取2个样品，</w:t>
      </w:r>
      <w:r>
        <w:rPr>
          <w:rFonts w:hint="eastAsia" w:asciiTheme="minorEastAsia" w:hAnsiTheme="minorEastAsia" w:eastAsiaTheme="minorEastAsia" w:cstheme="minorEastAsia"/>
          <w:color w:val="auto"/>
          <w:szCs w:val="21"/>
          <w:lang w:val="en-US" w:eastAsia="zh-CN"/>
        </w:rPr>
        <w:t>钢瓶压力4MPa～7MPa,其中</w:t>
      </w:r>
      <w:r>
        <w:rPr>
          <w:rFonts w:hint="eastAsia" w:asciiTheme="minorEastAsia" w:hAnsiTheme="minorEastAsia" w:eastAsiaTheme="minorEastAsia" w:cstheme="minorEastAsia"/>
          <w:color w:val="000000"/>
          <w:szCs w:val="21"/>
          <w:lang w:val="en-US" w:eastAsia="zh-CN"/>
        </w:rPr>
        <w:t>检验样品1个，备用样品1个</w:t>
      </w:r>
      <w:r>
        <w:rPr>
          <w:rFonts w:hint="eastAsia" w:asciiTheme="minorEastAsia" w:hAnsiTheme="minorEastAsia" w:eastAsiaTheme="minorEastAsia" w:cstheme="minorEastAsia"/>
          <w:spacing w:val="7"/>
        </w:rPr>
        <w:t>。</w:t>
      </w:r>
    </w:p>
    <w:p w14:paraId="1B9B4CB5">
      <w:pPr>
        <w:keepNext w:val="0"/>
        <w:keepLines w:val="0"/>
        <w:pageBreakBefore w:val="0"/>
        <w:widowControl/>
        <w:kinsoku w:val="0"/>
        <w:wordWrap/>
        <w:overflowPunct/>
        <w:topLinePunct w:val="0"/>
        <w:autoSpaceDE w:val="0"/>
        <w:autoSpaceDN w:val="0"/>
        <w:bidi w:val="0"/>
        <w:adjustRightInd/>
        <w:snapToGrid/>
        <w:spacing w:line="360" w:lineRule="auto"/>
        <w:ind w:left="0"/>
        <w:textAlignment w:val="baseline"/>
        <w:rPr>
          <w:rFonts w:ascii="黑体" w:hAnsi="黑体" w:eastAsia="黑体" w:cs="黑体"/>
          <w:spacing w:val="6"/>
          <w:sz w:val="20"/>
          <w:szCs w:val="20"/>
        </w:rPr>
      </w:pPr>
      <w:r>
        <w:rPr>
          <w:rFonts w:ascii="黑体" w:hAnsi="黑体" w:eastAsia="黑体" w:cs="黑体"/>
          <w:spacing w:val="2"/>
          <w:sz w:val="21"/>
          <w:szCs w:val="21"/>
        </w:rPr>
        <w:t>2 检验依据</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75"/>
        <w:gridCol w:w="2403"/>
        <w:gridCol w:w="2690"/>
        <w:gridCol w:w="2693"/>
      </w:tblGrid>
      <w:tr w14:paraId="39614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55" w:type="pct"/>
            <w:vAlign w:val="center"/>
          </w:tcPr>
          <w:p w14:paraId="61BB9FDE">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1"/>
                <w:szCs w:val="21"/>
              </w:rPr>
            </w:pPr>
            <w:r>
              <w:rPr>
                <w:spacing w:val="5"/>
                <w:sz w:val="21"/>
                <w:szCs w:val="21"/>
              </w:rPr>
              <w:t>序号</w:t>
            </w:r>
          </w:p>
        </w:tc>
        <w:tc>
          <w:tcPr>
            <w:tcW w:w="1340" w:type="pct"/>
            <w:vAlign w:val="center"/>
          </w:tcPr>
          <w:p w14:paraId="3D9FA13F">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1"/>
                <w:szCs w:val="21"/>
              </w:rPr>
            </w:pPr>
            <w:r>
              <w:rPr>
                <w:spacing w:val="7"/>
                <w:sz w:val="21"/>
                <w:szCs w:val="21"/>
              </w:rPr>
              <w:t>检验项目</w:t>
            </w:r>
          </w:p>
        </w:tc>
        <w:tc>
          <w:tcPr>
            <w:tcW w:w="1500" w:type="pct"/>
            <w:vAlign w:val="center"/>
          </w:tcPr>
          <w:p w14:paraId="3B1B3F5C">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sz w:val="21"/>
                <w:szCs w:val="21"/>
                <w:lang w:eastAsia="zh-CN"/>
              </w:rPr>
            </w:pPr>
            <w:r>
              <w:rPr>
                <w:spacing w:val="7"/>
                <w:sz w:val="21"/>
                <w:szCs w:val="21"/>
              </w:rPr>
              <w:t>检</w:t>
            </w:r>
            <w:r>
              <w:rPr>
                <w:rFonts w:hint="eastAsia"/>
                <w:spacing w:val="7"/>
                <w:sz w:val="21"/>
                <w:szCs w:val="21"/>
                <w:lang w:val="en-US" w:eastAsia="zh-CN"/>
              </w:rPr>
              <w:t>验依据</w:t>
            </w:r>
          </w:p>
        </w:tc>
        <w:tc>
          <w:tcPr>
            <w:tcW w:w="1502" w:type="pct"/>
            <w:vAlign w:val="center"/>
          </w:tcPr>
          <w:p w14:paraId="248A2633">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pacing w:val="7"/>
                <w:sz w:val="21"/>
                <w:szCs w:val="21"/>
              </w:rPr>
            </w:pPr>
            <w:r>
              <w:rPr>
                <w:spacing w:val="7"/>
                <w:sz w:val="21"/>
                <w:szCs w:val="21"/>
              </w:rPr>
              <w:t>检</w:t>
            </w:r>
            <w:r>
              <w:rPr>
                <w:rFonts w:hint="eastAsia"/>
                <w:spacing w:val="7"/>
                <w:sz w:val="21"/>
                <w:szCs w:val="21"/>
                <w:lang w:val="en-US" w:eastAsia="zh-CN"/>
              </w:rPr>
              <w:t>验</w:t>
            </w:r>
            <w:r>
              <w:rPr>
                <w:spacing w:val="7"/>
                <w:sz w:val="21"/>
                <w:szCs w:val="21"/>
              </w:rPr>
              <w:t>方法</w:t>
            </w:r>
          </w:p>
        </w:tc>
      </w:tr>
      <w:tr w14:paraId="37B33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55" w:type="pct"/>
            <w:vAlign w:val="center"/>
          </w:tcPr>
          <w:p w14:paraId="7B193C12">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1"/>
                <w:szCs w:val="21"/>
              </w:rPr>
            </w:pPr>
            <w:r>
              <w:rPr>
                <w:position w:val="1"/>
                <w:sz w:val="21"/>
                <w:szCs w:val="21"/>
              </w:rPr>
              <w:t>1</w:t>
            </w:r>
          </w:p>
        </w:tc>
        <w:tc>
          <w:tcPr>
            <w:tcW w:w="1340" w:type="pct"/>
            <w:vAlign w:val="center"/>
          </w:tcPr>
          <w:p w14:paraId="52456C39">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position w:val="1"/>
                <w:sz w:val="21"/>
                <w:szCs w:val="21"/>
              </w:rPr>
            </w:pPr>
            <w:r>
              <w:rPr>
                <w:position w:val="1"/>
                <w:sz w:val="21"/>
                <w:szCs w:val="21"/>
              </w:rPr>
              <w:t>高位发热量</w:t>
            </w:r>
          </w:p>
        </w:tc>
        <w:tc>
          <w:tcPr>
            <w:tcW w:w="1500" w:type="pct"/>
            <w:vAlign w:val="center"/>
          </w:tcPr>
          <w:p w14:paraId="755B072A">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 18047-2017</w:t>
            </w:r>
          </w:p>
        </w:tc>
        <w:tc>
          <w:tcPr>
            <w:tcW w:w="1502" w:type="pct"/>
            <w:vAlign w:val="center"/>
          </w:tcPr>
          <w:p w14:paraId="54F51FAF">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GB/T 13610-2020</w:t>
            </w:r>
          </w:p>
          <w:p w14:paraId="72488F7F">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GB/T 11062-2020</w:t>
            </w:r>
          </w:p>
        </w:tc>
      </w:tr>
      <w:tr w14:paraId="7649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55" w:type="pct"/>
            <w:vAlign w:val="center"/>
          </w:tcPr>
          <w:p w14:paraId="050340D7">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1"/>
                <w:szCs w:val="21"/>
              </w:rPr>
            </w:pPr>
            <w:r>
              <w:rPr>
                <w:position w:val="1"/>
                <w:sz w:val="21"/>
                <w:szCs w:val="21"/>
              </w:rPr>
              <w:t>2</w:t>
            </w:r>
          </w:p>
        </w:tc>
        <w:tc>
          <w:tcPr>
            <w:tcW w:w="1340" w:type="pct"/>
            <w:vAlign w:val="center"/>
          </w:tcPr>
          <w:p w14:paraId="310D7448">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position w:val="1"/>
                <w:sz w:val="21"/>
                <w:szCs w:val="21"/>
              </w:rPr>
            </w:pPr>
            <w:r>
              <w:rPr>
                <w:position w:val="1"/>
                <w:sz w:val="21"/>
                <w:szCs w:val="21"/>
              </w:rPr>
              <w:t>总硫（以硫计）</w:t>
            </w:r>
          </w:p>
        </w:tc>
        <w:tc>
          <w:tcPr>
            <w:tcW w:w="1500" w:type="pct"/>
            <w:vAlign w:val="center"/>
          </w:tcPr>
          <w:p w14:paraId="530CF58B">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 18047-2017</w:t>
            </w:r>
          </w:p>
        </w:tc>
        <w:tc>
          <w:tcPr>
            <w:tcW w:w="1502" w:type="pct"/>
            <w:vAlign w:val="center"/>
          </w:tcPr>
          <w:p w14:paraId="775E3317">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GB/T 11060.4-2017</w:t>
            </w:r>
          </w:p>
          <w:p w14:paraId="5C763F07">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GB/T 11060.8-2020</w:t>
            </w:r>
          </w:p>
        </w:tc>
      </w:tr>
      <w:tr w14:paraId="4A332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55" w:type="pct"/>
            <w:vAlign w:val="center"/>
          </w:tcPr>
          <w:p w14:paraId="037E992E">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1"/>
                <w:szCs w:val="21"/>
              </w:rPr>
            </w:pPr>
            <w:r>
              <w:rPr>
                <w:position w:val="1"/>
                <w:sz w:val="21"/>
                <w:szCs w:val="21"/>
              </w:rPr>
              <w:t>3</w:t>
            </w:r>
          </w:p>
        </w:tc>
        <w:tc>
          <w:tcPr>
            <w:tcW w:w="1340" w:type="pct"/>
            <w:vAlign w:val="center"/>
          </w:tcPr>
          <w:p w14:paraId="18506FC0">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position w:val="1"/>
                <w:sz w:val="21"/>
                <w:szCs w:val="21"/>
              </w:rPr>
            </w:pPr>
            <w:r>
              <w:rPr>
                <w:position w:val="1"/>
                <w:sz w:val="21"/>
                <w:szCs w:val="21"/>
              </w:rPr>
              <w:t>硫化氢</w:t>
            </w:r>
          </w:p>
        </w:tc>
        <w:tc>
          <w:tcPr>
            <w:tcW w:w="1500" w:type="pct"/>
            <w:vAlign w:val="center"/>
          </w:tcPr>
          <w:p w14:paraId="54AA4AF1">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 18047-2017</w:t>
            </w:r>
          </w:p>
        </w:tc>
        <w:tc>
          <w:tcPr>
            <w:tcW w:w="1502" w:type="pct"/>
            <w:vAlign w:val="center"/>
          </w:tcPr>
          <w:p w14:paraId="3E587563">
            <w:pPr>
              <w:widowControl w:val="0"/>
              <w:kinsoku/>
              <w:autoSpaceDE/>
              <w:autoSpaceDN/>
              <w:adjustRightInd/>
              <w:snapToGrid w:val="0"/>
              <w:spacing w:line="300" w:lineRule="exact"/>
              <w:jc w:val="left"/>
              <w:textAlignment w:val="auto"/>
              <w:rPr>
                <w:rFonts w:hint="eastAsia" w:ascii="Times New Roman" w:hAnsi="Times New Roman" w:eastAsia="宋体" w:cs="Times New Roman"/>
                <w:snapToGrid/>
                <w:kern w:val="2"/>
                <w:szCs w:val="21"/>
                <w:lang w:val="en-US" w:eastAsia="zh-CN"/>
              </w:rPr>
            </w:pPr>
            <w:r>
              <w:rPr>
                <w:rFonts w:ascii="Times New Roman" w:hAnsi="Times New Roman" w:eastAsia="宋体" w:cs="Times New Roman"/>
                <w:snapToGrid/>
                <w:kern w:val="2"/>
                <w:szCs w:val="21"/>
                <w:lang w:eastAsia="zh-CN"/>
              </w:rPr>
              <w:t>GB/T 11060.1-2023</w:t>
            </w:r>
            <w:r>
              <w:rPr>
                <w:rFonts w:hint="eastAsia" w:ascii="Times New Roman" w:hAnsi="Times New Roman" w:eastAsia="宋体" w:cs="Times New Roman"/>
                <w:snapToGrid/>
                <w:kern w:val="2"/>
                <w:szCs w:val="21"/>
                <w:lang w:val="en-US" w:eastAsia="zh-CN"/>
              </w:rPr>
              <w:t xml:space="preserve"> </w:t>
            </w:r>
          </w:p>
          <w:p w14:paraId="0EE05267">
            <w:pPr>
              <w:widowControl w:val="0"/>
              <w:kinsoku/>
              <w:autoSpaceDE/>
              <w:autoSpaceDN/>
              <w:adjustRightInd/>
              <w:snapToGrid w:val="0"/>
              <w:spacing w:line="300" w:lineRule="exact"/>
              <w:jc w:val="left"/>
              <w:textAlignment w:val="auto"/>
              <w:rPr>
                <w:rFonts w:hint="eastAsia" w:ascii="Times New Roman" w:hAnsi="Times New Roman" w:eastAsia="宋体" w:cs="Times New Roman"/>
                <w:snapToGrid/>
                <w:kern w:val="2"/>
                <w:szCs w:val="21"/>
                <w:lang w:val="en-US" w:eastAsia="zh-CN"/>
              </w:rPr>
            </w:pPr>
            <w:r>
              <w:rPr>
                <w:rFonts w:ascii="Times New Roman" w:hAnsi="Times New Roman" w:eastAsia="宋体" w:cs="Times New Roman"/>
                <w:snapToGrid/>
                <w:kern w:val="2"/>
                <w:szCs w:val="21"/>
                <w:lang w:eastAsia="zh-CN"/>
              </w:rPr>
              <w:t>GB/T 11060.2-20</w:t>
            </w:r>
            <w:r>
              <w:rPr>
                <w:rFonts w:hint="eastAsia" w:ascii="Times New Roman" w:hAnsi="Times New Roman" w:eastAsia="宋体" w:cs="Times New Roman"/>
                <w:snapToGrid/>
                <w:kern w:val="2"/>
                <w:szCs w:val="21"/>
                <w:lang w:val="en-US" w:eastAsia="zh-CN"/>
              </w:rPr>
              <w:t>23</w:t>
            </w:r>
          </w:p>
          <w:p w14:paraId="039E0CBF">
            <w:pPr>
              <w:widowControl w:val="0"/>
              <w:kinsoku/>
              <w:autoSpaceDE/>
              <w:autoSpaceDN/>
              <w:adjustRightInd/>
              <w:snapToGrid w:val="0"/>
              <w:spacing w:line="300" w:lineRule="exact"/>
              <w:jc w:val="left"/>
              <w:textAlignment w:val="auto"/>
              <w:rPr>
                <w:rFonts w:hint="eastAsia" w:ascii="Times New Roman" w:hAnsi="Times New Roman" w:eastAsia="宋体" w:cs="Times New Roman"/>
                <w:snapToGrid/>
                <w:kern w:val="2"/>
                <w:szCs w:val="21"/>
                <w:lang w:val="en-US" w:eastAsia="zh-CN"/>
              </w:rPr>
            </w:pPr>
            <w:r>
              <w:rPr>
                <w:rFonts w:ascii="Times New Roman" w:hAnsi="Times New Roman" w:eastAsia="宋体" w:cs="Times New Roman"/>
                <w:snapToGrid/>
                <w:kern w:val="2"/>
                <w:szCs w:val="21"/>
                <w:lang w:eastAsia="zh-CN"/>
              </w:rPr>
              <w:t>GB/T 11060.1</w:t>
            </w:r>
            <w:r>
              <w:rPr>
                <w:rFonts w:hint="eastAsia" w:ascii="Times New Roman" w:hAnsi="Times New Roman" w:eastAsia="宋体" w:cs="Times New Roman"/>
                <w:snapToGrid/>
                <w:kern w:val="2"/>
                <w:szCs w:val="21"/>
                <w:lang w:val="en-US" w:eastAsia="zh-CN"/>
              </w:rPr>
              <w:t>0</w:t>
            </w:r>
            <w:r>
              <w:rPr>
                <w:rFonts w:ascii="Times New Roman" w:hAnsi="Times New Roman" w:eastAsia="宋体" w:cs="Times New Roman"/>
                <w:snapToGrid/>
                <w:kern w:val="2"/>
                <w:szCs w:val="21"/>
                <w:lang w:eastAsia="zh-CN"/>
              </w:rPr>
              <w:t>-202</w:t>
            </w:r>
            <w:r>
              <w:rPr>
                <w:rFonts w:hint="eastAsia" w:ascii="Times New Roman" w:hAnsi="Times New Roman" w:eastAsia="宋体" w:cs="Times New Roman"/>
                <w:snapToGrid/>
                <w:kern w:val="2"/>
                <w:szCs w:val="21"/>
                <w:lang w:val="en-US" w:eastAsia="zh-CN"/>
              </w:rPr>
              <w:t xml:space="preserve">1 </w:t>
            </w:r>
          </w:p>
        </w:tc>
      </w:tr>
      <w:tr w14:paraId="1C4D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55" w:type="pct"/>
            <w:vAlign w:val="center"/>
          </w:tcPr>
          <w:p w14:paraId="0A80AF60">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1"/>
                <w:szCs w:val="21"/>
              </w:rPr>
            </w:pPr>
            <w:r>
              <w:rPr>
                <w:position w:val="1"/>
                <w:sz w:val="21"/>
                <w:szCs w:val="21"/>
              </w:rPr>
              <w:t>4</w:t>
            </w:r>
          </w:p>
        </w:tc>
        <w:tc>
          <w:tcPr>
            <w:tcW w:w="1340" w:type="pct"/>
            <w:vAlign w:val="center"/>
          </w:tcPr>
          <w:p w14:paraId="1814A08D">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position w:val="1"/>
                <w:sz w:val="21"/>
                <w:szCs w:val="21"/>
              </w:rPr>
            </w:pPr>
            <w:r>
              <w:rPr>
                <w:position w:val="1"/>
                <w:sz w:val="21"/>
                <w:szCs w:val="21"/>
              </w:rPr>
              <w:t>二氧化碳</w:t>
            </w:r>
          </w:p>
        </w:tc>
        <w:tc>
          <w:tcPr>
            <w:tcW w:w="1500" w:type="pct"/>
            <w:vAlign w:val="center"/>
          </w:tcPr>
          <w:p w14:paraId="79F77554">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 18047-2017</w:t>
            </w:r>
          </w:p>
        </w:tc>
        <w:tc>
          <w:tcPr>
            <w:tcW w:w="1502" w:type="pct"/>
            <w:vAlign w:val="center"/>
          </w:tcPr>
          <w:p w14:paraId="1142639B">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GB/T 13610-2020</w:t>
            </w:r>
          </w:p>
        </w:tc>
      </w:tr>
      <w:tr w14:paraId="5FDAE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55" w:type="pct"/>
            <w:vAlign w:val="center"/>
          </w:tcPr>
          <w:p w14:paraId="49D1FFD9">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1"/>
                <w:szCs w:val="21"/>
              </w:rPr>
            </w:pPr>
            <w:r>
              <w:rPr>
                <w:position w:val="1"/>
                <w:sz w:val="21"/>
                <w:szCs w:val="21"/>
              </w:rPr>
              <w:t>5</w:t>
            </w:r>
          </w:p>
        </w:tc>
        <w:tc>
          <w:tcPr>
            <w:tcW w:w="1340" w:type="pct"/>
            <w:vAlign w:val="center"/>
          </w:tcPr>
          <w:p w14:paraId="6D1D7C74">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position w:val="1"/>
                <w:sz w:val="21"/>
                <w:szCs w:val="21"/>
              </w:rPr>
            </w:pPr>
            <w:r>
              <w:rPr>
                <w:position w:val="1"/>
                <w:sz w:val="21"/>
                <w:szCs w:val="21"/>
              </w:rPr>
              <w:t>氧气</w:t>
            </w:r>
          </w:p>
        </w:tc>
        <w:tc>
          <w:tcPr>
            <w:tcW w:w="1500" w:type="pct"/>
            <w:vAlign w:val="center"/>
          </w:tcPr>
          <w:p w14:paraId="7715CF2C">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 18047-2017</w:t>
            </w:r>
          </w:p>
        </w:tc>
        <w:tc>
          <w:tcPr>
            <w:tcW w:w="1502" w:type="pct"/>
            <w:vAlign w:val="center"/>
          </w:tcPr>
          <w:p w14:paraId="24F2DDC0">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GB/T 13610-2020</w:t>
            </w:r>
          </w:p>
        </w:tc>
      </w:tr>
      <w:tr w14:paraId="20AC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55" w:type="pct"/>
            <w:vAlign w:val="center"/>
          </w:tcPr>
          <w:p w14:paraId="043FCC64">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sz w:val="21"/>
                <w:szCs w:val="21"/>
              </w:rPr>
            </w:pPr>
            <w:r>
              <w:rPr>
                <w:position w:val="1"/>
                <w:sz w:val="21"/>
                <w:szCs w:val="21"/>
              </w:rPr>
              <w:t>6</w:t>
            </w:r>
          </w:p>
        </w:tc>
        <w:tc>
          <w:tcPr>
            <w:tcW w:w="1340" w:type="pct"/>
            <w:vAlign w:val="center"/>
          </w:tcPr>
          <w:p w14:paraId="77BB4201">
            <w:pPr>
              <w:pStyle w:val="7"/>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eastAsia="宋体"/>
                <w:position w:val="1"/>
                <w:sz w:val="21"/>
                <w:szCs w:val="21"/>
                <w:lang w:val="en-US" w:eastAsia="zh-CN"/>
              </w:rPr>
            </w:pPr>
            <w:r>
              <w:rPr>
                <w:position w:val="1"/>
                <w:sz w:val="21"/>
                <w:szCs w:val="21"/>
              </w:rPr>
              <w:t>水</w:t>
            </w:r>
            <w:r>
              <w:rPr>
                <w:rFonts w:hint="eastAsia"/>
                <w:position w:val="1"/>
                <w:sz w:val="21"/>
                <w:szCs w:val="21"/>
                <w:lang w:val="en-US" w:eastAsia="zh-CN"/>
              </w:rPr>
              <w:t>露点</w:t>
            </w:r>
          </w:p>
        </w:tc>
        <w:tc>
          <w:tcPr>
            <w:tcW w:w="1500" w:type="pct"/>
            <w:vAlign w:val="center"/>
          </w:tcPr>
          <w:p w14:paraId="1B112DC7">
            <w:pPr>
              <w:widowControl w:val="0"/>
              <w:kinsoku/>
              <w:autoSpaceDE/>
              <w:autoSpaceDN/>
              <w:adjustRightInd/>
              <w:snapToGrid w:val="0"/>
              <w:spacing w:line="300" w:lineRule="exact"/>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 18047-2017</w:t>
            </w:r>
          </w:p>
        </w:tc>
        <w:tc>
          <w:tcPr>
            <w:tcW w:w="1502" w:type="pct"/>
            <w:vAlign w:val="center"/>
          </w:tcPr>
          <w:p w14:paraId="69A2459B">
            <w:pPr>
              <w:widowControl w:val="0"/>
              <w:kinsoku/>
              <w:autoSpaceDE/>
              <w:autoSpaceDN/>
              <w:adjustRightInd/>
              <w:snapToGrid w:val="0"/>
              <w:spacing w:line="300" w:lineRule="exact"/>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GB/T 27896-2018</w:t>
            </w:r>
          </w:p>
          <w:p w14:paraId="05DA90FE">
            <w:pPr>
              <w:widowControl w:val="0"/>
              <w:kinsoku/>
              <w:autoSpaceDE/>
              <w:autoSpaceDN/>
              <w:adjustRightInd/>
              <w:snapToGrid w:val="0"/>
              <w:spacing w:line="300" w:lineRule="exact"/>
              <w:jc w:val="both"/>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GB/T 22634-2008</w:t>
            </w:r>
          </w:p>
          <w:p w14:paraId="30B02616">
            <w:pPr>
              <w:widowControl w:val="0"/>
              <w:kinsoku/>
              <w:autoSpaceDE/>
              <w:autoSpaceDN/>
              <w:adjustRightInd/>
              <w:snapToGrid w:val="0"/>
              <w:spacing w:line="300" w:lineRule="exact"/>
              <w:jc w:val="both"/>
              <w:textAlignment w:val="auto"/>
              <w:rPr>
                <w:rFonts w:ascii="Times New Roman" w:hAnsi="Times New Roman" w:eastAsia="宋体" w:cs="Times New Roman"/>
                <w:snapToGrid/>
                <w:kern w:val="2"/>
                <w:szCs w:val="21"/>
                <w:lang w:eastAsia="zh-CN"/>
              </w:rPr>
            </w:pPr>
            <w:r>
              <w:rPr>
                <w:rFonts w:hint="default" w:ascii="Times New Roman" w:hAnsi="Times New Roman" w:eastAsia="宋体" w:cs="Times New Roman"/>
                <w:snapToGrid/>
                <w:kern w:val="2"/>
                <w:szCs w:val="21"/>
                <w:lang w:val="en-US" w:eastAsia="zh-CN"/>
              </w:rPr>
              <w:t>GB/T 17283.1-2025</w:t>
            </w:r>
          </w:p>
        </w:tc>
      </w:tr>
    </w:tbl>
    <w:p w14:paraId="360AEF65">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宋体" w:hAnsi="宋体"/>
          <w:color w:val="000000"/>
          <w:szCs w:val="21"/>
          <w:lang w:val="en-US" w:eastAsia="zh-CN"/>
        </w:rPr>
        <w:t>执行企业标准、团体标准、地方标准的产品，检验项目参照上述内容执行。</w:t>
      </w:r>
    </w:p>
    <w:p w14:paraId="52794DB0">
      <w:pPr>
        <w:keepNext w:val="0"/>
        <w:keepLines w:val="0"/>
        <w:pageBreakBefore w:val="0"/>
        <w:widowControl/>
        <w:kinsoku w:val="0"/>
        <w:wordWrap/>
        <w:overflowPunct/>
        <w:topLinePunct w:val="0"/>
        <w:autoSpaceDE w:val="0"/>
        <w:autoSpaceDN w:val="0"/>
        <w:bidi w:val="0"/>
        <w:adjustRightInd/>
        <w:snapToGrid/>
        <w:spacing w:line="360" w:lineRule="auto"/>
        <w:ind w:left="0"/>
        <w:textAlignment w:val="baseline"/>
        <w:rPr>
          <w:rFonts w:ascii="黑体" w:hAnsi="黑体" w:eastAsia="黑体" w:cs="黑体"/>
          <w:spacing w:val="2"/>
          <w:sz w:val="21"/>
          <w:szCs w:val="21"/>
        </w:rPr>
      </w:pPr>
      <w:r>
        <w:rPr>
          <w:rFonts w:ascii="黑体" w:hAnsi="黑体" w:eastAsia="黑体" w:cs="黑体"/>
          <w:spacing w:val="2"/>
          <w:sz w:val="21"/>
          <w:szCs w:val="21"/>
        </w:rPr>
        <w:t>3 判定规则</w:t>
      </w:r>
    </w:p>
    <w:p w14:paraId="0EBAA52B">
      <w:pPr>
        <w:pStyle w:val="3"/>
        <w:keepNext w:val="0"/>
        <w:keepLines w:val="0"/>
        <w:pageBreakBefore w:val="0"/>
        <w:widowControl/>
        <w:kinsoku w:val="0"/>
        <w:wordWrap/>
        <w:overflowPunct/>
        <w:topLinePunct w:val="0"/>
        <w:autoSpaceDE w:val="0"/>
        <w:autoSpaceDN w:val="0"/>
        <w:bidi w:val="0"/>
        <w:adjustRightInd/>
        <w:snapToGrid/>
        <w:spacing w:line="360" w:lineRule="auto"/>
        <w:ind w:left="0"/>
        <w:textAlignment w:val="baseline"/>
        <w:rPr>
          <w:sz w:val="21"/>
          <w:szCs w:val="21"/>
        </w:rPr>
      </w:pPr>
      <w:r>
        <w:rPr>
          <w:rFonts w:ascii="Times New Roman" w:hAnsi="Times New Roman" w:eastAsia="宋体" w:cs="Times New Roman"/>
          <w:snapToGrid/>
          <w:color w:val="000000"/>
          <w:kern w:val="2"/>
          <w:sz w:val="21"/>
          <w:szCs w:val="21"/>
          <w:lang w:val="en-US" w:eastAsia="zh-CN" w:bidi="ar-SA"/>
        </w:rPr>
        <w:t xml:space="preserve">3.1 </w:t>
      </w:r>
      <w:r>
        <w:rPr>
          <w:spacing w:val="4"/>
          <w:sz w:val="21"/>
          <w:szCs w:val="21"/>
        </w:rPr>
        <w:t>依据标准</w:t>
      </w:r>
    </w:p>
    <w:p w14:paraId="13C2409B">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Times New Roman" w:hAnsi="Times New Roman" w:eastAsia="宋体" w:cs="Times New Roman"/>
          <w:snapToGrid/>
          <w:kern w:val="2"/>
          <w:szCs w:val="21"/>
          <w:lang w:val="en-US" w:eastAsia="zh-CN"/>
        </w:rPr>
        <w:t>GB 18047-2017</w:t>
      </w:r>
      <w:r>
        <w:rPr>
          <w:rFonts w:hint="eastAsia" w:ascii="宋体" w:hAnsi="宋体"/>
          <w:color w:val="000000"/>
          <w:szCs w:val="21"/>
          <w:lang w:val="en-US" w:eastAsia="zh-CN"/>
        </w:rPr>
        <w:t xml:space="preserve"> 车用压缩天然气</w:t>
      </w:r>
    </w:p>
    <w:p w14:paraId="23562B03">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宋体" w:hAnsi="宋体"/>
          <w:color w:val="000000"/>
          <w:szCs w:val="21"/>
          <w:lang w:val="en-US" w:eastAsia="zh-CN"/>
        </w:rPr>
        <w:t>现行有效的企业标准、团体标准、地方标准及产品明示质量要求。</w:t>
      </w:r>
    </w:p>
    <w:p w14:paraId="332B3770">
      <w:pPr>
        <w:pStyle w:val="3"/>
        <w:keepNext w:val="0"/>
        <w:keepLines w:val="0"/>
        <w:pageBreakBefore w:val="0"/>
        <w:widowControl/>
        <w:kinsoku w:val="0"/>
        <w:wordWrap/>
        <w:overflowPunct/>
        <w:topLinePunct w:val="0"/>
        <w:autoSpaceDE w:val="0"/>
        <w:autoSpaceDN w:val="0"/>
        <w:bidi w:val="0"/>
        <w:adjustRightInd/>
        <w:snapToGrid/>
        <w:spacing w:line="360" w:lineRule="auto"/>
        <w:ind w:left="0"/>
        <w:textAlignment w:val="baseline"/>
        <w:rPr>
          <w:spacing w:val="4"/>
          <w:sz w:val="21"/>
          <w:szCs w:val="21"/>
        </w:rPr>
      </w:pPr>
      <w:r>
        <w:rPr>
          <w:rFonts w:ascii="Times New Roman" w:hAnsi="Times New Roman" w:eastAsia="宋体" w:cs="Times New Roman"/>
          <w:snapToGrid/>
          <w:color w:val="000000"/>
          <w:kern w:val="2"/>
          <w:sz w:val="21"/>
          <w:szCs w:val="21"/>
          <w:lang w:val="en-US" w:eastAsia="zh-CN" w:bidi="ar-SA"/>
        </w:rPr>
        <w:t xml:space="preserve">3.2 </w:t>
      </w:r>
      <w:r>
        <w:rPr>
          <w:spacing w:val="4"/>
          <w:sz w:val="21"/>
          <w:szCs w:val="21"/>
        </w:rPr>
        <w:t>判定原则</w:t>
      </w:r>
    </w:p>
    <w:p w14:paraId="26352D9A">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宋体" w:hAnsi="宋体"/>
          <w:color w:val="000000"/>
          <w:szCs w:val="21"/>
          <w:lang w:val="en-US" w:eastAsia="zh-CN"/>
        </w:rPr>
        <w:t>经检验，检验项目全部合格，判定为被抽查产品所检项目未发现不合格；检验项目中任一项或一项以上不合格，判定为被抽查产品不合格。</w:t>
      </w:r>
    </w:p>
    <w:p w14:paraId="2015EBBF">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若被检产品明示的质量要求高于本细则中检验项目依据的标准要求时，应按被检产品明示的质量要求判定。</w:t>
      </w:r>
    </w:p>
    <w:p w14:paraId="218191C0">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若被检产品明示的质量要求低于本细则中检验项目依据的强制性标准要求时，应按照强制性标准要求判定。</w:t>
      </w:r>
    </w:p>
    <w:p w14:paraId="3D171DCA">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若被检产品明示的质量要求低于或包含本细则中检验项目依据的推荐性标准要求时，应以被检产品明示的质量要求判定。</w:t>
      </w:r>
    </w:p>
    <w:p w14:paraId="463AF134">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若被检产品明示的质量要求缺少本细则中检验项目依据的强制性标准要求时，应按照强制性标准要求判定。</w:t>
      </w:r>
    </w:p>
    <w:p w14:paraId="1081B96E">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textAlignment w:val="baseline"/>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若被检产品明示的质量要求缺少本细则中检验项目依据的推荐性标准要求时，该项目不参与判定。</w:t>
      </w:r>
    </w:p>
    <w:sectPr>
      <w:footerReference r:id="rId5" w:type="default"/>
      <w:pgSz w:w="11906" w:h="16839"/>
      <w:pgMar w:top="1429" w:right="1362" w:bottom="1361" w:left="1596" w:header="0" w:footer="1202" w:gutter="0"/>
      <w:cols w:space="0" w:num="1"/>
      <w:rtlGutter w:val="0"/>
      <w:docGrid w:type="lines" w:linePitch="29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0000000000000000000"/>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2F7A">
    <w:pPr>
      <w:spacing w:line="176" w:lineRule="auto"/>
      <w:ind w:left="442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rawingGridHorizontalSpacing w:val="210"/>
  <w:drawingGridVerticalSpacing w:val="146"/>
  <w:displayHorizontalDrawingGridEvery w:val="1"/>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55DF0"/>
    <w:rsid w:val="00C430E0"/>
    <w:rsid w:val="01C56903"/>
    <w:rsid w:val="029449D0"/>
    <w:rsid w:val="045661F7"/>
    <w:rsid w:val="05EC26B0"/>
    <w:rsid w:val="099C263F"/>
    <w:rsid w:val="140E413A"/>
    <w:rsid w:val="1A5A1E87"/>
    <w:rsid w:val="1ABD272D"/>
    <w:rsid w:val="1CCB706C"/>
    <w:rsid w:val="1F52477E"/>
    <w:rsid w:val="22C500B9"/>
    <w:rsid w:val="24C745BD"/>
    <w:rsid w:val="25754019"/>
    <w:rsid w:val="29BF1D06"/>
    <w:rsid w:val="2AE31A25"/>
    <w:rsid w:val="2DCE08CE"/>
    <w:rsid w:val="2F5C1DA5"/>
    <w:rsid w:val="30423968"/>
    <w:rsid w:val="31DE2F4C"/>
    <w:rsid w:val="34525525"/>
    <w:rsid w:val="3583008C"/>
    <w:rsid w:val="375A27EB"/>
    <w:rsid w:val="3A751F6D"/>
    <w:rsid w:val="3C0B4A66"/>
    <w:rsid w:val="3D375ADF"/>
    <w:rsid w:val="3DA768E2"/>
    <w:rsid w:val="3E742C68"/>
    <w:rsid w:val="4102697C"/>
    <w:rsid w:val="46CE3131"/>
    <w:rsid w:val="47153098"/>
    <w:rsid w:val="47F13B7E"/>
    <w:rsid w:val="49F70BF1"/>
    <w:rsid w:val="4AA95C1E"/>
    <w:rsid w:val="4C07336D"/>
    <w:rsid w:val="4E1E36DA"/>
    <w:rsid w:val="4F1B3A63"/>
    <w:rsid w:val="4FC66D33"/>
    <w:rsid w:val="519F144F"/>
    <w:rsid w:val="59213594"/>
    <w:rsid w:val="5C7F2AAC"/>
    <w:rsid w:val="6390730F"/>
    <w:rsid w:val="68EF2D67"/>
    <w:rsid w:val="6A0B448E"/>
    <w:rsid w:val="6BEE17F9"/>
    <w:rsid w:val="6D3E250F"/>
    <w:rsid w:val="733817AF"/>
    <w:rsid w:val="7C1032C9"/>
    <w:rsid w:val="7FFFD4F8"/>
    <w:rsid w:val="FAF5838F"/>
    <w:rsid w:val="FDBB21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ody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586</Words>
  <Characters>825</Characters>
  <TotalTime>951</TotalTime>
  <ScaleCrop>false</ScaleCrop>
  <LinksUpToDate>false</LinksUpToDate>
  <CharactersWithSpaces>852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2026-05-13T22:12:00Z</dcterms:created>
  <dc:creator>Legend User</dc:creator>
  <cp:lastModifiedBy>茶叶</cp:lastModifiedBy>
  <dcterms:modified xsi:type="dcterms:W3CDTF">2026-06-10T06:21:35Z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2026-05-13T14:22:19Z</vt:filetime>
  </property>
  <property fmtid="{D5CDD505-2E9C-101B-9397-08002B2CF9AE}" pid="4" name="KSOTemplateDocerSaveRecord">
    <vt:lpwstr>eyJoZGlkIjoiOWI0ZDMzMmU1ODYzOTJiMjFkOGM4MDQxNDQ1MjRmZTciLCJ1c2VySWQiOiI1MTY1NjkwOTMifQ==</vt:lpwstr>
  </property>
  <property fmtid="{D5CDD505-2E9C-101B-9397-08002B2CF9AE}" pid="5" name="KSOProductBuildVer">
    <vt:lpwstr>2052-12.1.0.26375</vt:lpwstr>
  </property>
  <property fmtid="{D5CDD505-2E9C-101B-9397-08002B2CF9AE}" pid="6" name="ICV">
    <vt:lpwstr>0A82F93E4E324CA9B9DA96FC4BBAF019_13</vt:lpwstr>
  </property>
</Properties>
</file>