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eastAsia="zh-CN"/>
        </w:rPr>
        <w:t>附件</w:t>
      </w:r>
      <w:r>
        <w:rPr>
          <w:rFonts w:hint="eastAsia" w:ascii="仿宋_GB2312" w:hAnsi="仿宋_GB2312" w:eastAsia="仿宋_GB2312" w:cs="仿宋_GB2312"/>
          <w:b w:val="0"/>
          <w:color w:val="auto"/>
          <w:sz w:val="32"/>
          <w:szCs w:val="32"/>
          <w:lang w:val="en-US" w:eastAsia="zh-CN"/>
        </w:rPr>
        <w:t>2</w:t>
      </w:r>
      <w:bookmarkStart w:id="0" w:name="_GoBack"/>
      <w:bookmarkEnd w:id="0"/>
    </w:p>
    <w:p>
      <w:pPr>
        <w:pStyle w:val="11"/>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firstLine="0" w:firstLineChars="0"/>
        <w:textAlignment w:val="auto"/>
        <w:rPr>
          <w:rFonts w:hint="default"/>
          <w:lang w:val="en-US"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方正小标宋简体" w:hAnsi="方正小标宋简体" w:eastAsia="方正小标宋简体" w:cs="方正小标宋简体"/>
          <w:b w:val="0"/>
          <w:bCs/>
          <w:i w:val="0"/>
          <w:iCs w:val="0"/>
          <w:caps w:val="0"/>
          <w:color w:val="auto"/>
          <w:spacing w:val="0"/>
          <w:sz w:val="44"/>
          <w:szCs w:val="44"/>
          <w:shd w:val="clear" w:fill="FFFFFF"/>
          <w:lang w:val="en" w:eastAsia="zh-CN"/>
        </w:rPr>
      </w:pPr>
      <w:r>
        <w:rPr>
          <w:rFonts w:hint="eastAsia" w:ascii="方正小标宋简体" w:hAnsi="方正小标宋简体" w:eastAsia="方正小标宋简体" w:cs="方正小标宋简体"/>
          <w:b w:val="0"/>
          <w:bCs/>
          <w:i w:val="0"/>
          <w:iCs w:val="0"/>
          <w:caps w:val="0"/>
          <w:color w:val="auto"/>
          <w:spacing w:val="0"/>
          <w:sz w:val="44"/>
          <w:szCs w:val="44"/>
          <w:shd w:val="clear" w:fill="FFFFFF"/>
          <w:lang w:val="en" w:eastAsia="zh-CN"/>
        </w:rPr>
        <w:t>陕西省食品生产监督管理办法</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楷体_GB2312" w:hAnsi="楷体_GB2312" w:eastAsia="楷体_GB2312" w:cs="楷体_GB2312"/>
          <w:b w:val="0"/>
          <w:bCs/>
          <w:i w:val="0"/>
          <w:iCs w:val="0"/>
          <w:caps w:val="0"/>
          <w:color w:val="auto"/>
          <w:spacing w:val="0"/>
          <w:sz w:val="32"/>
          <w:szCs w:val="32"/>
          <w:shd w:val="clear" w:fill="FFFFFF"/>
          <w:lang w:val="en" w:eastAsia="zh-CN"/>
        </w:rPr>
      </w:pPr>
      <w:r>
        <w:rPr>
          <w:rFonts w:hint="eastAsia" w:ascii="楷体_GB2312" w:hAnsi="楷体_GB2312" w:eastAsia="楷体_GB2312" w:cs="楷体_GB2312"/>
          <w:b w:val="0"/>
          <w:bCs/>
          <w:i w:val="0"/>
          <w:iCs w:val="0"/>
          <w:caps w:val="0"/>
          <w:color w:val="auto"/>
          <w:spacing w:val="0"/>
          <w:sz w:val="32"/>
          <w:szCs w:val="32"/>
          <w:shd w:val="clear" w:fill="FFFFFF"/>
          <w:lang w:val="en" w:eastAsia="zh-CN"/>
        </w:rPr>
        <w:t>（征求意见稿）</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lang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r>
        <w:rPr>
          <w:rFonts w:hint="eastAsia" w:ascii="黑体" w:hAnsi="黑体" w:eastAsia="黑体" w:cs="黑体"/>
          <w:b w:val="0"/>
          <w:bCs/>
          <w:i w:val="0"/>
          <w:iCs w:val="0"/>
          <w:caps w:val="0"/>
          <w:color w:val="auto"/>
          <w:spacing w:val="0"/>
          <w:sz w:val="32"/>
          <w:szCs w:val="32"/>
          <w:shd w:val="clear" w:fill="FFFFFF"/>
          <w:lang w:eastAsia="zh-CN"/>
        </w:rPr>
        <w:t xml:space="preserve">第一章 </w:t>
      </w:r>
      <w:r>
        <w:rPr>
          <w:rFonts w:hint="eastAsia" w:ascii="黑体" w:hAnsi="黑体" w:eastAsia="黑体" w:cs="黑体"/>
          <w:b w:val="0"/>
          <w:bCs/>
          <w:i w:val="0"/>
          <w:iCs w:val="0"/>
          <w:caps w:val="0"/>
          <w:color w:val="auto"/>
          <w:spacing w:val="0"/>
          <w:sz w:val="32"/>
          <w:szCs w:val="32"/>
          <w:shd w:val="clear" w:fill="FFFFFF"/>
        </w:rPr>
        <w:t>总 则</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color w:val="auto"/>
          <w:sz w:val="32"/>
          <w:szCs w:val="32"/>
          <w:lang w:eastAsia="zh-CN"/>
        </w:rPr>
        <w:t>第一条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为加强食品生产监督管理，保障人民群众饮食安全，根据《中华人民共和国食品安全法》（以下简称《食品安全法》）《中华人民共和国食品安全法实施条例》《食品生产许可管理办法》《食品生产经营监督检查管理办法》等法律、法规、规章，制定本办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color w:val="auto"/>
          <w:sz w:val="32"/>
          <w:szCs w:val="32"/>
          <w:lang w:eastAsia="zh-CN"/>
        </w:rPr>
        <w:t>第二条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陕西省行政区域内从事食品生产加工（以下称食品生产）的企业和食品生产监督管理活动，应遵守本办法。</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本办法所称食品生产企业，是指在陕西省行政区域内取得食品生产许可证的企业（不包括食品生产小作坊）。</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color w:val="auto"/>
          <w:sz w:val="32"/>
          <w:szCs w:val="32"/>
          <w:lang w:eastAsia="zh-CN"/>
        </w:rPr>
        <w:t>第三条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食品生产企业对其生产经营的食品安全负责。食品生产企业应当依照法律、法规和食品安全标准从事生产活动，保证食品安全，诚信自律，对社会和公众负责，接受社会监督，承担社会责任。</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color w:val="auto"/>
          <w:sz w:val="32"/>
          <w:szCs w:val="32"/>
          <w:lang w:eastAsia="zh-CN"/>
        </w:rPr>
        <w:t>第四条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省市场监督管理部门负责指导全省食品生产监督管理工作，重点组织和协调对产品风险高、影响区域广的食品生产企业的监督检查。</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市级市场监督管理部门应结合本辖区食品生产企业的实际情况</w:t>
      </w:r>
      <w:r>
        <w:rPr>
          <w:rFonts w:hint="eastAsia" w:ascii="仿宋_GB2312" w:hAnsi="仿宋_GB2312" w:cs="仿宋_GB2312"/>
          <w:b w:val="0"/>
          <w:color w:val="auto"/>
          <w:sz w:val="32"/>
          <w:szCs w:val="32"/>
          <w:lang w:eastAsia="zh-CN"/>
        </w:rPr>
        <w:t>，</w:t>
      </w:r>
      <w:r>
        <w:rPr>
          <w:rFonts w:hint="eastAsia" w:ascii="仿宋_GB2312" w:hAnsi="仿宋_GB2312" w:eastAsia="仿宋_GB2312" w:cs="仿宋_GB2312"/>
          <w:b w:val="0"/>
          <w:color w:val="auto"/>
          <w:sz w:val="32"/>
          <w:szCs w:val="32"/>
        </w:rPr>
        <w:t>以“双随机、一公开”检查、专项检查、飞行检查等方式开展监督检查。</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县级市场监督管理部门应按照风险管理原则对辖区内所有食品生产企业开展专项检查、日常监督检查。</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color w:val="auto"/>
          <w:spacing w:val="-6"/>
          <w:kern w:val="0"/>
          <w:sz w:val="32"/>
          <w:szCs w:val="32"/>
          <w:lang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color w:val="auto"/>
          <w:spacing w:val="-6"/>
          <w:kern w:val="0"/>
          <w:sz w:val="32"/>
          <w:szCs w:val="32"/>
          <w:lang w:eastAsia="zh-CN"/>
        </w:rPr>
      </w:pPr>
      <w:r>
        <w:rPr>
          <w:rFonts w:hint="eastAsia" w:ascii="黑体" w:hAnsi="黑体" w:eastAsia="黑体" w:cs="黑体"/>
          <w:b w:val="0"/>
          <w:bCs/>
          <w:color w:val="auto"/>
          <w:spacing w:val="-6"/>
          <w:kern w:val="0"/>
          <w:sz w:val="32"/>
          <w:szCs w:val="32"/>
          <w:lang w:eastAsia="zh-CN"/>
        </w:rPr>
        <w:t>第二章 食品生产</w:t>
      </w:r>
    </w:p>
    <w:p>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Chars="0"/>
        <w:jc w:val="center"/>
        <w:textAlignment w:val="auto"/>
        <w:rPr>
          <w:rFonts w:hint="eastAsia" w:ascii="楷体_GB2312" w:hAnsi="楷体_GB2312" w:eastAsia="楷体_GB2312" w:cs="楷体_GB2312"/>
          <w:b w:val="0"/>
          <w:sz w:val="32"/>
          <w:szCs w:val="32"/>
        </w:rPr>
      </w:pPr>
      <w:r>
        <w:rPr>
          <w:rFonts w:hint="eastAsia" w:ascii="楷体_GB2312" w:hAnsi="楷体_GB2312" w:eastAsia="楷体_GB2312" w:cs="楷体_GB2312"/>
          <w:sz w:val="32"/>
          <w:szCs w:val="32"/>
          <w:lang w:eastAsia="zh-CN"/>
        </w:rPr>
        <w:t>第一</w:t>
      </w:r>
      <w:r>
        <w:rPr>
          <w:rFonts w:hint="eastAsia" w:ascii="楷体_GB2312" w:hAnsi="楷体_GB2312" w:eastAsia="楷体_GB2312" w:cs="楷体_GB2312"/>
          <w:sz w:val="32"/>
          <w:szCs w:val="32"/>
          <w:lang w:val="en-US" w:eastAsia="zh-CN"/>
        </w:rPr>
        <w:t>节</w:t>
      </w:r>
      <w:r>
        <w:rPr>
          <w:rFonts w:hint="eastAsia" w:ascii="楷体_GB2312" w:hAnsi="楷体_GB2312" w:eastAsia="楷体_GB2312" w:cs="楷体_GB2312"/>
          <w:bCs/>
          <w:spacing w:val="-6"/>
          <w:kern w:val="44"/>
          <w:sz w:val="32"/>
          <w:szCs w:val="32"/>
          <w:lang w:eastAsia="zh-CN" w:bidi="ar-SA"/>
        </w:rPr>
        <w:t xml:space="preserve"> </w:t>
      </w:r>
      <w:r>
        <w:rPr>
          <w:rFonts w:hint="eastAsia" w:ascii="楷体_GB2312" w:hAnsi="楷体_GB2312" w:eastAsia="楷体_GB2312" w:cs="楷体_GB2312"/>
          <w:sz w:val="32"/>
          <w:szCs w:val="32"/>
        </w:rPr>
        <w:t>一般规定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color w:val="auto"/>
          <w:sz w:val="32"/>
          <w:szCs w:val="32"/>
          <w:lang w:eastAsia="zh-CN"/>
        </w:rPr>
        <w:t>第五条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从事食品生产应当依法取得许可，并在许可范围内从事食品生产活动。</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color w:val="auto"/>
          <w:sz w:val="32"/>
          <w:szCs w:val="32"/>
          <w:lang w:eastAsia="zh-CN"/>
        </w:rPr>
        <w:t>第六条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食品生产企业主要负责人对本企业食品安全</w:t>
      </w:r>
      <w:r>
        <w:rPr>
          <w:rFonts w:hint="eastAsia" w:cs="仿宋_GB2312"/>
          <w:b w:val="0"/>
          <w:i w:val="0"/>
          <w:color w:val="auto"/>
          <w:sz w:val="32"/>
          <w:szCs w:val="32"/>
          <w:lang w:eastAsia="zh-CN"/>
        </w:rPr>
        <w:t>工作</w:t>
      </w:r>
      <w:r>
        <w:rPr>
          <w:rFonts w:ascii="Times New Roman" w:hAnsi="Times New Roman" w:eastAsia="仿宋_GB2312" w:cs="仿宋_GB2312"/>
          <w:b w:val="0"/>
          <w:i w:val="0"/>
          <w:color w:val="auto"/>
          <w:sz w:val="32"/>
          <w:szCs w:val="32"/>
        </w:rPr>
        <w:t>全面负责，建立并落实食品安全主体责任长效机制。</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食品生产企业应当明确食品安全总监、食品安全员等食品安全管理人员的岗位职责，结合实际细化制定《食品安全总监职责》和《食品安全员守则》。食品安全总监、食品安全员应当按照岗位职责协助企业主要负责人做好食品安全管理工作。</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因食品安全违法被吊销许可证的，其法定代表人、直接负责的主管人员和其他直接责任人员，自处罚决定作出之日起五年内不得担任食品安全总监、食品安全员；因食品安全犯罪被判处有期徒刑以上刑罚的人员，终身不得担任。</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color w:val="auto"/>
          <w:sz w:val="32"/>
          <w:szCs w:val="32"/>
          <w:lang w:eastAsia="zh-CN"/>
        </w:rPr>
        <w:t>第七条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食品生产企业应当对照本企业制定的《食品安全风险管控清单》，在生产经营期间开展日管控、周排查、月调度工作，有效</w:t>
      </w:r>
      <w:r>
        <w:rPr>
          <w:rFonts w:hint="eastAsia" w:cs="仿宋_GB2312"/>
          <w:b w:val="0"/>
          <w:i w:val="0"/>
          <w:color w:val="auto"/>
          <w:sz w:val="32"/>
          <w:szCs w:val="32"/>
          <w:lang w:eastAsia="zh-CN"/>
        </w:rPr>
        <w:t>开展</w:t>
      </w:r>
      <w:r>
        <w:rPr>
          <w:rFonts w:ascii="Times New Roman" w:hAnsi="Times New Roman" w:eastAsia="仿宋_GB2312" w:cs="仿宋_GB2312"/>
          <w:b w:val="0"/>
          <w:i w:val="0"/>
          <w:color w:val="auto"/>
          <w:sz w:val="32"/>
          <w:szCs w:val="32"/>
        </w:rPr>
        <w:t>食品安全风险管控。</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color w:val="auto"/>
          <w:sz w:val="32"/>
          <w:szCs w:val="32"/>
          <w:lang w:eastAsia="zh-CN"/>
        </w:rPr>
        <w:t>第八条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食品生产实行电子许可证管理，食品生产企业应当妥善保管食品生产许可证，不得伪造、涂改、倒卖、出租、出借、转让。</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color w:val="auto"/>
          <w:sz w:val="32"/>
          <w:szCs w:val="32"/>
          <w:lang w:eastAsia="zh-CN"/>
        </w:rPr>
        <w:t>第九条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的加工场所、设施设备、设备布局和工艺流程、贮存、运输、食品安全管理人员和食品安全专业技术人员、食品安全制度、人员卫生、水质、食品相关产品等应持续符合相关法律、法规、规章及食品安全国家标准的有关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color w:val="auto"/>
          <w:sz w:val="32"/>
          <w:szCs w:val="32"/>
          <w:lang w:eastAsia="zh-CN"/>
        </w:rPr>
        <w:t>第十条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食品生产企业应当严格执行食品安全国家标准、食品安全地方标准或其他国家标准、行业标准、地方标准、团体标准和企业标准等。</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食品生产企业制定的企业标准应严于食品安全国家标准或者地方标准，并报省卫生</w:t>
      </w:r>
      <w:r>
        <w:rPr>
          <w:rFonts w:hint="eastAsia" w:cs="仿宋_GB2312"/>
          <w:b w:val="0"/>
          <w:i w:val="0"/>
          <w:color w:val="auto"/>
          <w:sz w:val="32"/>
          <w:szCs w:val="32"/>
          <w:lang w:eastAsia="zh-CN"/>
        </w:rPr>
        <w:t>健康</w:t>
      </w:r>
      <w:r>
        <w:rPr>
          <w:rFonts w:ascii="Times New Roman" w:hAnsi="Times New Roman" w:eastAsia="仿宋_GB2312" w:cs="仿宋_GB2312"/>
          <w:b w:val="0"/>
          <w:i w:val="0"/>
          <w:color w:val="auto"/>
          <w:sz w:val="32"/>
          <w:szCs w:val="32"/>
        </w:rPr>
        <w:t>行政部门备案。</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color w:val="auto"/>
          <w:sz w:val="32"/>
          <w:szCs w:val="32"/>
          <w:lang w:eastAsia="zh-CN"/>
        </w:rPr>
        <w:t>第十一条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食品生产企业所用食品原料、食品添加剂、食品相关产品应当符合国家有关规定。使用的食品原料、食品添加剂、食品相关产品已纳入生产许可管理的，必须使用获证产品。</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color w:val="auto"/>
          <w:sz w:val="32"/>
          <w:szCs w:val="32"/>
          <w:lang w:eastAsia="zh-CN"/>
        </w:rPr>
        <w:t>第十二条</w:t>
      </w:r>
      <w:r>
        <w:rPr>
          <w:rFonts w:hint="eastAsia" w:cs="仿宋_GB2312"/>
          <w:b/>
          <w:i w:val="0"/>
          <w:color w:val="auto"/>
          <w:sz w:val="32"/>
          <w:szCs w:val="32"/>
          <w:lang w:eastAsia="zh-CN"/>
        </w:rPr>
        <w:t>　</w:t>
      </w:r>
      <w:r>
        <w:rPr>
          <w:rFonts w:hint="eastAsia" w:ascii="仿宋_GB2312" w:hAnsi="仿宋_GB2312" w:eastAsia="仿宋_GB2312" w:cs="仿宋_GB2312"/>
          <w:b w:val="0"/>
          <w:i w:val="0"/>
          <w:color w:val="auto"/>
          <w:sz w:val="32"/>
          <w:szCs w:val="32"/>
        </w:rPr>
        <w:t>出厂销售的食品应当进行包装，并有标签、标识。标签应当标注生产日期、保质期到期日。除法律、法规、食品安全国家标准规定可以豁免的情形外，预包装食品的标签应当按照年、月、日的顺序清晰标示生产日期和保质期到期日。保质期到期日的标示形式可以参照《食品安全国家标准 预包装食品标签通则》（GB 7718）附录A的示例。保质期6个月及以上的预包装食品，可仅标示保质期和保质期到期日。包装材料、标签和标识应当符合相关法律、法规及食品安全标准的要求</w:t>
      </w:r>
      <w:r>
        <w:rPr>
          <w:rFonts w:ascii="Times New Roman" w:hAnsi="Times New Roman" w:eastAsia="仿宋_GB2312" w:cs="仿宋_GB2312"/>
          <w:b w:val="0"/>
          <w:i w:val="0"/>
          <w:color w:val="auto"/>
          <w:sz w:val="32"/>
          <w:szCs w:val="32"/>
        </w:rPr>
        <w:t>。</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第十三条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特殊医学用途配方食品、保健食品及婴幼儿配方食品应按照相关规定进行注册或备案，并按照注册或备案的产品配方、生产工艺等技术要求组织生产。</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第十四条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食品生产企业应当建立健全质量管理体系，实施从原材料采购、生产过程控制、产品出厂检验、贮存、运输和销售全过程的质量管理。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第十五条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食品生产经营者应当采取措施，改善食品储存、运输、加工条件，防止食品变质，降低储存、运输中的损耗；提高食品加工利用率，避免过度加工和过量使用原材料。</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第十六条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建立食品安全追溯体系。通过进货查验、索证索票、生产过程记录、购销记录等方式，保证其生产的食品可追溯。鼓励食品生产企业采用信息化手段采集、留存进货查验、出厂检验、食品销售等信息。</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第十七条</w:t>
      </w:r>
      <w:r>
        <w:rPr>
          <w:rFonts w:hint="eastAsia" w:cs="仿宋_GB2312"/>
          <w:b/>
          <w:i w:val="0"/>
          <w:color w:val="auto"/>
          <w:sz w:val="32"/>
          <w:szCs w:val="32"/>
          <w:lang w:eastAsia="zh-CN"/>
        </w:rPr>
        <w:t>　</w:t>
      </w:r>
      <w:r>
        <w:rPr>
          <w:rFonts w:hint="eastAsia" w:ascii="仿宋_GB2312" w:hAnsi="仿宋_GB2312" w:eastAsia="仿宋_GB2312" w:cs="仿宋_GB2312"/>
          <w:b w:val="0"/>
          <w:i w:val="0"/>
          <w:color w:val="auto"/>
          <w:sz w:val="32"/>
          <w:szCs w:val="32"/>
        </w:rPr>
        <w:t>食品生产企业应当建立食品安全自查制度，每年应不少于1次对食品安全状况进行自查评价。特殊食品生产企业应按相关要求每年提交2次自查报告。</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方正楷体_GB2312" w:hAnsi="方正楷体_GB2312" w:eastAsia="方正楷体_GB2312" w:cs="方正楷体_GB2312"/>
          <w:b w:val="0"/>
          <w:bCs/>
          <w:i w:val="0"/>
          <w:iCs w:val="0"/>
          <w:caps w:val="0"/>
          <w:color w:val="auto"/>
          <w:spacing w:val="0"/>
          <w:sz w:val="32"/>
          <w:szCs w:val="32"/>
          <w:shd w:val="clear" w:fill="FFFFFF"/>
          <w:lang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楷体_GB2312" w:hAnsi="楷体_GB2312" w:eastAsia="楷体_GB2312" w:cs="楷体_GB2312"/>
          <w:b w:val="0"/>
          <w:bCs/>
          <w:i w:val="0"/>
          <w:iCs w:val="0"/>
          <w:caps w:val="0"/>
          <w:color w:val="auto"/>
          <w:spacing w:val="0"/>
          <w:sz w:val="32"/>
          <w:szCs w:val="32"/>
          <w:shd w:val="clear" w:fill="FFFFFF"/>
        </w:rPr>
      </w:pPr>
      <w:r>
        <w:rPr>
          <w:rFonts w:hint="eastAsia" w:ascii="楷体_GB2312" w:hAnsi="楷体_GB2312" w:eastAsia="楷体_GB2312" w:cs="楷体_GB2312"/>
          <w:b w:val="0"/>
          <w:bCs/>
          <w:i w:val="0"/>
          <w:iCs w:val="0"/>
          <w:caps w:val="0"/>
          <w:color w:val="auto"/>
          <w:spacing w:val="0"/>
          <w:sz w:val="32"/>
          <w:szCs w:val="32"/>
          <w:shd w:val="clear" w:fill="FFFFFF"/>
          <w:lang w:eastAsia="zh-CN"/>
        </w:rPr>
        <w:t>第二</w:t>
      </w:r>
      <w:r>
        <w:rPr>
          <w:rFonts w:hint="eastAsia" w:ascii="楷体_GB2312" w:hAnsi="楷体_GB2312" w:eastAsia="楷体_GB2312" w:cs="楷体_GB2312"/>
          <w:b w:val="0"/>
          <w:bCs/>
          <w:i w:val="0"/>
          <w:iCs w:val="0"/>
          <w:caps w:val="0"/>
          <w:color w:val="auto"/>
          <w:spacing w:val="0"/>
          <w:sz w:val="32"/>
          <w:szCs w:val="32"/>
          <w:shd w:val="clear" w:fill="FFFFFF"/>
          <w:lang w:val="en-US" w:eastAsia="zh-CN"/>
        </w:rPr>
        <w:t>节</w:t>
      </w:r>
      <w:r>
        <w:rPr>
          <w:rFonts w:hint="eastAsia" w:ascii="楷体_GB2312" w:hAnsi="楷体_GB2312" w:eastAsia="楷体_GB2312" w:cs="楷体_GB2312"/>
          <w:b w:val="0"/>
          <w:bCs/>
          <w:i w:val="0"/>
          <w:iCs w:val="0"/>
          <w:caps w:val="0"/>
          <w:color w:val="auto"/>
          <w:spacing w:val="0"/>
          <w:sz w:val="32"/>
          <w:szCs w:val="32"/>
          <w:shd w:val="clear" w:fill="FFFFFF"/>
          <w:lang w:eastAsia="zh-CN"/>
        </w:rPr>
        <w:t xml:space="preserve"> </w:t>
      </w:r>
      <w:r>
        <w:rPr>
          <w:rFonts w:hint="eastAsia" w:ascii="楷体_GB2312" w:hAnsi="楷体_GB2312" w:eastAsia="楷体_GB2312" w:cs="楷体_GB2312"/>
          <w:b w:val="0"/>
          <w:bCs/>
          <w:i w:val="0"/>
          <w:iCs w:val="0"/>
          <w:caps w:val="0"/>
          <w:color w:val="auto"/>
          <w:spacing w:val="0"/>
          <w:sz w:val="32"/>
          <w:szCs w:val="32"/>
          <w:shd w:val="clear" w:fill="FFFFFF"/>
        </w:rPr>
        <w:t>原辅材料采购管理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第十八条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食品生产企业应建立供应商审查机制，建立合格供应商档案并定期开展评价。</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第十九条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食品生产企业应对供应商进行以下内容评价：</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供应商营业执照、许可证及产品质量合格证明等；</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食用农产品供应商提供的质量证明材料；</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对产品进行感官评价以及检测等；</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必要时还应对供应商生产条件、质量保证能力、检验能力进行评价。</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采购食品原料、食品添加剂、食品相关产品，应当查验供货者的许可证和产品合格证明，以及到货名称、规格、数量等；对无法提供合格证明的食品原料，应当按照食品安全标准进行检验；不得采购或者使用不符合食品安全标准或法律、法规要求的食品原料、食品添加剂、食品相关产品。食品生产企业应建立进货查验记录制度，按照法律、法规、规章和食品安全国家标准相关要求记录，并保存相关凭证。</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验收不合格的食品原料应在指定区域与合格品分开放置并明显标记，并应及时进行退、换货等处理。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第二十一条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通过道路散装运输的重点液态食品，应当查验承运方的准运证及运输容器的运输容器证明、专用标识、前一载运输食品信息、清洁记录及清洁状况等，核验装载后是否进行有效铅封，并如实记录，留档备查。</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楷体_GB2312" w:hAnsi="楷体_GB2312" w:eastAsia="楷体_GB2312" w:cs="楷体_GB2312"/>
          <w:b w:val="0"/>
          <w:bCs/>
          <w:i w:val="0"/>
          <w:iCs w:val="0"/>
          <w:caps w:val="0"/>
          <w:color w:val="auto"/>
          <w:spacing w:val="0"/>
          <w:sz w:val="32"/>
          <w:szCs w:val="32"/>
          <w:shd w:val="clear" w:fill="FFFFFF"/>
          <w:lang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楷体_GB2312" w:hAnsi="楷体_GB2312" w:eastAsia="楷体_GB2312" w:cs="楷体_GB2312"/>
          <w:b w:val="0"/>
          <w:bCs/>
          <w:i w:val="0"/>
          <w:iCs w:val="0"/>
          <w:caps w:val="0"/>
          <w:color w:val="auto"/>
          <w:spacing w:val="0"/>
          <w:sz w:val="32"/>
          <w:szCs w:val="32"/>
          <w:shd w:val="clear" w:fill="FFFFFF"/>
        </w:rPr>
      </w:pPr>
      <w:r>
        <w:rPr>
          <w:rFonts w:hint="eastAsia" w:ascii="楷体_GB2312" w:hAnsi="楷体_GB2312" w:eastAsia="楷体_GB2312" w:cs="楷体_GB2312"/>
          <w:b w:val="0"/>
          <w:bCs/>
          <w:i w:val="0"/>
          <w:iCs w:val="0"/>
          <w:caps w:val="0"/>
          <w:color w:val="auto"/>
          <w:spacing w:val="0"/>
          <w:sz w:val="32"/>
          <w:szCs w:val="32"/>
          <w:shd w:val="clear" w:fill="FFFFFF"/>
          <w:lang w:eastAsia="zh-CN"/>
        </w:rPr>
        <w:t>第三</w:t>
      </w:r>
      <w:r>
        <w:rPr>
          <w:rFonts w:hint="eastAsia" w:ascii="楷体_GB2312" w:hAnsi="楷体_GB2312" w:eastAsia="楷体_GB2312" w:cs="楷体_GB2312"/>
          <w:b w:val="0"/>
          <w:bCs/>
          <w:i w:val="0"/>
          <w:iCs w:val="0"/>
          <w:caps w:val="0"/>
          <w:color w:val="auto"/>
          <w:spacing w:val="0"/>
          <w:sz w:val="32"/>
          <w:szCs w:val="32"/>
          <w:shd w:val="clear" w:fill="FFFFFF"/>
          <w:lang w:val="en-US" w:eastAsia="zh-CN"/>
        </w:rPr>
        <w:t>节</w:t>
      </w:r>
      <w:r>
        <w:rPr>
          <w:rFonts w:hint="eastAsia" w:ascii="楷体_GB2312" w:hAnsi="楷体_GB2312" w:eastAsia="楷体_GB2312" w:cs="楷体_GB2312"/>
          <w:b w:val="0"/>
          <w:bCs/>
          <w:i w:val="0"/>
          <w:iCs w:val="0"/>
          <w:caps w:val="0"/>
          <w:color w:val="auto"/>
          <w:spacing w:val="0"/>
          <w:sz w:val="32"/>
          <w:szCs w:val="32"/>
          <w:shd w:val="clear" w:fill="FFFFFF"/>
          <w:lang w:eastAsia="zh-CN"/>
        </w:rPr>
        <w:t xml:space="preserve"> </w:t>
      </w:r>
      <w:r>
        <w:rPr>
          <w:rFonts w:hint="eastAsia" w:ascii="楷体_GB2312" w:hAnsi="楷体_GB2312" w:eastAsia="楷体_GB2312" w:cs="楷体_GB2312"/>
          <w:b w:val="0"/>
          <w:bCs/>
          <w:i w:val="0"/>
          <w:iCs w:val="0"/>
          <w:caps w:val="0"/>
          <w:color w:val="auto"/>
          <w:spacing w:val="0"/>
          <w:sz w:val="32"/>
          <w:szCs w:val="32"/>
          <w:shd w:val="clear" w:fill="FFFFFF"/>
        </w:rPr>
        <w:t>食品添加剂管理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第二十二条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食品生产企业应建立食品添加剂管理制度，明确采购、保管、使用等相关人员的职责。食品添加剂相关责任人应熟悉法律、法规及标准等，并具备与其岗位相适应的专业知识。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第二十三条</w:t>
      </w:r>
      <w:r>
        <w:rPr>
          <w:rFonts w:hint="eastAsia" w:cs="仿宋_GB2312"/>
          <w:b/>
          <w:i w:val="0"/>
          <w:color w:val="auto"/>
          <w:spacing w:val="0"/>
          <w:sz w:val="32"/>
          <w:szCs w:val="32"/>
          <w:lang w:eastAsia="zh-CN"/>
        </w:rPr>
        <w:t>　</w:t>
      </w:r>
      <w:r>
        <w:rPr>
          <w:rFonts w:ascii="Times New Roman" w:hAnsi="Times New Roman" w:eastAsia="仿宋_GB2312" w:cs="仿宋_GB2312"/>
          <w:b w:val="0"/>
          <w:i w:val="0"/>
          <w:color w:val="auto"/>
          <w:spacing w:val="0"/>
          <w:sz w:val="32"/>
          <w:szCs w:val="32"/>
        </w:rPr>
        <w:t>食品生产企业使用食品添加剂，应做到以</w:t>
      </w:r>
      <w:r>
        <w:rPr>
          <w:rFonts w:ascii="Times New Roman" w:hAnsi="Times New Roman" w:eastAsia="仿宋_GB2312" w:cs="仿宋_GB2312"/>
          <w:b w:val="0"/>
          <w:i w:val="0"/>
          <w:color w:val="auto"/>
          <w:spacing w:val="-6"/>
          <w:sz w:val="32"/>
          <w:szCs w:val="32"/>
        </w:rPr>
        <w:t>下</w:t>
      </w:r>
      <w:r>
        <w:rPr>
          <w:rFonts w:ascii="Times New Roman" w:hAnsi="Times New Roman" w:eastAsia="仿宋_GB2312" w:cs="仿宋_GB2312"/>
          <w:b w:val="0"/>
          <w:i w:val="0"/>
          <w:color w:val="auto"/>
          <w:sz w:val="32"/>
          <w:szCs w:val="32"/>
        </w:rPr>
        <w:t>要求：</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ascii="仿宋_GB2312" w:hAnsi="仿宋_GB2312" w:eastAsia="仿宋_GB2312" w:cs="仿宋_GB2312"/>
          <w:b w:val="0"/>
          <w:i w:val="0"/>
          <w:color w:val="auto"/>
          <w:sz w:val="32"/>
          <w:szCs w:val="32"/>
          <w:lang w:eastAsia="zh-CN"/>
        </w:rPr>
        <w:t>（一）</w:t>
      </w:r>
      <w:r>
        <w:rPr>
          <w:rFonts w:hint="eastAsia" w:ascii="仿宋_GB2312" w:hAnsi="仿宋_GB2312" w:eastAsia="仿宋_GB2312" w:cs="仿宋_GB2312"/>
          <w:b w:val="0"/>
          <w:i w:val="0"/>
          <w:color w:val="auto"/>
          <w:sz w:val="32"/>
          <w:szCs w:val="32"/>
        </w:rPr>
        <w:t>符合《食品安全国家标准　食品添加剂使用标准》（GB 2760）《食品安全国家标准　食品营养强化剂使用标准》（GB 14880）及国家卫生</w:t>
      </w:r>
      <w:r>
        <w:rPr>
          <w:rFonts w:hint="eastAsia" w:ascii="仿宋_GB2312" w:hAnsi="仿宋_GB2312" w:cs="仿宋_GB2312"/>
          <w:b w:val="0"/>
          <w:i w:val="0"/>
          <w:color w:val="auto"/>
          <w:sz w:val="32"/>
          <w:szCs w:val="32"/>
          <w:lang w:eastAsia="zh-CN"/>
        </w:rPr>
        <w:t>健康</w:t>
      </w:r>
      <w:r>
        <w:rPr>
          <w:rFonts w:hint="eastAsia" w:ascii="仿宋_GB2312" w:hAnsi="仿宋_GB2312" w:eastAsia="仿宋_GB2312" w:cs="仿宋_GB2312"/>
          <w:b w:val="0"/>
          <w:i w:val="0"/>
          <w:color w:val="auto"/>
          <w:sz w:val="32"/>
          <w:szCs w:val="32"/>
        </w:rPr>
        <w:t>行政部门相关公告的要求，其产品配方须经企业质量负责人审核。对复配食品添加剂应确认其组成成分、使用范围、使用量等；</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ascii="仿宋_GB2312" w:hAnsi="仿宋_GB2312" w:eastAsia="仿宋_GB2312" w:cs="仿宋_GB2312"/>
          <w:b w:val="0"/>
          <w:i w:val="0"/>
          <w:color w:val="auto"/>
          <w:sz w:val="32"/>
          <w:szCs w:val="32"/>
          <w:lang w:eastAsia="zh-CN"/>
        </w:rPr>
        <w:t>（二）</w:t>
      </w:r>
      <w:r>
        <w:rPr>
          <w:rFonts w:hint="eastAsia" w:ascii="仿宋_GB2312" w:hAnsi="仿宋_GB2312" w:eastAsia="仿宋_GB2312" w:cs="仿宋_GB2312"/>
          <w:b w:val="0"/>
          <w:i w:val="0"/>
          <w:color w:val="auto"/>
          <w:sz w:val="32"/>
          <w:szCs w:val="32"/>
        </w:rPr>
        <w:t>不得使用无标识、标识不清、标识不符合要求及来源不明的食品添加剂；发现不符合要求的，立即停止使用，及时向相关主管部门报告；</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ascii="仿宋_GB2312" w:hAnsi="仿宋_GB2312" w:eastAsia="仿宋_GB2312" w:cs="仿宋_GB2312"/>
          <w:b w:val="0"/>
          <w:i w:val="0"/>
          <w:color w:val="auto"/>
          <w:sz w:val="32"/>
          <w:szCs w:val="32"/>
          <w:lang w:eastAsia="zh-CN"/>
        </w:rPr>
        <w:t>（三）</w:t>
      </w:r>
      <w:r>
        <w:rPr>
          <w:rFonts w:hint="eastAsia" w:ascii="仿宋_GB2312" w:hAnsi="仿宋_GB2312" w:eastAsia="仿宋_GB2312" w:cs="仿宋_GB2312"/>
          <w:b w:val="0"/>
          <w:i w:val="0"/>
          <w:color w:val="auto"/>
          <w:sz w:val="32"/>
          <w:szCs w:val="32"/>
        </w:rPr>
        <w:t>食品添加剂应专库或专区（柜）存放，专人管理，并标示食品添加剂字样，配备专用计量器具及工具、容器；</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ascii="仿宋_GB2312" w:hAnsi="仿宋_GB2312" w:eastAsia="仿宋_GB2312" w:cs="仿宋_GB2312"/>
          <w:b w:val="0"/>
          <w:i w:val="0"/>
          <w:color w:val="auto"/>
          <w:sz w:val="32"/>
          <w:szCs w:val="32"/>
          <w:lang w:eastAsia="zh-CN"/>
        </w:rPr>
        <w:t>（四）</w:t>
      </w:r>
      <w:r>
        <w:rPr>
          <w:rFonts w:hint="eastAsia" w:ascii="仿宋_GB2312" w:hAnsi="仿宋_GB2312" w:eastAsia="仿宋_GB2312" w:cs="仿宋_GB2312"/>
          <w:b w:val="0"/>
          <w:i w:val="0"/>
          <w:color w:val="auto"/>
          <w:sz w:val="32"/>
          <w:szCs w:val="32"/>
        </w:rPr>
        <w:t>计量器具精度应符合要求，并在检定有效期内。</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第二十四条</w:t>
      </w:r>
      <w:r>
        <w:rPr>
          <w:rFonts w:hint="eastAsia" w:cs="仿宋_GB2312"/>
          <w:b/>
          <w:i w:val="0"/>
          <w:color w:val="auto"/>
          <w:sz w:val="32"/>
          <w:szCs w:val="32"/>
          <w:lang w:eastAsia="zh-CN"/>
        </w:rPr>
        <w:t>　</w:t>
      </w:r>
      <w:r>
        <w:rPr>
          <w:rFonts w:hint="eastAsia" w:ascii="仿宋_GB2312" w:hAnsi="仿宋_GB2312" w:eastAsia="仿宋_GB2312" w:cs="仿宋_GB2312"/>
          <w:b w:val="0"/>
          <w:i w:val="0"/>
          <w:color w:val="auto"/>
          <w:sz w:val="32"/>
          <w:szCs w:val="32"/>
        </w:rPr>
        <w:t>食品生产企业应当建立食品添加剂使用记录制度，记录食品添加剂的产品名称、使用数量、使用范围、使用人、使用日期等信息。记录保存期限应不少于2年。</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方正楷体_GB2312" w:hAnsi="方正楷体_GB2312" w:eastAsia="方正楷体_GB2312" w:cs="方正楷体_GB2312"/>
          <w:b w:val="0"/>
          <w:bCs/>
          <w:i w:val="0"/>
          <w:iCs w:val="0"/>
          <w:caps w:val="0"/>
          <w:color w:val="auto"/>
          <w:spacing w:val="0"/>
          <w:sz w:val="32"/>
          <w:szCs w:val="32"/>
          <w:shd w:val="clear" w:fill="FFFFFF"/>
          <w:lang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楷体_GB2312" w:hAnsi="楷体_GB2312" w:eastAsia="楷体_GB2312" w:cs="楷体_GB2312"/>
          <w:b w:val="0"/>
          <w:bCs/>
          <w:i w:val="0"/>
          <w:iCs w:val="0"/>
          <w:caps w:val="0"/>
          <w:color w:val="auto"/>
          <w:spacing w:val="0"/>
          <w:sz w:val="32"/>
          <w:szCs w:val="32"/>
          <w:shd w:val="clear" w:fill="FFFFFF"/>
        </w:rPr>
      </w:pPr>
      <w:r>
        <w:rPr>
          <w:rFonts w:hint="eastAsia" w:ascii="楷体_GB2312" w:hAnsi="楷体_GB2312" w:eastAsia="楷体_GB2312" w:cs="楷体_GB2312"/>
          <w:b w:val="0"/>
          <w:bCs/>
          <w:i w:val="0"/>
          <w:iCs w:val="0"/>
          <w:caps w:val="0"/>
          <w:color w:val="auto"/>
          <w:spacing w:val="0"/>
          <w:sz w:val="32"/>
          <w:szCs w:val="32"/>
          <w:shd w:val="clear" w:fill="FFFFFF"/>
          <w:lang w:eastAsia="zh-CN"/>
        </w:rPr>
        <w:t>第四</w:t>
      </w:r>
      <w:r>
        <w:rPr>
          <w:rFonts w:hint="eastAsia" w:ascii="楷体_GB2312" w:hAnsi="楷体_GB2312" w:eastAsia="楷体_GB2312" w:cs="楷体_GB2312"/>
          <w:b w:val="0"/>
          <w:bCs/>
          <w:i w:val="0"/>
          <w:iCs w:val="0"/>
          <w:caps w:val="0"/>
          <w:color w:val="auto"/>
          <w:spacing w:val="0"/>
          <w:sz w:val="32"/>
          <w:szCs w:val="32"/>
          <w:shd w:val="clear" w:fill="FFFFFF"/>
          <w:lang w:val="en-US" w:eastAsia="zh-CN"/>
        </w:rPr>
        <w:t>节</w:t>
      </w:r>
      <w:r>
        <w:rPr>
          <w:rFonts w:hint="eastAsia" w:ascii="楷体_GB2312" w:hAnsi="楷体_GB2312" w:eastAsia="楷体_GB2312" w:cs="楷体_GB2312"/>
          <w:b w:val="0"/>
          <w:bCs/>
          <w:i w:val="0"/>
          <w:iCs w:val="0"/>
          <w:caps w:val="0"/>
          <w:color w:val="auto"/>
          <w:spacing w:val="0"/>
          <w:sz w:val="32"/>
          <w:szCs w:val="32"/>
          <w:shd w:val="clear" w:fill="FFFFFF"/>
          <w:lang w:eastAsia="zh-CN"/>
        </w:rPr>
        <w:t xml:space="preserve"> </w:t>
      </w:r>
      <w:r>
        <w:rPr>
          <w:rFonts w:hint="eastAsia" w:ascii="楷体_GB2312" w:hAnsi="楷体_GB2312" w:eastAsia="楷体_GB2312" w:cs="楷体_GB2312"/>
          <w:b w:val="0"/>
          <w:bCs/>
          <w:i w:val="0"/>
          <w:iCs w:val="0"/>
          <w:caps w:val="0"/>
          <w:color w:val="auto"/>
          <w:spacing w:val="0"/>
          <w:sz w:val="32"/>
          <w:szCs w:val="32"/>
          <w:shd w:val="clear" w:fill="FFFFFF"/>
        </w:rPr>
        <w:t>生产过程控制</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第二十五条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食品生产企业应按产品特点、生产工艺的先后次序合理布局，防止前后工序相互交叉污染。</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第二十六条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食品生产企业应建立设施、设备及工器具维护管理制度：</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生产区域设施修护有可能影响食品生产时，应停产；</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维修检查设备时，应采取必要的措施防止污染食品，维修后要对相关区域进行清洗消毒，由指定人员确认后方可继续生产；</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生产设备、工具、容器等在使用前后应清洗、消毒；</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pacing w:val="0"/>
          <w:sz w:val="32"/>
          <w:szCs w:val="32"/>
          <w:lang w:eastAsia="zh-CN"/>
        </w:rPr>
        <w:t>（四）</w:t>
      </w:r>
      <w:r>
        <w:rPr>
          <w:rFonts w:ascii="Times New Roman" w:hAnsi="Times New Roman" w:eastAsia="仿宋_GB2312" w:cs="仿宋_GB2312"/>
          <w:b w:val="0"/>
          <w:i w:val="0"/>
          <w:color w:val="auto"/>
          <w:spacing w:val="0"/>
          <w:sz w:val="32"/>
          <w:szCs w:val="32"/>
        </w:rPr>
        <w:t>清洗、保养人员应及时填写机器设备维修清洗保</w:t>
      </w:r>
      <w:r>
        <w:rPr>
          <w:rFonts w:ascii="Times New Roman" w:hAnsi="Times New Roman" w:eastAsia="仿宋_GB2312" w:cs="仿宋_GB2312"/>
          <w:b w:val="0"/>
          <w:i w:val="0"/>
          <w:color w:val="auto"/>
          <w:spacing w:val="-6"/>
          <w:sz w:val="32"/>
          <w:szCs w:val="32"/>
        </w:rPr>
        <w:t>养</w:t>
      </w:r>
      <w:r>
        <w:rPr>
          <w:rFonts w:ascii="Times New Roman" w:hAnsi="Times New Roman" w:eastAsia="仿宋_GB2312" w:cs="仿宋_GB2312"/>
          <w:b w:val="0"/>
          <w:i w:val="0"/>
          <w:color w:val="auto"/>
          <w:sz w:val="32"/>
          <w:szCs w:val="32"/>
        </w:rPr>
        <w:t>记录。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第二十七条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食品生产企业必须具备持续保证产品质量安全的环境条件和相应的卫生要求：</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生产车间进口处更衣、洗手、消毒等设施配备齐全，保持完好，使用正常。更衣室应保证工作服与个人服装及其他物品分开放置；进入清洁作业区的人员应当穿戴该区域专用工作服，工作服应在款式、颜色上与其他区域明显区分，并分区存放；</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生产车间内应有防尘、防蝇、防鼠、防虫等设施；</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生产车间顶棚、墙壁表面应平整光滑，不易脱落，易于清洁，防止污垢积存、虫害和霉菌孳生，地面有适当的措施防止积水；</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生产车间各项设施应保持清洁，出现问题及时维修或更新。生产、包装、贮存等设备及工器具、生产用管道、裸露食品接触表面等应定期清洁消毒，并填写记录；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val="0"/>
          <w:i w:val="0"/>
          <w:color w:val="auto"/>
          <w:sz w:val="32"/>
          <w:szCs w:val="32"/>
        </w:rPr>
      </w:pPr>
      <w:r>
        <w:rPr>
          <w:rFonts w:hint="eastAsia" w:cs="仿宋_GB2312"/>
          <w:b w:val="0"/>
          <w:i w:val="0"/>
          <w:color w:val="auto"/>
          <w:sz w:val="32"/>
          <w:szCs w:val="32"/>
          <w:lang w:eastAsia="zh-CN"/>
        </w:rPr>
        <w:t>（五）</w:t>
      </w:r>
      <w:r>
        <w:rPr>
          <w:rFonts w:ascii="Times New Roman" w:hAnsi="Times New Roman" w:eastAsia="仿宋_GB2312" w:cs="仿宋_GB2312"/>
          <w:b w:val="0"/>
          <w:i w:val="0"/>
          <w:color w:val="auto"/>
          <w:sz w:val="32"/>
          <w:szCs w:val="32"/>
        </w:rPr>
        <w:t>企业应根据产品实际情况和生产工序，合理划分清洁作业区、准清洁作业区和一般作业区；不同清洁程度作业区应分别设置工器具清洁消毒区域。</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第二十八条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食品生产企业应加强食品生产过程管理，并做好记录：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根据产品工艺特点，按照执行标准规定及食品质量安全要求，确定生产关键质量控制点，制定工艺作业指导书，并实施控制要求；</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每批产品均应有批生产记录，并可追溯与生产质量有关的情况；</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根据需要制定并实施半成品检验控制要求，经检验不合格的半成品不得转入下道工序；</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食品生产过程中有不符合控制要求的，应立即查明原因并采取整改措施；</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（五）</w:t>
      </w:r>
      <w:r>
        <w:rPr>
          <w:rFonts w:ascii="Times New Roman" w:hAnsi="Times New Roman" w:eastAsia="仿宋_GB2312" w:cs="仿宋_GB2312"/>
          <w:b w:val="0"/>
          <w:i w:val="0"/>
          <w:color w:val="auto"/>
          <w:sz w:val="32"/>
          <w:szCs w:val="32"/>
        </w:rPr>
        <w:t>生产过程中发生化学污染或物理污染时，操作人员应立即停止生产，报告相关负责人，隔离不合格品或可疑产品，按照企业管理程序进行处置；</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（六）</w:t>
      </w:r>
      <w:r>
        <w:rPr>
          <w:rFonts w:ascii="Times New Roman" w:hAnsi="Times New Roman" w:eastAsia="仿宋_GB2312" w:cs="仿宋_GB2312"/>
          <w:b w:val="0"/>
          <w:i w:val="0"/>
          <w:color w:val="auto"/>
          <w:sz w:val="32"/>
          <w:szCs w:val="32"/>
        </w:rPr>
        <w:t>生产过程中产生的不合格品、废弃物，应使用加盖的并有明确标识的专用容器分别收集盛装，及时进行无害化处理并记录。</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b w:val="0"/>
          <w:i w:val="0"/>
          <w:color w:val="auto"/>
          <w:sz w:val="32"/>
          <w:szCs w:val="32"/>
        </w:rPr>
      </w:pPr>
      <w:r>
        <w:rPr>
          <w:rFonts w:hint="eastAsia" w:ascii="仿宋_GB2312" w:hAnsi="仿宋_GB2312" w:eastAsia="仿宋_GB2312" w:cs="仿宋_GB2312"/>
          <w:b w:val="0"/>
          <w:i w:val="0"/>
          <w:color w:val="auto"/>
          <w:sz w:val="32"/>
          <w:szCs w:val="32"/>
        </w:rPr>
        <w:t>生产相关记录保存期限不得少于2年。</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cs="仿宋_GB2312"/>
          <w:b w:val="0"/>
          <w:bCs/>
          <w:i w:val="0"/>
          <w:color w:val="auto"/>
          <w:sz w:val="32"/>
          <w:szCs w:val="32"/>
          <w:lang w:eastAsia="zh-CN"/>
        </w:rPr>
      </w:pPr>
      <w:r>
        <w:rPr>
          <w:rFonts w:hint="eastAsia" w:ascii="黑体" w:hAnsi="黑体" w:eastAsia="黑体" w:cs="黑体"/>
          <w:b w:val="0"/>
          <w:bCs/>
          <w:i w:val="0"/>
          <w:color w:val="auto"/>
          <w:sz w:val="32"/>
          <w:szCs w:val="32"/>
          <w:lang w:eastAsia="zh-CN"/>
        </w:rPr>
        <w:t>第二十九</w:t>
      </w:r>
      <w:r>
        <w:rPr>
          <w:rFonts w:hint="eastAsia" w:ascii="黑体" w:hAnsi="黑体" w:eastAsia="黑体" w:cs="黑体"/>
          <w:b w:val="0"/>
          <w:bCs/>
          <w:i w:val="0"/>
          <w:color w:val="auto"/>
          <w:sz w:val="32"/>
          <w:szCs w:val="32"/>
          <w:lang w:val="en-US" w:eastAsia="zh-CN"/>
        </w:rPr>
        <w:t>条</w:t>
      </w:r>
      <w:r>
        <w:rPr>
          <w:rFonts w:hint="eastAsia" w:cs="仿宋_GB2312"/>
          <w:b w:val="0"/>
          <w:bCs/>
          <w:i w:val="0"/>
          <w:color w:val="auto"/>
          <w:sz w:val="32"/>
          <w:szCs w:val="32"/>
          <w:lang w:val="en-US" w:eastAsia="zh-CN"/>
        </w:rPr>
        <w:t xml:space="preserve">  </w:t>
      </w:r>
      <w:r>
        <w:rPr>
          <w:rFonts w:hint="eastAsia" w:cs="仿宋_GB2312"/>
          <w:b w:val="0"/>
          <w:bCs/>
          <w:i w:val="0"/>
          <w:color w:val="auto"/>
          <w:sz w:val="32"/>
          <w:szCs w:val="32"/>
          <w:lang w:eastAsia="zh-CN"/>
        </w:rPr>
        <w:t>生产过程中应当妥善贮存和使用含致敏物质的原料、半成品和成品，避免不含致敏物质的产品与含致敏物质的产品，以及含不同致敏物质的产品共线生产，难以避免时应采取清洁措施。</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i w:val="0"/>
          <w:color w:val="auto"/>
          <w:sz w:val="32"/>
          <w:szCs w:val="32"/>
        </w:rPr>
      </w:pPr>
      <w:r>
        <w:rPr>
          <w:rFonts w:hint="eastAsia" w:ascii="黑体" w:hAnsi="黑体" w:eastAsia="黑体" w:cs="黑体"/>
          <w:b w:val="0"/>
          <w:bCs/>
          <w:i w:val="0"/>
          <w:color w:val="auto"/>
          <w:sz w:val="32"/>
          <w:szCs w:val="32"/>
          <w:lang w:eastAsia="zh-CN"/>
        </w:rPr>
        <w:t>第</w:t>
      </w:r>
      <w:r>
        <w:rPr>
          <w:rFonts w:hint="eastAsia" w:ascii="黑体" w:hAnsi="黑体" w:eastAsia="黑体" w:cs="黑体"/>
          <w:b w:val="0"/>
          <w:bCs/>
          <w:i w:val="0"/>
          <w:color w:val="auto"/>
          <w:sz w:val="32"/>
          <w:szCs w:val="32"/>
          <w:lang w:val="en-US" w:eastAsia="zh-CN"/>
        </w:rPr>
        <w:t>三十</w:t>
      </w:r>
      <w:r>
        <w:rPr>
          <w:rFonts w:hint="eastAsia" w:ascii="黑体" w:hAnsi="黑体" w:eastAsia="黑体" w:cs="黑体"/>
          <w:b w:val="0"/>
          <w:bCs/>
          <w:i w:val="0"/>
          <w:color w:val="auto"/>
          <w:sz w:val="32"/>
          <w:szCs w:val="32"/>
          <w:lang w:eastAsia="zh-CN"/>
        </w:rPr>
        <w:t>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食品生产企业应当建立废弃物管理制度，对生产过程中产生的废弃油脂、落地料、不合格品、废弃包装材料等废弃物进行分类收集、存放和处置。</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废弃物应使用设计合理、防止渗漏、易于清洁的专用设施和容器存放，必要时使用密闭设施和容器。车间内存放废弃物的设施和容器应标识清晰，并分类存放。</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废弃物应定期清除，易腐败的废弃物应尽快清除。</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废弃油脂等废弃物的处置应当交由具备相应资质的单位进行，并保存相关处置记录。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w:t>
      </w:r>
      <w:r>
        <w:rPr>
          <w:rFonts w:hint="eastAsia" w:ascii="黑体" w:hAnsi="黑体" w:eastAsia="黑体" w:cs="黑体"/>
          <w:b w:val="0"/>
          <w:bCs/>
          <w:i w:val="0"/>
          <w:color w:val="auto"/>
          <w:sz w:val="32"/>
          <w:szCs w:val="32"/>
          <w:lang w:val="en-US" w:eastAsia="zh-CN"/>
        </w:rPr>
        <w:t>一</w:t>
      </w:r>
      <w:r>
        <w:rPr>
          <w:rFonts w:hint="eastAsia" w:ascii="黑体" w:hAnsi="黑体" w:eastAsia="黑体" w:cs="黑体"/>
          <w:b w:val="0"/>
          <w:bCs/>
          <w:i w:val="0"/>
          <w:color w:val="auto"/>
          <w:sz w:val="32"/>
          <w:szCs w:val="32"/>
          <w:lang w:eastAsia="zh-CN"/>
        </w:rPr>
        <w:t>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配备食品安全管理人员，并应掌握与其岗位相适应的食品安全法律、法规、标准和专业知识，具备食品安全管理能力。食品生产企业应加强对其培训和考核，经考核具备食品安全管理能力的，方可上岗。市场监督管理部门应当对食品生产企业食品安全管理人员随机进行监督抽查考核并公布考核情况。</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i w:val="0"/>
          <w:color w:val="auto"/>
          <w:sz w:val="32"/>
          <w:szCs w:val="32"/>
        </w:rPr>
      </w:pPr>
      <w:r>
        <w:rPr>
          <w:rFonts w:ascii="Times New Roman" w:hAnsi="Times New Roman" w:eastAsia="仿宋_GB2312" w:cs="仿宋_GB2312"/>
          <w:b w:val="0"/>
          <w:i w:val="0"/>
          <w:color w:val="auto"/>
          <w:sz w:val="32"/>
          <w:szCs w:val="32"/>
        </w:rPr>
        <w:t>食品安全管理人员职责：</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负责供货商遴选的管理；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负责进货查验和出厂检验的管理，并对记录的真实性负责；</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组织开展企业食品安全自查，并对自查报告的真实性负责；</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督促落实食品生产过程控制；</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（五）</w:t>
      </w:r>
      <w:r>
        <w:rPr>
          <w:rFonts w:ascii="Times New Roman" w:hAnsi="Times New Roman" w:eastAsia="仿宋_GB2312" w:cs="仿宋_GB2312"/>
          <w:b w:val="0"/>
          <w:i w:val="0"/>
          <w:color w:val="auto"/>
          <w:sz w:val="32"/>
          <w:szCs w:val="32"/>
        </w:rPr>
        <w:t>组织实施食品召回；</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（六）</w:t>
      </w:r>
      <w:r>
        <w:rPr>
          <w:rFonts w:ascii="Times New Roman" w:hAnsi="Times New Roman" w:eastAsia="仿宋_GB2312" w:cs="仿宋_GB2312"/>
          <w:b w:val="0"/>
          <w:i w:val="0"/>
          <w:color w:val="auto"/>
          <w:sz w:val="32"/>
          <w:szCs w:val="32"/>
        </w:rPr>
        <w:t>履行食品安全事故报告义务；</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（七）</w:t>
      </w:r>
      <w:r>
        <w:rPr>
          <w:rFonts w:ascii="Times New Roman" w:hAnsi="Times New Roman" w:eastAsia="仿宋_GB2312" w:cs="仿宋_GB2312"/>
          <w:b w:val="0"/>
          <w:i w:val="0"/>
          <w:color w:val="auto"/>
          <w:sz w:val="32"/>
          <w:szCs w:val="32"/>
        </w:rPr>
        <w:t>法律、法规规定的其他义务。</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w:t>
      </w:r>
      <w:r>
        <w:rPr>
          <w:rFonts w:hint="eastAsia" w:ascii="黑体" w:hAnsi="黑体" w:eastAsia="黑体" w:cs="黑体"/>
          <w:b w:val="0"/>
          <w:bCs/>
          <w:i w:val="0"/>
          <w:color w:val="auto"/>
          <w:sz w:val="32"/>
          <w:szCs w:val="32"/>
          <w:lang w:val="en-US" w:eastAsia="zh-CN"/>
        </w:rPr>
        <w:t>二</w:t>
      </w:r>
      <w:r>
        <w:rPr>
          <w:rFonts w:hint="eastAsia" w:ascii="黑体" w:hAnsi="黑体" w:eastAsia="黑体" w:cs="黑体"/>
          <w:b w:val="0"/>
          <w:bCs/>
          <w:i w:val="0"/>
          <w:color w:val="auto"/>
          <w:sz w:val="32"/>
          <w:szCs w:val="32"/>
          <w:lang w:eastAsia="zh-CN"/>
        </w:rPr>
        <w:t>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食品生产企业应建立生产车间人员管理制度，并明确以下规定：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生产无关人员不得擅自进入生产车间；</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进入生产作业区人员，应规范穿戴与作业区域清洁等级相匹配的工作服、工作帽、工作鞋（靴），头发应全部收纳于工作帽或发网内，并按要求洗手、消毒；直接接触食品的生产人员应当佩戴口罩；</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生、熟区工作人员严禁串岗，防止交叉污染；</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生产人员应保持良好的个人卫生。</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w:t>
      </w:r>
      <w:r>
        <w:rPr>
          <w:rFonts w:hint="eastAsia" w:ascii="黑体" w:hAnsi="黑体" w:eastAsia="黑体" w:cs="黑体"/>
          <w:b w:val="0"/>
          <w:bCs/>
          <w:i w:val="0"/>
          <w:color w:val="auto"/>
          <w:sz w:val="32"/>
          <w:szCs w:val="32"/>
          <w:lang w:val="en-US" w:eastAsia="zh-CN"/>
        </w:rPr>
        <w:t>三</w:t>
      </w:r>
      <w:r>
        <w:rPr>
          <w:rFonts w:hint="eastAsia" w:ascii="黑体" w:hAnsi="黑体" w:eastAsia="黑体" w:cs="黑体"/>
          <w:b w:val="0"/>
          <w:bCs/>
          <w:i w:val="0"/>
          <w:color w:val="auto"/>
          <w:sz w:val="32"/>
          <w:szCs w:val="32"/>
          <w:lang w:eastAsia="zh-CN"/>
        </w:rPr>
        <w:t>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食品生产企业应建立人员培训制度，制定培训计划，对员工进行岗前培训和定期培训。培训内容应包括食品安全法律、法规、规章、标准、企业管理制度和其他食品安全知识，并做好记录，建立员工培训档案。</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w:t>
      </w:r>
      <w:r>
        <w:rPr>
          <w:rFonts w:hint="eastAsia" w:ascii="黑体" w:hAnsi="黑体" w:eastAsia="黑体" w:cs="黑体"/>
          <w:b w:val="0"/>
          <w:bCs/>
          <w:i w:val="0"/>
          <w:color w:val="auto"/>
          <w:sz w:val="32"/>
          <w:szCs w:val="32"/>
          <w:lang w:val="en-US" w:eastAsia="zh-CN"/>
        </w:rPr>
        <w:t>四</w:t>
      </w:r>
      <w:r>
        <w:rPr>
          <w:rFonts w:hint="eastAsia" w:ascii="黑体" w:hAnsi="黑体" w:eastAsia="黑体" w:cs="黑体"/>
          <w:b w:val="0"/>
          <w:bCs/>
          <w:i w:val="0"/>
          <w:color w:val="auto"/>
          <w:sz w:val="32"/>
          <w:szCs w:val="32"/>
          <w:lang w:eastAsia="zh-CN"/>
        </w:rPr>
        <w:t>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责令停产的食品生产企业，经责令其停产的市场监督管理部门检查通过后，方可恢复生产；自行停产半年以上的食品生产企业，应到所在地的县</w:t>
      </w:r>
      <w:r>
        <w:rPr>
          <w:rFonts w:hint="eastAsia" w:cs="仿宋_GB2312"/>
          <w:b w:val="0"/>
          <w:i w:val="0"/>
          <w:color w:val="auto"/>
          <w:sz w:val="32"/>
          <w:szCs w:val="32"/>
          <w:lang w:eastAsia="zh-CN"/>
        </w:rPr>
        <w:t>级</w:t>
      </w:r>
      <w:r>
        <w:rPr>
          <w:rFonts w:ascii="Times New Roman" w:hAnsi="Times New Roman" w:eastAsia="仿宋_GB2312" w:cs="仿宋_GB2312"/>
          <w:b w:val="0"/>
          <w:i w:val="0"/>
          <w:color w:val="auto"/>
          <w:sz w:val="32"/>
          <w:szCs w:val="32"/>
        </w:rPr>
        <w:t>市场监督管理部门报告，需经属地监管部门开展一次监督检查，符合生产条件且产品经第三方检验机构检验合格后方可生产。</w:t>
      </w:r>
    </w:p>
    <w:p>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Chars="0"/>
        <w:jc w:val="center"/>
        <w:textAlignment w:val="auto"/>
        <w:rPr>
          <w:rFonts w:hint="eastAsia" w:ascii="楷体_GB2312" w:hAnsi="楷体_GB2312" w:eastAsia="楷体_GB2312" w:cs="楷体_GB2312"/>
          <w:sz w:val="32"/>
          <w:szCs w:val="32"/>
          <w:u w:val="none"/>
          <w:lang w:eastAsia="zh-CN"/>
        </w:rPr>
      </w:pPr>
    </w:p>
    <w:p>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Chars="0"/>
        <w:jc w:val="center"/>
        <w:textAlignment w:val="auto"/>
        <w:rPr>
          <w:rFonts w:hint="eastAsia" w:ascii="楷体_GB2312" w:hAnsi="楷体_GB2312" w:eastAsia="楷体_GB2312" w:cs="楷体_GB2312"/>
          <w:b w:val="0"/>
          <w:sz w:val="32"/>
          <w:szCs w:val="32"/>
          <w:u w:val="none"/>
        </w:rPr>
      </w:pPr>
      <w:r>
        <w:rPr>
          <w:rFonts w:hint="eastAsia" w:ascii="楷体_GB2312" w:hAnsi="楷体_GB2312" w:eastAsia="楷体_GB2312" w:cs="楷体_GB2312"/>
          <w:sz w:val="32"/>
          <w:szCs w:val="32"/>
          <w:u w:val="none"/>
          <w:lang w:eastAsia="zh-CN"/>
        </w:rPr>
        <w:t>第五</w:t>
      </w:r>
      <w:r>
        <w:rPr>
          <w:rFonts w:hint="eastAsia" w:ascii="楷体_GB2312" w:hAnsi="楷体_GB2312" w:eastAsia="楷体_GB2312" w:cs="楷体_GB2312"/>
          <w:sz w:val="32"/>
          <w:szCs w:val="32"/>
          <w:u w:val="none"/>
          <w:lang w:val="en-US" w:eastAsia="zh-CN"/>
        </w:rPr>
        <w:t>节</w:t>
      </w:r>
      <w:r>
        <w:rPr>
          <w:rFonts w:hint="eastAsia" w:ascii="楷体_GB2312" w:hAnsi="楷体_GB2312" w:eastAsia="楷体_GB2312" w:cs="楷体_GB2312"/>
          <w:bCs/>
          <w:spacing w:val="-6"/>
          <w:kern w:val="44"/>
          <w:sz w:val="32"/>
          <w:szCs w:val="32"/>
          <w:u w:val="none"/>
          <w:lang w:eastAsia="zh-CN" w:bidi="ar-SA"/>
        </w:rPr>
        <w:t xml:space="preserve"> </w:t>
      </w:r>
      <w:r>
        <w:rPr>
          <w:rFonts w:hint="eastAsia" w:ascii="楷体_GB2312" w:hAnsi="楷体_GB2312" w:eastAsia="楷体_GB2312" w:cs="楷体_GB2312"/>
          <w:sz w:val="32"/>
          <w:szCs w:val="32"/>
          <w:u w:val="none"/>
        </w:rPr>
        <w:t>网络食品生产经营管理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第三十五条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通过网络销售食品的生产企业，应当按照产品标签规定的贮存条件运输配送；对有温度、湿度等特殊要求的产品应当采取相应措施，保证贮存、运输、配送过程符合食品安全要求。</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center"/>
        <w:textAlignment w:val="auto"/>
        <w:rPr>
          <w:rFonts w:hint="eastAsia" w:ascii="方正小标宋简体" w:hAnsi="方正小标宋简体" w:eastAsia="方正小标宋简体" w:cs="方正小标宋简体"/>
          <w:b w:val="0"/>
          <w:bCs/>
          <w:i w:val="0"/>
          <w:iCs w:val="0"/>
          <w:caps w:val="0"/>
          <w:color w:val="auto"/>
          <w:spacing w:val="0"/>
          <w:sz w:val="32"/>
          <w:szCs w:val="32"/>
          <w:shd w:val="clear" w:fill="FFFFFF"/>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r>
        <w:rPr>
          <w:rFonts w:hint="eastAsia" w:ascii="黑体" w:hAnsi="黑体" w:eastAsia="黑体" w:cs="黑体"/>
          <w:b w:val="0"/>
          <w:bCs/>
          <w:i w:val="0"/>
          <w:iCs w:val="0"/>
          <w:caps w:val="0"/>
          <w:color w:val="auto"/>
          <w:spacing w:val="0"/>
          <w:sz w:val="32"/>
          <w:szCs w:val="32"/>
          <w:shd w:val="clear" w:fill="FFFFFF"/>
        </w:rPr>
        <w:t>第三章 仓储运输管理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第三十六条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食品生产企业应当建立库房管理制度，并做到以下规定：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原料库、成品库应保持整洁，地面平滑无裂缝，并有防潮、防火、防鼠、防虫及防尘等设施，保持通风、干燥；</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原料、半成品、成品应专库（区）存放，不得混放；含转基因或过敏源原料应规范标示；易窜味、易吸潮或易出油的，应分库或密封保存；</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原料、半成品、成品仓库内不得存放灭鼠剂、杀虫剂、洗涤剂、消毒剂、化学试剂、润滑油等化学品及易燃易爆物品；</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原料、半成品、成品等物料应分批、分区、分库存放，标</w:t>
      </w:r>
      <w:r>
        <w:rPr>
          <w:rFonts w:ascii="Times New Roman" w:hAnsi="Times New Roman" w:eastAsia="仿宋_GB2312" w:cs="仿宋_GB2312"/>
          <w:b w:val="0"/>
          <w:i w:val="0"/>
          <w:color w:val="auto"/>
          <w:spacing w:val="0"/>
          <w:sz w:val="32"/>
          <w:szCs w:val="32"/>
        </w:rPr>
        <w:t>识清楚，与地面、墙面、屋顶保持一定间距，且留有必要</w:t>
      </w:r>
      <w:r>
        <w:rPr>
          <w:rFonts w:ascii="Times New Roman" w:hAnsi="Times New Roman" w:eastAsia="仿宋_GB2312" w:cs="仿宋_GB2312"/>
          <w:b w:val="0"/>
          <w:i w:val="0"/>
          <w:color w:val="auto"/>
          <w:spacing w:val="-6"/>
          <w:sz w:val="32"/>
          <w:szCs w:val="32"/>
        </w:rPr>
        <w:t>的</w:t>
      </w:r>
      <w:r>
        <w:rPr>
          <w:rFonts w:ascii="Times New Roman" w:hAnsi="Times New Roman" w:eastAsia="仿宋_GB2312" w:cs="仿宋_GB2312"/>
          <w:b w:val="0"/>
          <w:i w:val="0"/>
          <w:color w:val="auto"/>
          <w:sz w:val="32"/>
          <w:szCs w:val="32"/>
        </w:rPr>
        <w:t>通道；</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（五）</w:t>
      </w:r>
      <w:r>
        <w:rPr>
          <w:rFonts w:ascii="Times New Roman" w:hAnsi="Times New Roman" w:eastAsia="仿宋_GB2312" w:cs="仿宋_GB2312"/>
          <w:b w:val="0"/>
          <w:i w:val="0"/>
          <w:color w:val="auto"/>
          <w:sz w:val="32"/>
          <w:szCs w:val="32"/>
        </w:rPr>
        <w:t>库房温度、湿度应符合物料存放要求，对温、湿度有特别要求的原料及成品仓库，应配备温、湿度控制设备；</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（六）</w:t>
      </w:r>
      <w:r>
        <w:rPr>
          <w:rFonts w:ascii="Times New Roman" w:hAnsi="Times New Roman" w:eastAsia="仿宋_GB2312" w:cs="仿宋_GB2312"/>
          <w:b w:val="0"/>
          <w:i w:val="0"/>
          <w:color w:val="auto"/>
          <w:sz w:val="32"/>
          <w:szCs w:val="32"/>
        </w:rPr>
        <w:t>对库存原料应定期检查，防止过期、变质或污染。对过期、变质及受污染的原料，应及时处置并做好记录。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第三十七条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食品生产企业应当建立出入库管理制度，并做到以下规定：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原料需经查验入库，并记录；</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原料应在规定区域堆放，货位卡信息应清晰、准确；</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原料应按先进先出的原则领用，必要时应根据不同食品原料的特性确定出货顺序；</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（四）</w:t>
      </w:r>
      <w:r>
        <w:rPr>
          <w:rFonts w:ascii="Times New Roman" w:hAnsi="Times New Roman" w:eastAsia="仿宋_GB2312" w:cs="仿宋_GB2312"/>
          <w:b w:val="0"/>
          <w:i w:val="0"/>
          <w:color w:val="auto"/>
          <w:sz w:val="32"/>
          <w:szCs w:val="32"/>
        </w:rPr>
        <w:t>每批出库的同种物料，应尽可能为同一批次，并能清楚体现品名、批次等信息；</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（五）</w:t>
      </w:r>
      <w:r>
        <w:rPr>
          <w:rFonts w:ascii="Times New Roman" w:hAnsi="Times New Roman" w:eastAsia="仿宋_GB2312" w:cs="仿宋_GB2312"/>
          <w:b w:val="0"/>
          <w:i w:val="0"/>
          <w:color w:val="auto"/>
          <w:sz w:val="32"/>
          <w:szCs w:val="32"/>
        </w:rPr>
        <w:t>成品应按食品名称、规格、生产批次分别堆放，标识清楚，防止包装损坏或不同批次的产品混放。</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i w:val="0"/>
          <w:color w:val="auto"/>
          <w:sz w:val="32"/>
          <w:szCs w:val="32"/>
        </w:rPr>
      </w:pPr>
      <w:r>
        <w:rPr>
          <w:rFonts w:hint="eastAsia" w:ascii="黑体" w:hAnsi="黑体" w:eastAsia="黑体" w:cs="黑体"/>
          <w:b w:val="0"/>
          <w:bCs/>
          <w:i w:val="0"/>
          <w:color w:val="auto"/>
          <w:sz w:val="32"/>
          <w:szCs w:val="32"/>
          <w:lang w:eastAsia="zh-CN"/>
        </w:rPr>
        <w:t>第三十八条</w:t>
      </w:r>
      <w:r>
        <w:rPr>
          <w:rFonts w:hint="eastAsia" w:cs="仿宋_GB2312"/>
          <w:b/>
          <w:i w:val="0"/>
          <w:color w:val="auto"/>
          <w:sz w:val="32"/>
          <w:szCs w:val="32"/>
          <w:lang w:eastAsia="zh-CN"/>
        </w:rPr>
        <w:t>　</w:t>
      </w:r>
      <w:r>
        <w:rPr>
          <w:rFonts w:ascii="Times New Roman" w:hAnsi="Times New Roman" w:eastAsia="仿宋_GB2312" w:cs="仿宋_GB2312"/>
          <w:b w:val="0"/>
          <w:i w:val="0"/>
          <w:color w:val="auto"/>
          <w:sz w:val="32"/>
          <w:szCs w:val="32"/>
        </w:rPr>
        <w:t>食品生产企业应当建立相应的食品运输安全管理制度，并遵守以下规定：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（一）</w:t>
      </w:r>
      <w:r>
        <w:rPr>
          <w:rFonts w:ascii="Times New Roman" w:hAnsi="Times New Roman" w:eastAsia="仿宋_GB2312" w:cs="仿宋_GB2312"/>
          <w:b w:val="0"/>
          <w:i w:val="0"/>
          <w:color w:val="auto"/>
          <w:sz w:val="32"/>
          <w:szCs w:val="32"/>
        </w:rPr>
        <w:t>运输、装卸食品和食品添加剂的包装、容器、工具及设备安全、无害，保持清洁；</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（二）</w:t>
      </w:r>
      <w:r>
        <w:rPr>
          <w:rFonts w:ascii="Times New Roman" w:hAnsi="Times New Roman" w:eastAsia="仿宋_GB2312" w:cs="仿宋_GB2312"/>
          <w:b w:val="0"/>
          <w:i w:val="0"/>
          <w:color w:val="auto"/>
          <w:sz w:val="32"/>
          <w:szCs w:val="32"/>
        </w:rPr>
        <w:t>有温度要求的，在运输中应当符合保证食品安全所需的温度要求；</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i w:val="0"/>
          <w:color w:val="auto"/>
          <w:sz w:val="32"/>
          <w:szCs w:val="32"/>
        </w:rPr>
      </w:pPr>
      <w:r>
        <w:rPr>
          <w:rFonts w:hint="eastAsia" w:cs="仿宋_GB2312"/>
          <w:b w:val="0"/>
          <w:i w:val="0"/>
          <w:color w:val="auto"/>
          <w:sz w:val="32"/>
          <w:szCs w:val="32"/>
          <w:lang w:eastAsia="zh-CN"/>
        </w:rPr>
        <w:t>（三）</w:t>
      </w:r>
      <w:r>
        <w:rPr>
          <w:rFonts w:ascii="Times New Roman" w:hAnsi="Times New Roman" w:eastAsia="仿宋_GB2312" w:cs="仿宋_GB2312"/>
          <w:b w:val="0"/>
          <w:i w:val="0"/>
          <w:color w:val="auto"/>
          <w:sz w:val="32"/>
          <w:szCs w:val="32"/>
        </w:rPr>
        <w:t>不得将食品、食品添加剂和食品包装材料与有毒、有害物品一同运输。</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方正小标宋简体" w:hAnsi="方正小标宋简体" w:eastAsia="方正小标宋简体" w:cs="方正小标宋简体"/>
          <w:b w:val="0"/>
          <w:bCs/>
          <w:i w:val="0"/>
          <w:iCs w:val="0"/>
          <w:caps w:val="0"/>
          <w:color w:val="auto"/>
          <w:spacing w:val="0"/>
          <w:sz w:val="32"/>
          <w:szCs w:val="32"/>
          <w:shd w:val="clear" w:fill="FFFFFF"/>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r>
        <w:rPr>
          <w:rFonts w:hint="eastAsia" w:ascii="黑体" w:hAnsi="黑体" w:eastAsia="黑体" w:cs="黑体"/>
          <w:b w:val="0"/>
          <w:bCs/>
          <w:i w:val="0"/>
          <w:iCs w:val="0"/>
          <w:caps w:val="0"/>
          <w:color w:val="auto"/>
          <w:spacing w:val="0"/>
          <w:sz w:val="32"/>
          <w:szCs w:val="32"/>
          <w:shd w:val="clear" w:fill="FFFFFF"/>
        </w:rPr>
        <w:t>第四章 食品质量安全检验</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第三十九条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食品生产企业应当建立食品出厂检验制度，按照食品安全标准对所生产的食品进行检验，检验合格后方可出厂或销售。未经检验或者检验不合格的，不得出厂销售。</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（一）</w:t>
      </w:r>
      <w:r>
        <w:rPr>
          <w:rFonts w:ascii="Times New Roman" w:hAnsi="Times New Roman" w:eastAsia="仿宋_GB2312" w:cs="仿宋_GB2312"/>
          <w:b w:val="0"/>
          <w:color w:val="auto"/>
          <w:sz w:val="32"/>
          <w:szCs w:val="32"/>
        </w:rPr>
        <w:t>出厂检验项目应符合产品执行标准及食品生产许可证审查细则的要求；</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lang w:eastAsia="zh-CN"/>
        </w:rPr>
        <w:t>（二）</w:t>
      </w:r>
      <w:r>
        <w:rPr>
          <w:rFonts w:hint="eastAsia" w:ascii="仿宋_GB2312" w:hAnsi="仿宋_GB2312" w:eastAsia="仿宋_GB2312" w:cs="仿宋_GB2312"/>
          <w:b w:val="0"/>
          <w:color w:val="auto"/>
          <w:sz w:val="32"/>
          <w:szCs w:val="32"/>
        </w:rPr>
        <w:t>产品抽样检验应按有关标准的规定执行，确保样品具有代表性。每批抽检的产品，应保存出厂检验留存样品，留样保存期限不得少于产品的保质期；保质期超过2年的，留样保存期限不得少于2年。同时做好留样记录，留样储存环境的温度、湿度等应满足有关要求；</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（三）</w:t>
      </w:r>
      <w:r>
        <w:rPr>
          <w:rFonts w:ascii="Times New Roman" w:hAnsi="Times New Roman" w:eastAsia="仿宋_GB2312" w:cs="仿宋_GB2312"/>
          <w:b w:val="0"/>
          <w:color w:val="auto"/>
          <w:sz w:val="32"/>
          <w:szCs w:val="32"/>
        </w:rPr>
        <w:t>食品生产企业可以自行对所生产的食品进行检验，也可以委托有资质的检验机构进行检验（有特殊要求的除外）。</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食品生产企业实施自行出厂检验的，应做到以下规定：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color w:val="auto"/>
          <w:sz w:val="32"/>
          <w:szCs w:val="32"/>
        </w:rPr>
      </w:pPr>
      <w:r>
        <w:rPr>
          <w:rFonts w:hint="eastAsia" w:cs="仿宋_GB2312"/>
          <w:b w:val="0"/>
          <w:color w:val="auto"/>
          <w:sz w:val="32"/>
          <w:szCs w:val="32"/>
          <w:lang w:eastAsia="zh-CN"/>
        </w:rPr>
        <w:t>（一）</w:t>
      </w:r>
      <w:r>
        <w:rPr>
          <w:rFonts w:ascii="Times New Roman" w:hAnsi="Times New Roman" w:eastAsia="仿宋_GB2312" w:cs="仿宋_GB2312"/>
          <w:b w:val="0"/>
          <w:color w:val="auto"/>
          <w:sz w:val="32"/>
          <w:szCs w:val="32"/>
        </w:rPr>
        <w:t>应设立与生产能力和产品检验相适应的实验室；</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color w:val="auto"/>
          <w:sz w:val="32"/>
          <w:szCs w:val="32"/>
        </w:rPr>
      </w:pPr>
      <w:r>
        <w:rPr>
          <w:rFonts w:hint="eastAsia" w:cs="仿宋_GB2312"/>
          <w:b w:val="0"/>
          <w:color w:val="auto"/>
          <w:sz w:val="32"/>
          <w:szCs w:val="32"/>
          <w:lang w:eastAsia="zh-CN"/>
        </w:rPr>
        <w:t>（二）</w:t>
      </w:r>
      <w:r>
        <w:rPr>
          <w:rFonts w:ascii="Times New Roman" w:hAnsi="Times New Roman" w:eastAsia="仿宋_GB2312" w:cs="仿宋_GB2312"/>
          <w:b w:val="0"/>
          <w:color w:val="auto"/>
          <w:sz w:val="32"/>
          <w:szCs w:val="32"/>
        </w:rPr>
        <w:t>应配备经专业培训、考核合格的检验人员。检验人员应熟悉产品标准、检验规程，能独立履行职责，不得出具虚假的检验报告，并对出具的检验报告负责；</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val="0"/>
          <w:color w:val="auto"/>
          <w:sz w:val="32"/>
          <w:szCs w:val="32"/>
        </w:rPr>
      </w:pPr>
      <w:r>
        <w:rPr>
          <w:rFonts w:hint="eastAsia" w:cs="仿宋_GB2312"/>
          <w:b w:val="0"/>
          <w:color w:val="auto"/>
          <w:sz w:val="32"/>
          <w:szCs w:val="32"/>
          <w:lang w:eastAsia="zh-CN"/>
        </w:rPr>
        <w:t>（三）</w:t>
      </w:r>
      <w:r>
        <w:rPr>
          <w:rFonts w:ascii="Times New Roman" w:hAnsi="Times New Roman" w:eastAsia="仿宋_GB2312" w:cs="仿宋_GB2312"/>
          <w:b w:val="0"/>
          <w:color w:val="auto"/>
          <w:sz w:val="32"/>
          <w:szCs w:val="32"/>
        </w:rPr>
        <w:t>应具备出厂检验所需的仪器、设备及试剂。仪器、设备应满足检测精度要求，按周期检定或校准，并进行必要的维护保养，确保处于良好状态；应建立仪器、设备使用台帐；试剂的存放及使用应符合产品标签及实验要求；易制毒化学品的使用应符合《易制毒化学品管理条例》的规定；危险化学品的使用应符合《危险化学品安全管理条例》的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val="0"/>
          <w:color w:val="auto"/>
          <w:sz w:val="32"/>
          <w:szCs w:val="32"/>
        </w:rPr>
      </w:pPr>
      <w:r>
        <w:rPr>
          <w:rFonts w:hint="eastAsia" w:cs="仿宋_GB2312"/>
          <w:b w:val="0"/>
          <w:color w:val="auto"/>
          <w:sz w:val="32"/>
          <w:szCs w:val="32"/>
          <w:lang w:eastAsia="zh-CN"/>
        </w:rPr>
        <w:t>（四）</w:t>
      </w:r>
      <w:r>
        <w:rPr>
          <w:rFonts w:ascii="Times New Roman" w:hAnsi="Times New Roman" w:eastAsia="仿宋_GB2312" w:cs="仿宋_GB2312"/>
          <w:b w:val="0"/>
          <w:color w:val="auto"/>
          <w:sz w:val="32"/>
          <w:szCs w:val="32"/>
        </w:rPr>
        <w:t>检验人员应认真填写检验记录、检验报告，并签字，不得伪造、篡改检验记录和检验报告。检验报告内容包括产品名称、规格、批次（生产日期）、检验依据、检验项目、检验结果等信息；</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lang w:eastAsia="zh-CN"/>
        </w:rPr>
        <w:t>（五）</w:t>
      </w:r>
      <w:r>
        <w:rPr>
          <w:rFonts w:hint="eastAsia" w:ascii="仿宋_GB2312" w:hAnsi="仿宋_GB2312" w:eastAsia="仿宋_GB2312" w:cs="仿宋_GB2312"/>
          <w:b w:val="0"/>
          <w:color w:val="auto"/>
          <w:sz w:val="32"/>
          <w:szCs w:val="32"/>
        </w:rPr>
        <w:t>检验记录应及时归档管理，并妥善保存，保存期限不少于2年。</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第四十一条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食品生产企业委托检验时，应做到以下规定：</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（一）</w:t>
      </w:r>
      <w:r>
        <w:rPr>
          <w:rFonts w:ascii="Times New Roman" w:hAnsi="Times New Roman" w:eastAsia="仿宋_GB2312" w:cs="仿宋_GB2312"/>
          <w:b w:val="0"/>
          <w:color w:val="auto"/>
          <w:sz w:val="32"/>
          <w:szCs w:val="32"/>
        </w:rPr>
        <w:t>对不具备自行检验能力的项目，应委托具有法定资质的检验机构进行检验，并提供委托检验证明材料；</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（二）</w:t>
      </w:r>
      <w:r>
        <w:rPr>
          <w:rFonts w:ascii="Times New Roman" w:hAnsi="Times New Roman" w:eastAsia="仿宋_GB2312" w:cs="仿宋_GB2312"/>
          <w:b w:val="0"/>
          <w:color w:val="auto"/>
          <w:sz w:val="32"/>
          <w:szCs w:val="32"/>
        </w:rPr>
        <w:t>委托检验应明确委托期限、检验批次、项目、报告要求等；</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（三）</w:t>
      </w:r>
      <w:r>
        <w:rPr>
          <w:rFonts w:ascii="Times New Roman" w:hAnsi="Times New Roman" w:eastAsia="仿宋_GB2312" w:cs="仿宋_GB2312"/>
          <w:b w:val="0"/>
          <w:color w:val="auto"/>
          <w:sz w:val="32"/>
          <w:szCs w:val="32"/>
        </w:rPr>
        <w:t>应记录并妥善保存每批次委托检验的信息。</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第四十二条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食品生产企业应当建立食品出厂检验记录制度，查验出厂食品的检验合格证明和安全状况，按照法律、法规、规章和食品安全国家标准相关要求记录，并保存相关凭证。</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食品生产企业应对经检验判定为不合格的产品及时隔离，做好标识，报企业负责人批准，经再次评定确认后，按相关制度进行合理化处理。评定及处置结果应有书面记录，并由相关人员签字确认。</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r>
        <w:rPr>
          <w:rFonts w:hint="eastAsia" w:ascii="黑体" w:hAnsi="黑体" w:eastAsia="黑体" w:cs="黑体"/>
          <w:b w:val="0"/>
          <w:bCs/>
          <w:i w:val="0"/>
          <w:iCs w:val="0"/>
          <w:caps w:val="0"/>
          <w:color w:val="auto"/>
          <w:spacing w:val="0"/>
          <w:sz w:val="32"/>
          <w:szCs w:val="32"/>
          <w:shd w:val="clear" w:fill="FFFFFF"/>
        </w:rPr>
        <w:t>第五章 食品召回</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第四十四条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食品生产企业应根据国家有关规定建立食品召回制度。食品生产企业通过自检自查、公众投诉举报、经营者和监督管理部门告知等方式知悉其生产的食品属于不安全食品的，应当主动召回。</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食品生产企业应当主动召回不安全食品而没有主动召回的，县级以上市场监督管理部门可以责令其召回。</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第四十五条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食品生产企业发现其生产的食品属于不安全食品的，应当立即停止生产和销售，采取通知或者公告的方式告知相关食品生产经营者停止生产经营、消费者停止食用，并采取必要的措施防控食品安全风险。</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食品生产企业未依法停止生产不安全食品的，县级以上市场监督管理部门可以责令其停止生产不安全食品。</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第四十六条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食品生产企业在召回不安全食品时，应采取以下措施：</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（一）</w:t>
      </w:r>
      <w:r>
        <w:rPr>
          <w:rFonts w:ascii="Times New Roman" w:hAnsi="Times New Roman" w:eastAsia="仿宋_GB2312" w:cs="仿宋_GB2312"/>
          <w:b w:val="0"/>
          <w:color w:val="auto"/>
          <w:sz w:val="32"/>
          <w:szCs w:val="32"/>
        </w:rPr>
        <w:t>对确定实施召回的食品，应立即核实产品的批次、生产数量，并查明库存量、已销售数量，查清具体销售区域、经销商名单后，制定召回计划；</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（二）</w:t>
      </w:r>
      <w:r>
        <w:rPr>
          <w:rFonts w:ascii="Times New Roman" w:hAnsi="Times New Roman" w:eastAsia="仿宋_GB2312" w:cs="仿宋_GB2312"/>
          <w:b w:val="0"/>
          <w:color w:val="auto"/>
          <w:sz w:val="32"/>
          <w:szCs w:val="32"/>
        </w:rPr>
        <w:t>对确定召回的产品应立即通知所有经销商，召回尚未售出的所有不安全食品；对已售出但能查明去向的产品，应尽力召回；</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（三）</w:t>
      </w:r>
      <w:r>
        <w:rPr>
          <w:rFonts w:ascii="Times New Roman" w:hAnsi="Times New Roman" w:eastAsia="仿宋_GB2312" w:cs="仿宋_GB2312"/>
          <w:b w:val="0"/>
          <w:color w:val="auto"/>
          <w:sz w:val="32"/>
          <w:szCs w:val="32"/>
        </w:rPr>
        <w:t>根据有关法律、法规规定应予销毁的不安全食品，可在销售地或运回生产地采取无害化处理、销毁。销毁时，应提前向当地市场监督管理部门报告销毁的时间、地点，市场监督管理部门认为必要的，可以实施现场监督；</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（四）</w:t>
      </w:r>
      <w:r>
        <w:rPr>
          <w:rFonts w:ascii="Times New Roman" w:hAnsi="Times New Roman" w:eastAsia="仿宋_GB2312" w:cs="仿宋_GB2312"/>
          <w:b w:val="0"/>
          <w:color w:val="auto"/>
          <w:sz w:val="32"/>
          <w:szCs w:val="32"/>
        </w:rPr>
        <w:t>对因标签、标识或说明书不符合食品安全标准而被召回的食品，在采取补救措施且能保证食品安全的情况下，方可继续销售；销售时应当向消费者明示补救措施。</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第四十七条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食品生产企业在监管部门责令召回不安全食品的过程中，应落实报告制度，并向当地市场监督管理部门提交食品召回报告，内容包括：</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（一）</w:t>
      </w:r>
      <w:r>
        <w:rPr>
          <w:rFonts w:ascii="Times New Roman" w:hAnsi="Times New Roman" w:eastAsia="仿宋_GB2312" w:cs="仿宋_GB2312"/>
          <w:b w:val="0"/>
          <w:color w:val="auto"/>
          <w:sz w:val="32"/>
          <w:szCs w:val="32"/>
        </w:rPr>
        <w:t>召回食品的名称、规格、批次、数量及销售数量；</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（二）</w:t>
      </w:r>
      <w:r>
        <w:rPr>
          <w:rFonts w:ascii="Times New Roman" w:hAnsi="Times New Roman" w:eastAsia="仿宋_GB2312" w:cs="仿宋_GB2312"/>
          <w:b w:val="0"/>
          <w:color w:val="auto"/>
          <w:sz w:val="32"/>
          <w:szCs w:val="32"/>
        </w:rPr>
        <w:t>停止生产的情况；</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（三）</w:t>
      </w:r>
      <w:r>
        <w:rPr>
          <w:rFonts w:ascii="Times New Roman" w:hAnsi="Times New Roman" w:eastAsia="仿宋_GB2312" w:cs="仿宋_GB2312"/>
          <w:b w:val="0"/>
          <w:color w:val="auto"/>
          <w:sz w:val="32"/>
          <w:szCs w:val="32"/>
        </w:rPr>
        <w:t>通知生产经营单位的情况；</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（四）</w:t>
      </w:r>
      <w:r>
        <w:rPr>
          <w:rFonts w:ascii="Times New Roman" w:hAnsi="Times New Roman" w:eastAsia="仿宋_GB2312" w:cs="仿宋_GB2312"/>
          <w:b w:val="0"/>
          <w:color w:val="auto"/>
          <w:sz w:val="32"/>
          <w:szCs w:val="32"/>
        </w:rPr>
        <w:t>通知消费者的情况；</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（五）</w:t>
      </w:r>
      <w:r>
        <w:rPr>
          <w:rFonts w:ascii="Times New Roman" w:hAnsi="Times New Roman" w:eastAsia="仿宋_GB2312" w:cs="仿宋_GB2312"/>
          <w:b w:val="0"/>
          <w:color w:val="auto"/>
          <w:sz w:val="32"/>
          <w:szCs w:val="32"/>
        </w:rPr>
        <w:t>食品安全危害的种类、产生的原因、可能受影响的人群、严重和紧急程度；</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（六）</w:t>
      </w:r>
      <w:r>
        <w:rPr>
          <w:rFonts w:ascii="Times New Roman" w:hAnsi="Times New Roman" w:eastAsia="仿宋_GB2312" w:cs="仿宋_GB2312"/>
          <w:b w:val="0"/>
          <w:color w:val="auto"/>
          <w:sz w:val="32"/>
          <w:szCs w:val="32"/>
        </w:rPr>
        <w:t>召回通知记录情况；</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（七）</w:t>
      </w:r>
      <w:r>
        <w:rPr>
          <w:rFonts w:ascii="Times New Roman" w:hAnsi="Times New Roman" w:eastAsia="仿宋_GB2312" w:cs="仿宋_GB2312"/>
          <w:b w:val="0"/>
          <w:color w:val="auto"/>
          <w:sz w:val="32"/>
          <w:szCs w:val="32"/>
        </w:rPr>
        <w:t>召回措施的内容，包括实施组织、联系方式以及召回的具体措施、范围和时限等；</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val="0"/>
          <w:color w:val="auto"/>
          <w:sz w:val="32"/>
          <w:szCs w:val="32"/>
        </w:rPr>
      </w:pPr>
      <w:r>
        <w:rPr>
          <w:rFonts w:hint="eastAsia" w:cs="仿宋_GB2312"/>
          <w:b w:val="0"/>
          <w:color w:val="auto"/>
          <w:sz w:val="32"/>
          <w:szCs w:val="32"/>
          <w:lang w:eastAsia="zh-CN"/>
        </w:rPr>
        <w:t>（八）</w:t>
      </w:r>
      <w:r>
        <w:rPr>
          <w:rFonts w:ascii="Times New Roman" w:hAnsi="Times New Roman" w:eastAsia="仿宋_GB2312" w:cs="仿宋_GB2312"/>
          <w:b w:val="0"/>
          <w:color w:val="auto"/>
          <w:sz w:val="32"/>
          <w:szCs w:val="32"/>
        </w:rPr>
        <w:t>召回的预期效果及召回食品后的处理措施。</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第四十八条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食品生产企业应保存对不安全食品召回全过程的记录，主要内容包括食品召回的批次、数量、比例、原因、结果、处理方案等；同时，要建立召回档案，妥善保存召回、销毁的现场影像</w:t>
      </w:r>
      <w:r>
        <w:rPr>
          <w:rFonts w:hint="eastAsia" w:ascii="仿宋_GB2312" w:hAnsi="仿宋_GB2312" w:eastAsia="仿宋_GB2312" w:cs="仿宋_GB2312"/>
          <w:b w:val="0"/>
          <w:color w:val="auto"/>
          <w:sz w:val="32"/>
          <w:szCs w:val="32"/>
        </w:rPr>
        <w:t>和各类书面证明等相关资料。召回记录及档案保存时间不少于2年。</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r>
        <w:rPr>
          <w:rFonts w:hint="eastAsia" w:ascii="黑体" w:hAnsi="黑体" w:eastAsia="黑体" w:cs="黑体"/>
          <w:b w:val="0"/>
          <w:bCs/>
          <w:i w:val="0"/>
          <w:iCs w:val="0"/>
          <w:caps w:val="0"/>
          <w:color w:val="auto"/>
          <w:spacing w:val="0"/>
          <w:sz w:val="32"/>
          <w:szCs w:val="32"/>
          <w:shd w:val="clear" w:fill="FFFFFF"/>
        </w:rPr>
        <w:t>第六章 监督管理</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第四十九条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县级以上市场监督管理部门依据食品生产监督检查要点表，定期或者不定期对食品生产企业进行监督检查，对企业存在的问题监督整改，并记录存档。</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监督检查应当遵循属地负责、风险管理、程序合法、公正公开的原则。</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第五十条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县级以上市场监督管理部门按照食品生产风险分级管理工作要求，结合日常监督检查、食品安全抽检结果、投诉举报、行政处罚和食品安全状况等，确定监督管理的重点、方式和频次，实施风险分级管理。</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县级市场监督管理部门应当每两年对本行政区域内所有食品生产经营者至少进行一次覆盖全部检查要点的监督检查。对特殊食品生产者，风险等级为C级、D级的食品生产者实施重点监督检查，并可以根据实际情况增加日常监督检查频次。</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i w:val="0"/>
          <w:color w:val="auto"/>
          <w:sz w:val="32"/>
          <w:szCs w:val="32"/>
          <w:lang w:eastAsia="zh-CN"/>
        </w:rPr>
        <w:t>第五十一条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县级以上市场监督管理部门制定本行政区域的食品安全年度监督管理计划，向社会公布并组织实施。</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食品安全年度监督管理计划应当将发生食品安全事故风险较高的食品生产企业、食品安全监督抽检不合格或者发生食品安全事故的食品生产企业等作为监督管理的重点。</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ascii="Times New Roman" w:hAnsi="Times New Roman" w:eastAsia="仿宋_GB2312" w:cs="仿宋_GB2312"/>
          <w:b/>
          <w:color w:val="auto"/>
          <w:sz w:val="32"/>
          <w:szCs w:val="32"/>
        </w:rPr>
      </w:pPr>
      <w:r>
        <w:rPr>
          <w:rFonts w:hint="eastAsia" w:ascii="黑体" w:hAnsi="黑体" w:eastAsia="黑体" w:cs="黑体"/>
          <w:b w:val="0"/>
          <w:bCs/>
          <w:i w:val="0"/>
          <w:color w:val="auto"/>
          <w:sz w:val="32"/>
          <w:szCs w:val="32"/>
          <w:lang w:eastAsia="zh-CN"/>
        </w:rPr>
        <w:t>第五十二条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县级以上市场监督管理部门在食品安全监督管理工作中可以采用国家规定的快速检测方法对食品进行检测、筛查。</w:t>
      </w:r>
    </w:p>
    <w:p>
      <w:pPr>
        <w:pStyle w:val="11"/>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通过筛查发现检测结果可能不符合食品安全标准的，应当依照《食品安全法》第八十七条的规定进行抽检，检测结果确定有关食品不符合食品安全标准的，可以作为行政处罚的依据。</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color w:val="auto"/>
          <w:sz w:val="32"/>
          <w:szCs w:val="32"/>
        </w:rPr>
      </w:pPr>
      <w:r>
        <w:rPr>
          <w:rFonts w:hint="eastAsia" w:ascii="黑体" w:hAnsi="黑体" w:eastAsia="黑体" w:cs="黑体"/>
          <w:b w:val="0"/>
          <w:bCs/>
          <w:i w:val="0"/>
          <w:color w:val="auto"/>
          <w:sz w:val="32"/>
          <w:szCs w:val="32"/>
          <w:lang w:eastAsia="zh-CN"/>
        </w:rPr>
        <w:t>第五十三条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县级以上市场监督管理部门根据本辖区食品生产企业的许可颁发、日常监督检查结果、抽检结果、违法行为查处等因素确定企业信用等级，建立完善信用档案，实行差异化动态监管，并将基础信息、行政许可信息、行政处罚信息、抽查检查结果、列入异常经营名录信息、黑名单信息等及时录入国家企业信用信息公示系统，对有不良信用记录的食品生产企业增加监督检查频次。</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color w:val="auto"/>
          <w:sz w:val="32"/>
          <w:szCs w:val="32"/>
        </w:rPr>
      </w:pPr>
      <w:r>
        <w:rPr>
          <w:rFonts w:hint="eastAsia" w:ascii="黑体" w:hAnsi="黑体" w:eastAsia="黑体" w:cs="黑体"/>
          <w:b w:val="0"/>
          <w:bCs/>
          <w:i w:val="0"/>
          <w:color w:val="auto"/>
          <w:sz w:val="32"/>
          <w:szCs w:val="32"/>
          <w:lang w:eastAsia="zh-CN"/>
        </w:rPr>
        <w:t>第五十四条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食品生产过程中存在食品安全隐患，未及时采取措施消除的，县级以上市场监督管理部门可以对食品生产企业的法定代表人或者主要负责人进行责任约谈。食品生产企业应当立即采取措施，进行整改，消除隐患。责任约谈情况和整改情况应当纳入食品生产企业食品安全信用档案。</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6"/>
        <w:textAlignment w:val="auto"/>
        <w:rPr>
          <w:rFonts w:ascii="Times New Roman" w:hAnsi="Times New Roman" w:eastAsia="仿宋_GB2312" w:cs="仿宋_GB2312"/>
          <w:b/>
          <w:color w:val="auto"/>
          <w:sz w:val="32"/>
          <w:szCs w:val="32"/>
        </w:rPr>
      </w:pPr>
      <w:r>
        <w:rPr>
          <w:rFonts w:hint="eastAsia" w:ascii="黑体" w:hAnsi="黑体" w:eastAsia="黑体" w:cs="黑体"/>
          <w:b w:val="0"/>
          <w:bCs/>
          <w:i w:val="0"/>
          <w:color w:val="auto"/>
          <w:sz w:val="32"/>
          <w:szCs w:val="32"/>
          <w:lang w:eastAsia="zh-CN"/>
        </w:rPr>
        <w:t>第五十五条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县级以上市场监督管理部门应当建立健全应对食品安全事件运行机制，针对本辖区发生的食品安全事件，按照本级《食品安全</w:t>
      </w:r>
      <w:r>
        <w:rPr>
          <w:rFonts w:hint="eastAsia" w:cs="仿宋_GB2312"/>
          <w:b w:val="0"/>
          <w:color w:val="auto"/>
          <w:sz w:val="32"/>
          <w:szCs w:val="32"/>
          <w:lang w:eastAsia="zh-CN"/>
        </w:rPr>
        <w:t>突发</w:t>
      </w:r>
      <w:r>
        <w:rPr>
          <w:rFonts w:ascii="Times New Roman" w:hAnsi="Times New Roman" w:eastAsia="仿宋_GB2312" w:cs="仿宋_GB2312"/>
          <w:b w:val="0"/>
          <w:color w:val="auto"/>
          <w:sz w:val="32"/>
          <w:szCs w:val="32"/>
        </w:rPr>
        <w:t>事件应急预案》处置。</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color w:val="auto"/>
          <w:spacing w:val="-6"/>
          <w:kern w:val="0"/>
          <w:sz w:val="32"/>
          <w:szCs w:val="32"/>
          <w:lang w:eastAsia="zh-CN"/>
        </w:rPr>
      </w:pP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color w:val="auto"/>
          <w:spacing w:val="-6"/>
          <w:kern w:val="0"/>
          <w:sz w:val="32"/>
          <w:szCs w:val="32"/>
          <w:lang w:eastAsia="zh-CN"/>
        </w:rPr>
      </w:pPr>
      <w:r>
        <w:rPr>
          <w:rFonts w:hint="eastAsia" w:ascii="黑体" w:hAnsi="黑体" w:eastAsia="黑体" w:cs="黑体"/>
          <w:b w:val="0"/>
          <w:bCs/>
          <w:i w:val="0"/>
          <w:color w:val="auto"/>
          <w:spacing w:val="-6"/>
          <w:kern w:val="0"/>
          <w:sz w:val="32"/>
          <w:szCs w:val="32"/>
          <w:lang w:eastAsia="zh-CN"/>
        </w:rPr>
        <w:t>第七章 附 则</w:t>
      </w:r>
    </w:p>
    <w:p>
      <w:pPr>
        <w:pStyle w:val="11"/>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18"/>
        <w:textAlignment w:val="auto"/>
        <w:rPr>
          <w:rFonts w:hint="eastAsia" w:ascii="仿宋_GB2312" w:hAnsi="仿宋_GB2312" w:eastAsia="仿宋_GB2312" w:cs="仿宋_GB2312"/>
          <w:sz w:val="28"/>
          <w:szCs w:val="28"/>
        </w:rPr>
      </w:pPr>
      <w:r>
        <w:rPr>
          <w:rFonts w:hint="eastAsia" w:ascii="黑体" w:hAnsi="黑体" w:eastAsia="黑体" w:cs="黑体"/>
          <w:b w:val="0"/>
          <w:bCs/>
          <w:i w:val="0"/>
          <w:color w:val="auto"/>
          <w:sz w:val="32"/>
          <w:szCs w:val="32"/>
          <w:lang w:eastAsia="zh-CN"/>
        </w:rPr>
        <w:t>第五十六条</w:t>
      </w:r>
      <w:r>
        <w:rPr>
          <w:rFonts w:hint="eastAsia" w:cs="仿宋_GB2312"/>
          <w:b/>
          <w:color w:val="auto"/>
          <w:sz w:val="32"/>
          <w:szCs w:val="32"/>
          <w:lang w:eastAsia="zh-CN"/>
        </w:rPr>
        <w:t>　</w:t>
      </w:r>
      <w:r>
        <w:rPr>
          <w:rFonts w:hint="eastAsia" w:ascii="仿宋_GB2312" w:hAnsi="仿宋_GB2312" w:eastAsia="仿宋_GB2312" w:cs="仿宋_GB2312"/>
          <w:b w:val="0"/>
          <w:color w:val="auto"/>
          <w:sz w:val="32"/>
          <w:szCs w:val="32"/>
        </w:rPr>
        <w:t>本办法自2026年　月　日起施行，有效期5年。原《陕西省食品生产监督管理办法》（陕市监发〔2021〕487号）同时废止。</w:t>
      </w:r>
    </w:p>
    <w:sectPr>
      <w:headerReference r:id="rId5" w:type="default"/>
      <w:footerReference r:id="rId7" w:type="default"/>
      <w:headerReference r:id="rId6" w:type="even"/>
      <w:footerReference r:id="rId8" w:type="even"/>
      <w:pgSz w:w="11906" w:h="16838"/>
      <w:pgMar w:top="1984" w:right="1474" w:bottom="1701"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AalSs7WAAAABgEAAA8AAAAAAAAAAQAgAAAAOAAAAGRycy9kb3ducmV2&#10;LnhtbFBLAQIUABQAAAAIAIdO4kAqDWZ2IQIAADMEAAAOAAAAAAAAAAEAIAAAADsBAABkcnMvZTJv&#10;RG9jLnhtbFBLBQYAAAAABgAGAFkBAADOBQAAAAA=&#10;">
              <v:fill on="f" focussize="0,0"/>
              <v:stroke on="f" weight="0.5pt"/>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AalSs7WAAAABgEAAA8AAAAAAAAAAQAgAAAAOAAAAGRycy9kb3ducmV2&#10;LnhtbFBLAQIUABQAAAAIAIdO4kCWglfDIQIAADMEAAAOAAAAAAAAAAEAIAAAADsBAABkcnMvZTJv&#10;RG9jLnhtbFBLBQYAAAAABgAGAFkBAADOBQAAAAA=&#10;">
              <v:fill on="f" focussize="0,0"/>
              <v:stroke on="f" weight="0.5pt"/>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true"/>
  <w:bordersDoNotSurroundFooter w:val="true"/>
  <w:documentProtection w:enforcement="0"/>
  <w:defaultTabStop w:val="420"/>
  <w:evenAndOddHeaders w:val="true"/>
  <w:drawingGridHorizontalSpacing w:val="158"/>
  <w:drawingGridVerticalSpacing w:val="290"/>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6341"/>
    <w:rsid w:val="06E92084"/>
    <w:rsid w:val="07F70197"/>
    <w:rsid w:val="0DAF1A36"/>
    <w:rsid w:val="0DE38175"/>
    <w:rsid w:val="0E3FF4D3"/>
    <w:rsid w:val="0EAF4996"/>
    <w:rsid w:val="0F6FD535"/>
    <w:rsid w:val="13FFE0DD"/>
    <w:rsid w:val="147C0DFA"/>
    <w:rsid w:val="166360E3"/>
    <w:rsid w:val="19D72583"/>
    <w:rsid w:val="1BF36A65"/>
    <w:rsid w:val="1CB96931"/>
    <w:rsid w:val="1DF7E285"/>
    <w:rsid w:val="1FDA6503"/>
    <w:rsid w:val="1FEBE167"/>
    <w:rsid w:val="22716FA7"/>
    <w:rsid w:val="2384124C"/>
    <w:rsid w:val="27F3F7F8"/>
    <w:rsid w:val="2B5F1F5C"/>
    <w:rsid w:val="2BFB3900"/>
    <w:rsid w:val="2E7FB4F2"/>
    <w:rsid w:val="2F7F64A4"/>
    <w:rsid w:val="2FB7B0F9"/>
    <w:rsid w:val="30FFF153"/>
    <w:rsid w:val="32363E73"/>
    <w:rsid w:val="35B56A43"/>
    <w:rsid w:val="35C66E28"/>
    <w:rsid w:val="35EDCEBB"/>
    <w:rsid w:val="35F285E1"/>
    <w:rsid w:val="3DEB897B"/>
    <w:rsid w:val="3EBF8D98"/>
    <w:rsid w:val="3FFDC5D8"/>
    <w:rsid w:val="44E81CBA"/>
    <w:rsid w:val="45BB0BF0"/>
    <w:rsid w:val="49ED5295"/>
    <w:rsid w:val="4D2DCD7B"/>
    <w:rsid w:val="4DAE6736"/>
    <w:rsid w:val="4F5F66C8"/>
    <w:rsid w:val="4FCE1B3E"/>
    <w:rsid w:val="4FDF16F6"/>
    <w:rsid w:val="4FF1F755"/>
    <w:rsid w:val="4FFD12F6"/>
    <w:rsid w:val="4FFFD37D"/>
    <w:rsid w:val="529D3B71"/>
    <w:rsid w:val="52BB40A8"/>
    <w:rsid w:val="536E20A7"/>
    <w:rsid w:val="54F72309"/>
    <w:rsid w:val="57FBB580"/>
    <w:rsid w:val="59EF85AB"/>
    <w:rsid w:val="59FB6965"/>
    <w:rsid w:val="5B59C89F"/>
    <w:rsid w:val="5BBE5509"/>
    <w:rsid w:val="5CEDABBF"/>
    <w:rsid w:val="5CFFAE05"/>
    <w:rsid w:val="5EB21661"/>
    <w:rsid w:val="5EFE5B91"/>
    <w:rsid w:val="5F7ED837"/>
    <w:rsid w:val="5FDD2918"/>
    <w:rsid w:val="5FF1E3E3"/>
    <w:rsid w:val="5FFBAA70"/>
    <w:rsid w:val="5FFE9667"/>
    <w:rsid w:val="5FFED9DE"/>
    <w:rsid w:val="5FFFEC25"/>
    <w:rsid w:val="617CAC77"/>
    <w:rsid w:val="62FAB673"/>
    <w:rsid w:val="63DFE54C"/>
    <w:rsid w:val="63FE5A6D"/>
    <w:rsid w:val="6766F85B"/>
    <w:rsid w:val="677DA41D"/>
    <w:rsid w:val="69FBE6A8"/>
    <w:rsid w:val="6BF72084"/>
    <w:rsid w:val="6CDB1F80"/>
    <w:rsid w:val="6DFD1E73"/>
    <w:rsid w:val="6E3E4261"/>
    <w:rsid w:val="6EDCA1D7"/>
    <w:rsid w:val="6EE369CA"/>
    <w:rsid w:val="6F7524A5"/>
    <w:rsid w:val="6FF774DA"/>
    <w:rsid w:val="6FF7A84B"/>
    <w:rsid w:val="6FFEED57"/>
    <w:rsid w:val="73CFEA3D"/>
    <w:rsid w:val="73EF02FB"/>
    <w:rsid w:val="75FD8A86"/>
    <w:rsid w:val="769F0A17"/>
    <w:rsid w:val="773F6ED1"/>
    <w:rsid w:val="77FDD228"/>
    <w:rsid w:val="77FFCE39"/>
    <w:rsid w:val="7A558487"/>
    <w:rsid w:val="7A7F69F6"/>
    <w:rsid w:val="7AFBC857"/>
    <w:rsid w:val="7AFF4C1F"/>
    <w:rsid w:val="7B1E9A12"/>
    <w:rsid w:val="7B7DB890"/>
    <w:rsid w:val="7BBF7E27"/>
    <w:rsid w:val="7BBFD253"/>
    <w:rsid w:val="7BFF2D95"/>
    <w:rsid w:val="7BFF9C19"/>
    <w:rsid w:val="7CAB2335"/>
    <w:rsid w:val="7CCB43E0"/>
    <w:rsid w:val="7CF7C63F"/>
    <w:rsid w:val="7CFF80A9"/>
    <w:rsid w:val="7D6EFE8C"/>
    <w:rsid w:val="7DBB7AA4"/>
    <w:rsid w:val="7DBFDF5C"/>
    <w:rsid w:val="7E5D64D3"/>
    <w:rsid w:val="7F2FFC15"/>
    <w:rsid w:val="7F657745"/>
    <w:rsid w:val="7F678F6C"/>
    <w:rsid w:val="7F70704C"/>
    <w:rsid w:val="7F7FD945"/>
    <w:rsid w:val="7F9E564C"/>
    <w:rsid w:val="7FA82002"/>
    <w:rsid w:val="7FB744A4"/>
    <w:rsid w:val="7FB7E2F7"/>
    <w:rsid w:val="7FBDA849"/>
    <w:rsid w:val="7FC90D82"/>
    <w:rsid w:val="7FD7785E"/>
    <w:rsid w:val="7FF24FAC"/>
    <w:rsid w:val="7FF5F300"/>
    <w:rsid w:val="7FF8A10C"/>
    <w:rsid w:val="7FFD2AD5"/>
    <w:rsid w:val="7FFDD8C2"/>
    <w:rsid w:val="7FFE7343"/>
    <w:rsid w:val="7FFE8D2C"/>
    <w:rsid w:val="7FFF077C"/>
    <w:rsid w:val="87BB5674"/>
    <w:rsid w:val="8B5F9D74"/>
    <w:rsid w:val="8FBF4568"/>
    <w:rsid w:val="937B2FE1"/>
    <w:rsid w:val="937F9670"/>
    <w:rsid w:val="9F781D16"/>
    <w:rsid w:val="9FBC729E"/>
    <w:rsid w:val="A79A14E7"/>
    <w:rsid w:val="A975A43E"/>
    <w:rsid w:val="AF3FFC51"/>
    <w:rsid w:val="AFEE533D"/>
    <w:rsid w:val="B1B39FA3"/>
    <w:rsid w:val="B475C12C"/>
    <w:rsid w:val="B8CF9995"/>
    <w:rsid w:val="BBEFE90E"/>
    <w:rsid w:val="BBFCBABC"/>
    <w:rsid w:val="BD3FEBFD"/>
    <w:rsid w:val="BD7DE4E2"/>
    <w:rsid w:val="BEFB84AC"/>
    <w:rsid w:val="BFDD714C"/>
    <w:rsid w:val="C3553D45"/>
    <w:rsid w:val="C8964268"/>
    <w:rsid w:val="CBAD3271"/>
    <w:rsid w:val="D2F19C36"/>
    <w:rsid w:val="D3AFB2BB"/>
    <w:rsid w:val="D749A7F8"/>
    <w:rsid w:val="DB1F9E04"/>
    <w:rsid w:val="DB7F3421"/>
    <w:rsid w:val="DBCF00A1"/>
    <w:rsid w:val="DBEF8783"/>
    <w:rsid w:val="DDFEB0A6"/>
    <w:rsid w:val="DDFF99D1"/>
    <w:rsid w:val="DE971D91"/>
    <w:rsid w:val="DEE12E77"/>
    <w:rsid w:val="DEE688D8"/>
    <w:rsid w:val="DEF524C7"/>
    <w:rsid w:val="DEFFAC6E"/>
    <w:rsid w:val="DF2724A5"/>
    <w:rsid w:val="DF321220"/>
    <w:rsid w:val="DF3FBE0C"/>
    <w:rsid w:val="DF75E042"/>
    <w:rsid w:val="DF760D76"/>
    <w:rsid w:val="DF7929B2"/>
    <w:rsid w:val="DF7A584E"/>
    <w:rsid w:val="DFDBBAC9"/>
    <w:rsid w:val="DFFF5D81"/>
    <w:rsid w:val="DFFFDA42"/>
    <w:rsid w:val="E573DF62"/>
    <w:rsid w:val="E5F91F60"/>
    <w:rsid w:val="E7A79D37"/>
    <w:rsid w:val="E7B5E15E"/>
    <w:rsid w:val="EBFF10C9"/>
    <w:rsid w:val="ED5FFA04"/>
    <w:rsid w:val="EF5B1682"/>
    <w:rsid w:val="EF77FE70"/>
    <w:rsid w:val="F33FAE89"/>
    <w:rsid w:val="F3DE9580"/>
    <w:rsid w:val="F3FBA66D"/>
    <w:rsid w:val="F4FFD9FA"/>
    <w:rsid w:val="F57CFFC2"/>
    <w:rsid w:val="F5AC7AB4"/>
    <w:rsid w:val="F5DFA9BE"/>
    <w:rsid w:val="F5FFA4AA"/>
    <w:rsid w:val="F6B4058C"/>
    <w:rsid w:val="F6BFA71F"/>
    <w:rsid w:val="F6FF55B4"/>
    <w:rsid w:val="F75DA06C"/>
    <w:rsid w:val="F76A88FD"/>
    <w:rsid w:val="F7DE9303"/>
    <w:rsid w:val="F7DFD2E3"/>
    <w:rsid w:val="F7ED2DA5"/>
    <w:rsid w:val="F7EE9667"/>
    <w:rsid w:val="F8FB075A"/>
    <w:rsid w:val="F9BBF0CB"/>
    <w:rsid w:val="F9BCF7D4"/>
    <w:rsid w:val="FAEF34AB"/>
    <w:rsid w:val="FAFD4634"/>
    <w:rsid w:val="FBBEB746"/>
    <w:rsid w:val="FBEDDBFB"/>
    <w:rsid w:val="FBFD75F1"/>
    <w:rsid w:val="FBFF1B2C"/>
    <w:rsid w:val="FBFF5769"/>
    <w:rsid w:val="FCBF313A"/>
    <w:rsid w:val="FD9CFD8A"/>
    <w:rsid w:val="FDBF2F99"/>
    <w:rsid w:val="FDF71230"/>
    <w:rsid w:val="FDFF85CF"/>
    <w:rsid w:val="FE6A6C0C"/>
    <w:rsid w:val="FEBF48FD"/>
    <w:rsid w:val="FEDDA7DD"/>
    <w:rsid w:val="FEDFE1B2"/>
    <w:rsid w:val="FEF968C6"/>
    <w:rsid w:val="FF7542E5"/>
    <w:rsid w:val="FF7799BD"/>
    <w:rsid w:val="FF7E924C"/>
    <w:rsid w:val="FF7F1A1F"/>
    <w:rsid w:val="FF9F09B5"/>
    <w:rsid w:val="FFAEFF9E"/>
    <w:rsid w:val="FFAF1343"/>
    <w:rsid w:val="FFB47167"/>
    <w:rsid w:val="FFBF0BFD"/>
    <w:rsid w:val="FFED09E2"/>
    <w:rsid w:val="FFEFC3D1"/>
    <w:rsid w:val="FFF491AE"/>
    <w:rsid w:val="FFFBA9F1"/>
    <w:rsid w:val="FFFBCC51"/>
    <w:rsid w:val="FFFE0BAE"/>
    <w:rsid w:val="FFFF813F"/>
    <w:rsid w:val="FFFFD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link w:val="22"/>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9">
    <w:name w:val="font31"/>
    <w:basedOn w:val="18"/>
    <w:qFormat/>
    <w:uiPriority w:val="0"/>
    <w:rPr>
      <w:rFonts w:hint="eastAsia" w:ascii="仿宋" w:hAnsi="仿宋" w:eastAsia="仿宋" w:cs="仿宋"/>
      <w:color w:val="000000"/>
      <w:sz w:val="18"/>
      <w:szCs w:val="18"/>
      <w:u w:val="none"/>
    </w:rPr>
  </w:style>
  <w:style w:type="character" w:customStyle="1" w:styleId="20">
    <w:name w:val="font41"/>
    <w:basedOn w:val="18"/>
    <w:qFormat/>
    <w:uiPriority w:val="0"/>
    <w:rPr>
      <w:rFonts w:hint="eastAsia" w:ascii="仿宋" w:hAnsi="仿宋" w:eastAsia="仿宋" w:cs="仿宋"/>
      <w:b/>
      <w:bCs/>
      <w:color w:val="FF0000"/>
      <w:sz w:val="18"/>
      <w:szCs w:val="18"/>
      <w:u w:val="none"/>
    </w:rPr>
  </w:style>
  <w:style w:type="paragraph" w:customStyle="1" w:styleId="21">
    <w:name w:val="章标题"/>
    <w:next w:val="1"/>
    <w:qFormat/>
    <w:uiPriority w:val="0"/>
    <w:pPr>
      <w:widowControl w:val="0"/>
      <w:spacing w:line="560" w:lineRule="exact"/>
      <w:jc w:val="center"/>
      <w:outlineLvl w:val="0"/>
    </w:pPr>
    <w:rPr>
      <w:rFonts w:asciiTheme="minorHAnsi" w:hAnsiTheme="minorHAnsi" w:eastAsiaTheme="minorEastAsia" w:cstheme="minorBidi"/>
    </w:rPr>
  </w:style>
  <w:style w:type="character" w:customStyle="1" w:styleId="22">
    <w:name w:val="正文文本 Char"/>
    <w:link w:val="11"/>
    <w:qFormat/>
    <w:uiPriority w:val="0"/>
    <w:rPr>
      <w:rFonts w:ascii="Times New Roman" w:hAnsi="Times New Roman" w:eastAsia="仿宋_GB2312" w:cs="仿宋_GB2312"/>
      <w:spacing w:val="-6"/>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8400</Words>
  <Characters>8421</Characters>
  <Lines>0</Lines>
  <Paragraphs>0</Paragraphs>
  <TotalTime>1</TotalTime>
  <ScaleCrop>false</ScaleCrop>
  <LinksUpToDate>false</LinksUpToDate>
  <CharactersWithSpaces>8508</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2026-09-20T01:04:00Z</dcterms:created>
  <dc:creator>lenovo</dc:creator>
  <cp:lastModifiedBy>guest</cp:lastModifiedBy>
  <cp:lastPrinted>2026-10-23T01:54:00Z</cp:lastPrinted>
  <dcterms:modified xsi:type="dcterms:W3CDTF">2026-10-22T09:15:05Z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TemplateDocerSaveRecord">
    <vt:lpwstr>eyJoZGlkIjoiZjExMTg2NDU0OWYwNTQ4YWFhNWJmYmVlMmE0ZDg3NzQiLCJ1c2VySWQiOiI1NDA3NzQyMzQifQ==</vt:lpwstr>
  </property>
  <property fmtid="{D5CDD505-2E9C-101B-9397-08002B2CF9AE}" pid="4" name="ICV">
    <vt:lpwstr>EE5127E8A14E43649AA3475B88EBDB41_12</vt:lpwstr>
  </property>
</Properties>
</file>